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B806BB" w:rsidTr="00B806BB">
        <w:tc>
          <w:tcPr>
            <w:tcW w:w="4928" w:type="dxa"/>
          </w:tcPr>
          <w:p w:rsidR="00B806BB" w:rsidRDefault="00B806BB" w:rsidP="00B806BB">
            <w:pPr>
              <w:ind w:left="720" w:hanging="720"/>
            </w:pPr>
            <w:bookmarkStart w:id="0" w:name="_GoBack"/>
            <w:bookmarkEnd w:id="0"/>
            <w:r>
              <w:t>Ministry of Health</w:t>
            </w:r>
          </w:p>
          <w:p w:rsidR="00B806BB" w:rsidRDefault="00B806BB" w:rsidP="00B806BB">
            <w:r>
              <w:t>No: 3655/BYT-AIDS</w:t>
            </w:r>
          </w:p>
          <w:p w:rsidR="00B806BB" w:rsidRDefault="00B806BB" w:rsidP="00B806BB">
            <w:r>
              <w:t>Re: new HIV/AIDS treatment standards</w:t>
            </w:r>
          </w:p>
          <w:p w:rsidR="00B806BB" w:rsidRDefault="00B806BB" w:rsidP="00F51AE7"/>
        </w:tc>
        <w:tc>
          <w:tcPr>
            <w:tcW w:w="5103" w:type="dxa"/>
          </w:tcPr>
          <w:p w:rsidR="00B806BB" w:rsidRDefault="00B806BB" w:rsidP="00B806BB">
            <w:pPr>
              <w:jc w:val="right"/>
            </w:pPr>
            <w:r>
              <w:t>29</w:t>
            </w:r>
            <w:r w:rsidRPr="00B806BB">
              <w:rPr>
                <w:vertAlign w:val="superscript"/>
              </w:rPr>
              <w:t>th</w:t>
            </w:r>
            <w:r>
              <w:t xml:space="preserve"> May 2015</w:t>
            </w:r>
          </w:p>
        </w:tc>
      </w:tr>
    </w:tbl>
    <w:p w:rsidR="00B806BB" w:rsidRDefault="00B806BB"/>
    <w:p w:rsidR="00A63AFB" w:rsidRDefault="00B806BB">
      <w:r>
        <w:t>To: Directors of Departments</w:t>
      </w:r>
      <w:r w:rsidR="00A63AFB">
        <w:t xml:space="preserve"> of Health </w:t>
      </w:r>
      <w:r>
        <w:t xml:space="preserve">of </w:t>
      </w:r>
      <w:r w:rsidR="00A63AFB">
        <w:t>all national-level provinces</w:t>
      </w:r>
    </w:p>
    <w:p w:rsidR="00A63AFB" w:rsidRDefault="00A63AFB" w:rsidP="00A63AFB">
      <w:pPr>
        <w:jc w:val="both"/>
      </w:pPr>
      <w:r>
        <w:t xml:space="preserve">In order to expand HIV/AIDS treatment to a nationwide scale and to apply new eligibility criteria, the Ministry of Health requests Directors of all provincial Departments of Health to </w:t>
      </w:r>
      <w:r w:rsidR="00B806BB">
        <w:t>instruct</w:t>
      </w:r>
      <w:r>
        <w:t xml:space="preserve"> Provincial AIDS Centers, Hospit</w:t>
      </w:r>
      <w:r w:rsidR="00B806BB">
        <w:t>als and District Health Centers</w:t>
      </w:r>
      <w:r>
        <w:t xml:space="preserve"> in the locality to </w:t>
      </w:r>
      <w:r w:rsidR="00B806BB">
        <w:t xml:space="preserve">offer </w:t>
      </w:r>
      <w:r>
        <w:t xml:space="preserve">ART for HIV/AIDS patients </w:t>
      </w:r>
      <w:r w:rsidR="00430816">
        <w:t>who meet the following criteria</w:t>
      </w:r>
      <w:r>
        <w:t>:</w:t>
      </w:r>
    </w:p>
    <w:p w:rsidR="00A63AFB" w:rsidRPr="00B806BB" w:rsidRDefault="00A63AFB" w:rsidP="00A63AFB">
      <w:pPr>
        <w:pStyle w:val="ListParagraph"/>
        <w:numPr>
          <w:ilvl w:val="0"/>
          <w:numId w:val="1"/>
        </w:numPr>
        <w:jc w:val="both"/>
        <w:rPr>
          <w:b/>
        </w:rPr>
      </w:pPr>
      <w:r w:rsidRPr="00B806BB">
        <w:rPr>
          <w:b/>
        </w:rPr>
        <w:t>ART initiation</w:t>
      </w:r>
      <w:r w:rsidR="00430816">
        <w:rPr>
          <w:b/>
        </w:rPr>
        <w:t xml:space="preserve"> criteria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81"/>
        <w:gridCol w:w="5942"/>
      </w:tblGrid>
      <w:tr w:rsidR="00A63AFB" w:rsidTr="00CD1CA4">
        <w:tc>
          <w:tcPr>
            <w:tcW w:w="3981" w:type="dxa"/>
          </w:tcPr>
          <w:p w:rsidR="00A63AFB" w:rsidRPr="00B806BB" w:rsidRDefault="00A63AFB" w:rsidP="00A63AFB">
            <w:pPr>
              <w:pStyle w:val="ListParagraph"/>
              <w:ind w:left="0"/>
              <w:jc w:val="both"/>
              <w:rPr>
                <w:b/>
              </w:rPr>
            </w:pPr>
            <w:r w:rsidRPr="00B806BB">
              <w:rPr>
                <w:b/>
              </w:rPr>
              <w:t>Target group</w:t>
            </w:r>
          </w:p>
        </w:tc>
        <w:tc>
          <w:tcPr>
            <w:tcW w:w="5942" w:type="dxa"/>
          </w:tcPr>
          <w:p w:rsidR="00A63AFB" w:rsidRPr="00B806BB" w:rsidRDefault="00A63AFB" w:rsidP="00A63AFB">
            <w:pPr>
              <w:pStyle w:val="ListParagraph"/>
              <w:ind w:left="0"/>
              <w:jc w:val="both"/>
              <w:rPr>
                <w:b/>
              </w:rPr>
            </w:pPr>
            <w:r w:rsidRPr="00B806BB">
              <w:rPr>
                <w:b/>
              </w:rPr>
              <w:t>ART indication</w:t>
            </w:r>
          </w:p>
        </w:tc>
      </w:tr>
      <w:tr w:rsidR="00B806BB" w:rsidTr="00CD1CA4">
        <w:tc>
          <w:tcPr>
            <w:tcW w:w="3981" w:type="dxa"/>
            <w:vMerge w:val="restart"/>
          </w:tcPr>
          <w:p w:rsidR="00B806BB" w:rsidRDefault="00B806BB" w:rsidP="00430816">
            <w:pPr>
              <w:pStyle w:val="ListParagraph"/>
              <w:ind w:left="0"/>
              <w:jc w:val="both"/>
            </w:pPr>
            <w:r>
              <w:t xml:space="preserve">Adults and children </w:t>
            </w:r>
            <w:r w:rsidR="00430816" w:rsidRPr="00430816">
              <w:rPr>
                <w:u w:val="single"/>
              </w:rPr>
              <w:t>&gt;</w:t>
            </w:r>
            <w:r>
              <w:t xml:space="preserve"> 5 years old</w:t>
            </w:r>
          </w:p>
        </w:tc>
        <w:tc>
          <w:tcPr>
            <w:tcW w:w="5942" w:type="dxa"/>
          </w:tcPr>
          <w:p w:rsidR="00B806BB" w:rsidRDefault="00B806BB" w:rsidP="00A63AFB">
            <w:pPr>
              <w:pStyle w:val="ListParagraph"/>
              <w:ind w:left="0"/>
              <w:jc w:val="both"/>
            </w:pPr>
            <w:r>
              <w:t xml:space="preserve">CD4 count </w:t>
            </w:r>
            <w:r>
              <w:rPr>
                <w:rFonts w:cs="Times New Roman"/>
              </w:rPr>
              <w:t>≤</w:t>
            </w:r>
            <w:r>
              <w:t xml:space="preserve"> 500cells/mm3</w:t>
            </w:r>
          </w:p>
        </w:tc>
      </w:tr>
      <w:tr w:rsidR="00B806BB" w:rsidTr="00CD1CA4">
        <w:tc>
          <w:tcPr>
            <w:tcW w:w="3981" w:type="dxa"/>
            <w:vMerge/>
          </w:tcPr>
          <w:p w:rsidR="00B806BB" w:rsidRDefault="00B806BB" w:rsidP="00A63AFB">
            <w:pPr>
              <w:pStyle w:val="ListParagraph"/>
              <w:ind w:left="0"/>
              <w:jc w:val="both"/>
            </w:pPr>
          </w:p>
        </w:tc>
        <w:tc>
          <w:tcPr>
            <w:tcW w:w="5942" w:type="dxa"/>
          </w:tcPr>
          <w:p w:rsidR="00B806BB" w:rsidRDefault="00430816" w:rsidP="00A63AFB">
            <w:pPr>
              <w:pStyle w:val="ListParagraph"/>
              <w:ind w:left="0"/>
              <w:jc w:val="both"/>
            </w:pPr>
            <w:r>
              <w:t xml:space="preserve">Start ART </w:t>
            </w:r>
            <w:r w:rsidR="00B806BB">
              <w:t>irrespective of CD4 count in case:</w:t>
            </w:r>
          </w:p>
          <w:p w:rsidR="00B806BB" w:rsidRDefault="00B806BB" w:rsidP="00CD1CA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Clinic stage 3 and 4, including TB infection</w:t>
            </w:r>
          </w:p>
          <w:p w:rsidR="00B806BB" w:rsidRDefault="00B806BB" w:rsidP="00CD1CA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HBV/HCV coinfection</w:t>
            </w:r>
          </w:p>
          <w:p w:rsidR="00B806BB" w:rsidRDefault="00B806BB" w:rsidP="00CD1CA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lastRenderedPageBreak/>
              <w:t>Pregnant and breastfeeding women with HIV</w:t>
            </w:r>
          </w:p>
          <w:p w:rsidR="00B806BB" w:rsidRDefault="00B806BB" w:rsidP="00CD1CA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HIV-positive people with their </w:t>
            </w:r>
            <w:r w:rsidR="00430816">
              <w:t xml:space="preserve">negative </w:t>
            </w:r>
            <w:r>
              <w:t>partner</w:t>
            </w:r>
          </w:p>
          <w:p w:rsidR="00B806BB" w:rsidRDefault="00B806BB" w:rsidP="00CD1CA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HIV-positive people of one of </w:t>
            </w:r>
            <w:r w:rsidR="00430816">
              <w:t xml:space="preserve">high </w:t>
            </w:r>
            <w:r>
              <w:t>risk groups including IDUs, sex workers, MSMs</w:t>
            </w:r>
          </w:p>
          <w:p w:rsidR="00B806BB" w:rsidRDefault="00B806BB" w:rsidP="00CD1CA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HIV-positive people </w:t>
            </w:r>
            <w:r w:rsidR="00430816" w:rsidRPr="00430816">
              <w:rPr>
                <w:u w:val="single"/>
              </w:rPr>
              <w:t>&gt;</w:t>
            </w:r>
            <w:r>
              <w:t xml:space="preserve"> 50 years old</w:t>
            </w:r>
          </w:p>
          <w:p w:rsidR="00B806BB" w:rsidRDefault="00B806BB" w:rsidP="00CD1CA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HIV-positive people living in mountainous, coastal and remote regions</w:t>
            </w:r>
          </w:p>
        </w:tc>
      </w:tr>
      <w:tr w:rsidR="00CD1CA4" w:rsidTr="00CD1CA4">
        <w:tc>
          <w:tcPr>
            <w:tcW w:w="3981" w:type="dxa"/>
          </w:tcPr>
          <w:p w:rsidR="00CD1CA4" w:rsidRDefault="00CD1CA4" w:rsidP="00A63AFB">
            <w:pPr>
              <w:pStyle w:val="ListParagraph"/>
              <w:ind w:left="0"/>
              <w:jc w:val="both"/>
            </w:pPr>
            <w:r>
              <w:lastRenderedPageBreak/>
              <w:t>Children under 5 years old</w:t>
            </w:r>
          </w:p>
        </w:tc>
        <w:tc>
          <w:tcPr>
            <w:tcW w:w="5942" w:type="dxa"/>
          </w:tcPr>
          <w:p w:rsidR="00CD1CA4" w:rsidRDefault="00CD1CA4" w:rsidP="00CD1CA4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ART should be offered to all HIV-positive children irrespective of their clinical stage and CD4 count</w:t>
            </w:r>
          </w:p>
          <w:p w:rsidR="00CD1CA4" w:rsidRDefault="00CD1CA4" w:rsidP="00430816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ART should be initiated for all children under 18 months old with positive PCR result or positive </w:t>
            </w:r>
            <w:r w:rsidR="00430816">
              <w:t>HIV antibody test plus</w:t>
            </w:r>
            <w:r w:rsidR="00B806BB">
              <w:t xml:space="preserve"> one of the following sign</w:t>
            </w:r>
            <w:r w:rsidR="0009092E">
              <w:t>s: oral thrush, severe pneumonia, severe infection or any AIDS diseases</w:t>
            </w:r>
          </w:p>
        </w:tc>
      </w:tr>
    </w:tbl>
    <w:p w:rsidR="00A63AFB" w:rsidRDefault="00A63AFB" w:rsidP="00A63AFB">
      <w:pPr>
        <w:pStyle w:val="ListParagraph"/>
        <w:jc w:val="both"/>
      </w:pPr>
    </w:p>
    <w:p w:rsidR="00A63AFB" w:rsidRPr="00B806BB" w:rsidRDefault="00A63AFB" w:rsidP="00A63AFB">
      <w:pPr>
        <w:pStyle w:val="ListParagraph"/>
        <w:numPr>
          <w:ilvl w:val="0"/>
          <w:numId w:val="1"/>
        </w:numPr>
        <w:jc w:val="both"/>
        <w:rPr>
          <w:b/>
        </w:rPr>
      </w:pPr>
      <w:r w:rsidRPr="00B806BB">
        <w:rPr>
          <w:b/>
        </w:rPr>
        <w:t>1</w:t>
      </w:r>
      <w:r w:rsidRPr="00B806BB">
        <w:rPr>
          <w:b/>
          <w:vertAlign w:val="superscript"/>
        </w:rPr>
        <w:t>st</w:t>
      </w:r>
      <w:r w:rsidRPr="00B806BB">
        <w:rPr>
          <w:b/>
        </w:rPr>
        <w:t xml:space="preserve"> li</w:t>
      </w:r>
      <w:r w:rsidR="00B806BB">
        <w:rPr>
          <w:b/>
        </w:rPr>
        <w:t>ne ART</w:t>
      </w:r>
      <w:r w:rsidRPr="00B806BB">
        <w:rPr>
          <w:b/>
        </w:rPr>
        <w:t xml:space="preserve"> regime</w:t>
      </w:r>
      <w:r w:rsidR="00B806BB">
        <w:rPr>
          <w:b/>
        </w:rPr>
        <w:t>n</w:t>
      </w:r>
      <w:r w:rsidRPr="00B806BB">
        <w:rPr>
          <w:b/>
        </w:rPr>
        <w:t>s</w:t>
      </w:r>
    </w:p>
    <w:p w:rsidR="0009092E" w:rsidRPr="00B806BB" w:rsidRDefault="0009092E" w:rsidP="0009092E">
      <w:pPr>
        <w:pStyle w:val="ListParagraph"/>
        <w:numPr>
          <w:ilvl w:val="1"/>
          <w:numId w:val="1"/>
        </w:numPr>
        <w:jc w:val="both"/>
        <w:rPr>
          <w:b/>
        </w:rPr>
      </w:pPr>
      <w:r w:rsidRPr="00B806BB">
        <w:rPr>
          <w:b/>
        </w:rPr>
        <w:t xml:space="preserve"> Adults and children </w:t>
      </w:r>
      <w:r w:rsidR="00430816" w:rsidRPr="00430816">
        <w:rPr>
          <w:b/>
          <w:u w:val="single"/>
        </w:rPr>
        <w:t>&gt;</w:t>
      </w:r>
      <w:r w:rsidRPr="00B806BB">
        <w:rPr>
          <w:b/>
        </w:rPr>
        <w:t xml:space="preserve"> 10 years old (including HIV-positive pregnant women)</w:t>
      </w:r>
    </w:p>
    <w:p w:rsidR="0009092E" w:rsidRDefault="00430816" w:rsidP="0009092E">
      <w:pPr>
        <w:pStyle w:val="ListParagraph"/>
        <w:numPr>
          <w:ilvl w:val="2"/>
          <w:numId w:val="1"/>
        </w:numPr>
        <w:jc w:val="both"/>
      </w:pPr>
      <w:r>
        <w:t>Preferred</w:t>
      </w:r>
      <w:r w:rsidR="0009092E">
        <w:t xml:space="preserve"> regime</w:t>
      </w:r>
      <w:r w:rsidR="00B806BB">
        <w:t>n</w:t>
      </w:r>
    </w:p>
    <w:p w:rsidR="0009092E" w:rsidRDefault="0009092E" w:rsidP="00B806BB">
      <w:pPr>
        <w:pStyle w:val="ListParagraph"/>
        <w:ind w:left="1080"/>
        <w:jc w:val="center"/>
      </w:pPr>
      <w:r>
        <w:t>TDF + 3TC + EFV</w:t>
      </w:r>
    </w:p>
    <w:p w:rsidR="0009092E" w:rsidRDefault="0009092E" w:rsidP="00B806BB">
      <w:pPr>
        <w:ind w:firstLine="360"/>
        <w:jc w:val="both"/>
      </w:pPr>
      <w:r>
        <w:lastRenderedPageBreak/>
        <w:t>Fixed Dose Com</w:t>
      </w:r>
      <w:r w:rsidR="00B806BB">
        <w:t>bination</w:t>
      </w:r>
      <w:r w:rsidR="00430816">
        <w:t xml:space="preserve">s (FDC) are preferred to facilitate </w:t>
      </w:r>
      <w:r w:rsidR="00B806BB">
        <w:t>easier</w:t>
      </w:r>
      <w:r w:rsidR="00430816">
        <w:t xml:space="preserve"> administration and</w:t>
      </w:r>
      <w:r>
        <w:t xml:space="preserve"> treatment</w:t>
      </w:r>
      <w:r w:rsidR="00B806BB">
        <w:t xml:space="preserve"> adherence</w:t>
      </w:r>
      <w:r>
        <w:t>.</w:t>
      </w:r>
    </w:p>
    <w:p w:rsidR="0009092E" w:rsidRDefault="0009092E" w:rsidP="0009092E">
      <w:pPr>
        <w:pStyle w:val="ListParagraph"/>
        <w:numPr>
          <w:ilvl w:val="2"/>
          <w:numId w:val="1"/>
        </w:numPr>
        <w:jc w:val="both"/>
      </w:pPr>
      <w:r>
        <w:t>Alternative regime</w:t>
      </w:r>
      <w:r w:rsidR="00B806BB">
        <w:t>n</w:t>
      </w:r>
    </w:p>
    <w:p w:rsidR="0009092E" w:rsidRDefault="0009092E" w:rsidP="0009092E">
      <w:pPr>
        <w:pStyle w:val="ListParagraph"/>
        <w:numPr>
          <w:ilvl w:val="0"/>
          <w:numId w:val="2"/>
        </w:numPr>
        <w:jc w:val="both"/>
      </w:pPr>
      <w:r>
        <w:t>I</w:t>
      </w:r>
      <w:r w:rsidR="00426522">
        <w:t>f TDF is contrai</w:t>
      </w:r>
      <w:r>
        <w:t>n</w:t>
      </w:r>
      <w:r w:rsidR="00426522">
        <w:t>dicated</w:t>
      </w:r>
      <w:r>
        <w:t xml:space="preserve">, </w:t>
      </w:r>
      <w:r w:rsidR="005B597A">
        <w:t xml:space="preserve">substitute TDF with </w:t>
      </w:r>
      <w:r w:rsidR="00426522">
        <w:t>AZT</w:t>
      </w:r>
    </w:p>
    <w:p w:rsidR="00426522" w:rsidRDefault="00426522" w:rsidP="0009092E">
      <w:pPr>
        <w:pStyle w:val="ListParagraph"/>
        <w:numPr>
          <w:ilvl w:val="0"/>
          <w:numId w:val="2"/>
        </w:numPr>
        <w:jc w:val="both"/>
      </w:pPr>
      <w:r>
        <w:t>If E</w:t>
      </w:r>
      <w:r w:rsidR="005B597A">
        <w:t>FV is contraindicated, substitute EFV with</w:t>
      </w:r>
      <w:r>
        <w:t xml:space="preserve"> NVP</w:t>
      </w:r>
    </w:p>
    <w:p w:rsidR="00426522" w:rsidRDefault="00430816" w:rsidP="0009092E">
      <w:pPr>
        <w:pStyle w:val="ListParagraph"/>
        <w:numPr>
          <w:ilvl w:val="0"/>
          <w:numId w:val="2"/>
        </w:numPr>
        <w:jc w:val="both"/>
      </w:pPr>
      <w:r>
        <w:t xml:space="preserve">3TC </w:t>
      </w:r>
      <w:r w:rsidR="005B597A">
        <w:t>could be substituted</w:t>
      </w:r>
      <w:r w:rsidR="00426522">
        <w:t xml:space="preserve"> </w:t>
      </w:r>
      <w:r>
        <w:t xml:space="preserve">by Emtricitabine (FTC) </w:t>
      </w:r>
    </w:p>
    <w:p w:rsidR="00426522" w:rsidRDefault="00426522" w:rsidP="00426522">
      <w:pPr>
        <w:ind w:left="360"/>
        <w:jc w:val="both"/>
      </w:pPr>
      <w:r>
        <w:t>Note: children over 10 years old but weight less than 35kg should be offered treatment regime</w:t>
      </w:r>
      <w:r w:rsidR="00B806BB">
        <w:t>n</w:t>
      </w:r>
      <w:r>
        <w:t xml:space="preserve"> as in 2.1.1.</w:t>
      </w:r>
    </w:p>
    <w:p w:rsidR="00426522" w:rsidRPr="00B806BB" w:rsidRDefault="00426522" w:rsidP="00426522">
      <w:pPr>
        <w:pStyle w:val="ListParagraph"/>
        <w:numPr>
          <w:ilvl w:val="1"/>
          <w:numId w:val="1"/>
        </w:numPr>
        <w:jc w:val="both"/>
        <w:rPr>
          <w:b/>
        </w:rPr>
      </w:pPr>
      <w:r>
        <w:t xml:space="preserve"> </w:t>
      </w:r>
      <w:r w:rsidRPr="00B806BB">
        <w:rPr>
          <w:b/>
        </w:rPr>
        <w:t>Children from 3 to 10 years old</w:t>
      </w:r>
    </w:p>
    <w:p w:rsidR="00426522" w:rsidRDefault="00430816" w:rsidP="00426522">
      <w:pPr>
        <w:pStyle w:val="ListParagraph"/>
        <w:numPr>
          <w:ilvl w:val="2"/>
          <w:numId w:val="1"/>
        </w:numPr>
        <w:jc w:val="both"/>
      </w:pPr>
      <w:r>
        <w:t>Preferred</w:t>
      </w:r>
      <w:r w:rsidR="00426522">
        <w:t xml:space="preserve"> regime</w:t>
      </w:r>
      <w:r w:rsidR="00B806BB">
        <w:t>n</w:t>
      </w:r>
      <w:r w:rsidR="00426522">
        <w:t>:</w:t>
      </w:r>
    </w:p>
    <w:p w:rsidR="00426522" w:rsidRDefault="00426522" w:rsidP="00B806BB">
      <w:pPr>
        <w:pStyle w:val="ListParagraph"/>
        <w:ind w:left="1080"/>
        <w:jc w:val="center"/>
      </w:pPr>
      <w:r>
        <w:t>ABC + 3TC + EFV</w:t>
      </w:r>
    </w:p>
    <w:p w:rsidR="00426522" w:rsidRDefault="00426522" w:rsidP="00426522">
      <w:pPr>
        <w:pStyle w:val="ListParagraph"/>
        <w:numPr>
          <w:ilvl w:val="2"/>
          <w:numId w:val="1"/>
        </w:numPr>
        <w:jc w:val="both"/>
      </w:pPr>
      <w:r>
        <w:t>Alternative regime</w:t>
      </w:r>
      <w:r w:rsidR="00B806BB">
        <w:t>n</w:t>
      </w:r>
      <w:r>
        <w:t>s:</w:t>
      </w:r>
    </w:p>
    <w:p w:rsidR="00426522" w:rsidRDefault="00426522" w:rsidP="00426522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If ABC is contraindicated, </w:t>
      </w:r>
      <w:r w:rsidR="005B597A">
        <w:t>substitute ABC with</w:t>
      </w:r>
      <w:r>
        <w:t xml:space="preserve"> AZT</w:t>
      </w:r>
    </w:p>
    <w:p w:rsidR="00426522" w:rsidRDefault="00426522" w:rsidP="00426522">
      <w:pPr>
        <w:pStyle w:val="ListParagraph"/>
        <w:numPr>
          <w:ilvl w:val="0"/>
          <w:numId w:val="2"/>
        </w:numPr>
        <w:jc w:val="both"/>
      </w:pPr>
      <w:r>
        <w:t xml:space="preserve">If EFV is contraindicated, </w:t>
      </w:r>
      <w:r w:rsidR="005B597A">
        <w:t>substitute EFV with</w:t>
      </w:r>
      <w:r>
        <w:t xml:space="preserve"> NVP</w:t>
      </w:r>
    </w:p>
    <w:p w:rsidR="00426522" w:rsidRDefault="00430816" w:rsidP="00426522">
      <w:pPr>
        <w:pStyle w:val="ListParagraph"/>
        <w:numPr>
          <w:ilvl w:val="0"/>
          <w:numId w:val="2"/>
        </w:numPr>
        <w:jc w:val="both"/>
      </w:pPr>
      <w:r>
        <w:t>3TC could be substituted by Emtricitabine (FTC)</w:t>
      </w:r>
    </w:p>
    <w:p w:rsidR="00426522" w:rsidRPr="00B806BB" w:rsidRDefault="00426522" w:rsidP="00426522">
      <w:pPr>
        <w:pStyle w:val="ListParagraph"/>
        <w:numPr>
          <w:ilvl w:val="1"/>
          <w:numId w:val="1"/>
        </w:numPr>
        <w:jc w:val="both"/>
        <w:rPr>
          <w:b/>
        </w:rPr>
      </w:pPr>
      <w:r w:rsidRPr="00B806BB">
        <w:rPr>
          <w:b/>
        </w:rPr>
        <w:t>Children under 3 years old</w:t>
      </w:r>
    </w:p>
    <w:p w:rsidR="00426522" w:rsidRDefault="00430816" w:rsidP="00426522">
      <w:pPr>
        <w:pStyle w:val="ListParagraph"/>
        <w:numPr>
          <w:ilvl w:val="2"/>
          <w:numId w:val="1"/>
        </w:numPr>
        <w:jc w:val="both"/>
      </w:pPr>
      <w:r>
        <w:t>Preferred</w:t>
      </w:r>
      <w:r w:rsidR="00426522">
        <w:t xml:space="preserve"> regime</w:t>
      </w:r>
      <w:r w:rsidR="00B806BB">
        <w:t>n</w:t>
      </w:r>
      <w:r w:rsidR="00426522">
        <w:t>:</w:t>
      </w:r>
    </w:p>
    <w:p w:rsidR="00426522" w:rsidRDefault="00426522" w:rsidP="00B806BB">
      <w:pPr>
        <w:pStyle w:val="ListParagraph"/>
        <w:ind w:left="1080"/>
        <w:jc w:val="center"/>
      </w:pPr>
      <w:r>
        <w:t>ABC + 3TC + LPV/r</w:t>
      </w:r>
    </w:p>
    <w:p w:rsidR="00426522" w:rsidRDefault="00426522" w:rsidP="00426522">
      <w:pPr>
        <w:pStyle w:val="ListParagraph"/>
        <w:numPr>
          <w:ilvl w:val="2"/>
          <w:numId w:val="1"/>
        </w:numPr>
        <w:jc w:val="both"/>
      </w:pPr>
      <w:r>
        <w:t>Alternative regime</w:t>
      </w:r>
      <w:r w:rsidR="00B806BB">
        <w:t>n</w:t>
      </w:r>
      <w:r>
        <w:t>s:</w:t>
      </w:r>
    </w:p>
    <w:p w:rsidR="00426522" w:rsidRDefault="00426522" w:rsidP="00426522">
      <w:pPr>
        <w:pStyle w:val="ListParagraph"/>
        <w:numPr>
          <w:ilvl w:val="0"/>
          <w:numId w:val="2"/>
        </w:numPr>
        <w:jc w:val="both"/>
      </w:pPr>
      <w:r>
        <w:t xml:space="preserve">If ABC is contraindicated, </w:t>
      </w:r>
      <w:r w:rsidR="005B597A">
        <w:t xml:space="preserve">substitute ABC with </w:t>
      </w:r>
      <w:r>
        <w:t>AZT</w:t>
      </w:r>
    </w:p>
    <w:p w:rsidR="0009092E" w:rsidRDefault="00426522" w:rsidP="00426522">
      <w:pPr>
        <w:pStyle w:val="ListParagraph"/>
        <w:numPr>
          <w:ilvl w:val="0"/>
          <w:numId w:val="2"/>
        </w:numPr>
        <w:jc w:val="both"/>
      </w:pPr>
      <w:r>
        <w:t xml:space="preserve">If LPV/r is contraindicated, </w:t>
      </w:r>
      <w:r w:rsidR="005B597A">
        <w:t xml:space="preserve">substitute LPV/r with </w:t>
      </w:r>
      <w:r>
        <w:t>NVP</w:t>
      </w:r>
    </w:p>
    <w:p w:rsidR="00426522" w:rsidRDefault="00426522" w:rsidP="005B597A">
      <w:pPr>
        <w:ind w:left="360"/>
        <w:jc w:val="both"/>
      </w:pPr>
      <w:r>
        <w:t xml:space="preserve">These new treatment </w:t>
      </w:r>
      <w:r w:rsidR="00EF4CBD">
        <w:t>criteria</w:t>
      </w:r>
      <w:r w:rsidR="005B597A">
        <w:t xml:space="preserve"> will replace old </w:t>
      </w:r>
      <w:r w:rsidR="00EF4CBD">
        <w:t>criteria</w:t>
      </w:r>
      <w:r w:rsidR="005B597A">
        <w:t xml:space="preserve"> specified in HIV/AIDS Diagnosis and Treatment Guidelines issued in the Decision No. 3003/QD-BYT dated 19 </w:t>
      </w:r>
      <w:r w:rsidR="005B597A">
        <w:lastRenderedPageBreak/>
        <w:t>Aug 2009 and Decision No. 4139/QD-BYT dated 2 Nov 2011 by the Minister of Health.</w:t>
      </w:r>
    </w:p>
    <w:p w:rsidR="005B597A" w:rsidRDefault="005B597A" w:rsidP="005B597A">
      <w:pPr>
        <w:ind w:left="360"/>
        <w:jc w:val="both"/>
      </w:pPr>
      <w:r>
        <w:t xml:space="preserve">Contact info: VAAC (Treatment &amp; Care Dept.), 135/3 Nui Truc, Ba Dinh, Hanoi. Phone: 043.7367144, email: </w:t>
      </w:r>
      <w:hyperlink r:id="rId5" w:history="1">
        <w:r w:rsidRPr="00345264">
          <w:rPr>
            <w:rStyle w:val="Hyperlink"/>
          </w:rPr>
          <w:t>dieutrivaac@gmail.com</w:t>
        </w:r>
      </w:hyperlink>
      <w:r>
        <w:tab/>
      </w:r>
    </w:p>
    <w:p w:rsidR="005B597A" w:rsidRDefault="005B597A" w:rsidP="005B597A">
      <w:pPr>
        <w:ind w:left="360"/>
        <w:jc w:val="both"/>
      </w:pPr>
      <w:r>
        <w:t>Sincerely,</w:t>
      </w:r>
    </w:p>
    <w:p w:rsidR="005B597A" w:rsidRDefault="005B597A" w:rsidP="005B597A">
      <w:pPr>
        <w:ind w:left="360"/>
        <w:jc w:val="both"/>
      </w:pPr>
      <w:r>
        <w:t>On behalf of Minister</w:t>
      </w:r>
    </w:p>
    <w:p w:rsidR="005B597A" w:rsidRDefault="005B597A" w:rsidP="005B597A">
      <w:pPr>
        <w:ind w:left="360"/>
        <w:jc w:val="both"/>
      </w:pPr>
      <w:r>
        <w:t>Vice-Minister</w:t>
      </w:r>
    </w:p>
    <w:p w:rsidR="005B597A" w:rsidRDefault="005B597A" w:rsidP="005B597A">
      <w:pPr>
        <w:ind w:left="360"/>
        <w:jc w:val="both"/>
      </w:pPr>
      <w:r>
        <w:t>(Signed &amp; stamped)</w:t>
      </w:r>
    </w:p>
    <w:p w:rsidR="005B597A" w:rsidRDefault="005B597A" w:rsidP="00426522">
      <w:pPr>
        <w:pStyle w:val="ListParagraph"/>
        <w:jc w:val="both"/>
      </w:pPr>
    </w:p>
    <w:sectPr w:rsidR="005B597A" w:rsidSect="00CD1CA4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1D28"/>
    <w:multiLevelType w:val="hybridMultilevel"/>
    <w:tmpl w:val="99B4F8CC"/>
    <w:lvl w:ilvl="0" w:tplc="24C87B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B78A5"/>
    <w:multiLevelType w:val="multilevel"/>
    <w:tmpl w:val="7FB8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5E"/>
    <w:rsid w:val="0009092E"/>
    <w:rsid w:val="000D5815"/>
    <w:rsid w:val="00193040"/>
    <w:rsid w:val="001B5290"/>
    <w:rsid w:val="001E1169"/>
    <w:rsid w:val="001E7806"/>
    <w:rsid w:val="00372BAB"/>
    <w:rsid w:val="00426522"/>
    <w:rsid w:val="00430816"/>
    <w:rsid w:val="00446648"/>
    <w:rsid w:val="004B12AD"/>
    <w:rsid w:val="004C6996"/>
    <w:rsid w:val="00585949"/>
    <w:rsid w:val="005B597A"/>
    <w:rsid w:val="0066565E"/>
    <w:rsid w:val="00804505"/>
    <w:rsid w:val="00974E7B"/>
    <w:rsid w:val="00A04660"/>
    <w:rsid w:val="00A10EB2"/>
    <w:rsid w:val="00A63AFB"/>
    <w:rsid w:val="00B806BB"/>
    <w:rsid w:val="00CD1CA4"/>
    <w:rsid w:val="00E05118"/>
    <w:rsid w:val="00E45DC3"/>
    <w:rsid w:val="00EF4CBD"/>
    <w:rsid w:val="00F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A22F380-DD61-4FF9-9124-79281A57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16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FB"/>
    <w:pPr>
      <w:ind w:left="720"/>
      <w:contextualSpacing/>
    </w:pPr>
  </w:style>
  <w:style w:type="table" w:styleId="TableGrid">
    <w:name w:val="Table Grid"/>
    <w:basedOn w:val="TableNormal"/>
    <w:uiPriority w:val="59"/>
    <w:rsid w:val="00A6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eutriva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Health Access Intiative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Thoa Tran</dc:creator>
  <cp:lastModifiedBy>Anon</cp:lastModifiedBy>
  <cp:revision>2</cp:revision>
  <dcterms:created xsi:type="dcterms:W3CDTF">2015-07-22T18:23:00Z</dcterms:created>
  <dcterms:modified xsi:type="dcterms:W3CDTF">2015-07-22T18:23:00Z</dcterms:modified>
</cp:coreProperties>
</file>