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378258069" w:displacedByCustomXml="next"/>
    <w:sdt>
      <w:sdtPr>
        <w:rPr>
          <w:rFonts w:asciiTheme="minorHAnsi" w:eastAsiaTheme="minorHAnsi" w:hAnsiTheme="minorHAnsi" w:cstheme="minorBidi"/>
          <w:b w:val="0"/>
          <w:bCs w:val="0"/>
          <w:color w:val="auto"/>
          <w:sz w:val="22"/>
          <w:szCs w:val="22"/>
        </w:rPr>
        <w:id w:val="13160994"/>
        <w:docPartObj>
          <w:docPartGallery w:val="Table of Contents"/>
          <w:docPartUnique/>
        </w:docPartObj>
      </w:sdtPr>
      <w:sdtEndPr/>
      <w:sdtContent>
        <w:p w:rsidR="00FF2CD0" w:rsidRDefault="00FF2CD0">
          <w:pPr>
            <w:pStyle w:val="TOCHeading"/>
          </w:pPr>
          <w:r>
            <w:t>Contents</w:t>
          </w:r>
        </w:p>
        <w:p w:rsidR="004C4B6C" w:rsidRDefault="008A3C38">
          <w:pPr>
            <w:pStyle w:val="TOC1"/>
            <w:tabs>
              <w:tab w:val="right" w:leader="dot" w:pos="9350"/>
            </w:tabs>
            <w:rPr>
              <w:rFonts w:asciiTheme="minorHAnsi" w:eastAsiaTheme="minorEastAsia" w:hAnsiTheme="minorHAnsi" w:cstheme="minorBidi"/>
              <w:noProof/>
              <w:color w:val="auto"/>
            </w:rPr>
          </w:pPr>
          <w:r>
            <w:fldChar w:fldCharType="begin"/>
          </w:r>
          <w:r w:rsidR="00FF2CD0">
            <w:instrText xml:space="preserve"> TOC \o "1-3" \h \z \u </w:instrText>
          </w:r>
          <w:r>
            <w:fldChar w:fldCharType="separate"/>
          </w:r>
          <w:hyperlink w:anchor="_Toc382213925" w:history="1">
            <w:r w:rsidR="004C4B6C" w:rsidRPr="000B5124">
              <w:rPr>
                <w:rStyle w:val="Hyperlink"/>
                <w:noProof/>
              </w:rPr>
              <w:t>CHAPTER 1 OVERVIEW</w:t>
            </w:r>
            <w:r w:rsidR="004C4B6C">
              <w:rPr>
                <w:noProof/>
                <w:webHidden/>
              </w:rPr>
              <w:tab/>
            </w:r>
            <w:r>
              <w:rPr>
                <w:noProof/>
                <w:webHidden/>
              </w:rPr>
              <w:fldChar w:fldCharType="begin"/>
            </w:r>
            <w:r w:rsidR="004C4B6C">
              <w:rPr>
                <w:noProof/>
                <w:webHidden/>
              </w:rPr>
              <w:instrText xml:space="preserve"> PAGEREF _Toc382213925 \h </w:instrText>
            </w:r>
            <w:r>
              <w:rPr>
                <w:noProof/>
                <w:webHidden/>
              </w:rPr>
            </w:r>
            <w:r>
              <w:rPr>
                <w:noProof/>
                <w:webHidden/>
              </w:rPr>
              <w:fldChar w:fldCharType="separate"/>
            </w:r>
            <w:r w:rsidR="004C4B6C">
              <w:rPr>
                <w:noProof/>
                <w:webHidden/>
              </w:rPr>
              <w:t>11</w:t>
            </w:r>
            <w:r>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3926" w:history="1">
            <w:r w:rsidR="004C4B6C" w:rsidRPr="000B5124">
              <w:rPr>
                <w:rStyle w:val="Hyperlink"/>
                <w:noProof/>
              </w:rPr>
              <w:t>1.1 Epidemiology of HIV/AIDS</w:t>
            </w:r>
            <w:r w:rsidR="004C4B6C">
              <w:rPr>
                <w:noProof/>
                <w:webHidden/>
              </w:rPr>
              <w:tab/>
            </w:r>
            <w:r w:rsidR="008A3C38">
              <w:rPr>
                <w:noProof/>
                <w:webHidden/>
              </w:rPr>
              <w:fldChar w:fldCharType="begin"/>
            </w:r>
            <w:r w:rsidR="004C4B6C">
              <w:rPr>
                <w:noProof/>
                <w:webHidden/>
              </w:rPr>
              <w:instrText xml:space="preserve"> PAGEREF _Toc382213926 \h </w:instrText>
            </w:r>
            <w:r w:rsidR="008A3C38">
              <w:rPr>
                <w:noProof/>
                <w:webHidden/>
              </w:rPr>
            </w:r>
            <w:r w:rsidR="008A3C38">
              <w:rPr>
                <w:noProof/>
                <w:webHidden/>
              </w:rPr>
              <w:fldChar w:fldCharType="separate"/>
            </w:r>
            <w:r w:rsidR="004C4B6C">
              <w:rPr>
                <w:noProof/>
                <w:webHidden/>
              </w:rPr>
              <w:t>11</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3927" w:history="1">
            <w:r w:rsidR="004C4B6C" w:rsidRPr="000B5124">
              <w:rPr>
                <w:rStyle w:val="Hyperlink"/>
                <w:noProof/>
              </w:rPr>
              <w:t>1.2 Impact of HIV/AIDS</w:t>
            </w:r>
            <w:r w:rsidR="004C4B6C">
              <w:rPr>
                <w:noProof/>
                <w:webHidden/>
              </w:rPr>
              <w:tab/>
            </w:r>
            <w:r w:rsidR="008A3C38">
              <w:rPr>
                <w:noProof/>
                <w:webHidden/>
              </w:rPr>
              <w:fldChar w:fldCharType="begin"/>
            </w:r>
            <w:r w:rsidR="004C4B6C">
              <w:rPr>
                <w:noProof/>
                <w:webHidden/>
              </w:rPr>
              <w:instrText xml:space="preserve"> PAGEREF _Toc382213927 \h </w:instrText>
            </w:r>
            <w:r w:rsidR="008A3C38">
              <w:rPr>
                <w:noProof/>
                <w:webHidden/>
              </w:rPr>
            </w:r>
            <w:r w:rsidR="008A3C38">
              <w:rPr>
                <w:noProof/>
                <w:webHidden/>
              </w:rPr>
              <w:fldChar w:fldCharType="separate"/>
            </w:r>
            <w:r w:rsidR="004C4B6C">
              <w:rPr>
                <w:noProof/>
                <w:webHidden/>
              </w:rPr>
              <w:t>12</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28" w:history="1">
            <w:r w:rsidR="004C4B6C" w:rsidRPr="000B5124">
              <w:rPr>
                <w:rStyle w:val="Hyperlink"/>
                <w:noProof/>
              </w:rPr>
              <w:t>1.2.1 Health Impact</w:t>
            </w:r>
            <w:r w:rsidR="004C4B6C">
              <w:rPr>
                <w:noProof/>
                <w:webHidden/>
              </w:rPr>
              <w:tab/>
            </w:r>
            <w:r w:rsidR="008A3C38">
              <w:rPr>
                <w:noProof/>
                <w:webHidden/>
              </w:rPr>
              <w:fldChar w:fldCharType="begin"/>
            </w:r>
            <w:r w:rsidR="004C4B6C">
              <w:rPr>
                <w:noProof/>
                <w:webHidden/>
              </w:rPr>
              <w:instrText xml:space="preserve"> PAGEREF _Toc382213928 \h </w:instrText>
            </w:r>
            <w:r w:rsidR="008A3C38">
              <w:rPr>
                <w:noProof/>
                <w:webHidden/>
              </w:rPr>
            </w:r>
            <w:r w:rsidR="008A3C38">
              <w:rPr>
                <w:noProof/>
                <w:webHidden/>
              </w:rPr>
              <w:fldChar w:fldCharType="separate"/>
            </w:r>
            <w:r w:rsidR="004C4B6C">
              <w:rPr>
                <w:noProof/>
                <w:webHidden/>
              </w:rPr>
              <w:t>12</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29" w:history="1">
            <w:r w:rsidR="004C4B6C" w:rsidRPr="000B5124">
              <w:rPr>
                <w:rStyle w:val="Hyperlink"/>
                <w:noProof/>
              </w:rPr>
              <w:t>1.2.2 Economic Impact</w:t>
            </w:r>
            <w:r w:rsidR="004C4B6C">
              <w:rPr>
                <w:noProof/>
                <w:webHidden/>
              </w:rPr>
              <w:tab/>
            </w:r>
            <w:r w:rsidR="008A3C38">
              <w:rPr>
                <w:noProof/>
                <w:webHidden/>
              </w:rPr>
              <w:fldChar w:fldCharType="begin"/>
            </w:r>
            <w:r w:rsidR="004C4B6C">
              <w:rPr>
                <w:noProof/>
                <w:webHidden/>
              </w:rPr>
              <w:instrText xml:space="preserve"> PAGEREF _Toc382213929 \h </w:instrText>
            </w:r>
            <w:r w:rsidR="008A3C38">
              <w:rPr>
                <w:noProof/>
                <w:webHidden/>
              </w:rPr>
            </w:r>
            <w:r w:rsidR="008A3C38">
              <w:rPr>
                <w:noProof/>
                <w:webHidden/>
              </w:rPr>
              <w:fldChar w:fldCharType="separate"/>
            </w:r>
            <w:r w:rsidR="004C4B6C">
              <w:rPr>
                <w:noProof/>
                <w:webHidden/>
              </w:rPr>
              <w:t>12</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30" w:history="1">
            <w:r w:rsidR="004C4B6C" w:rsidRPr="000B5124">
              <w:rPr>
                <w:rStyle w:val="Hyperlink"/>
                <w:noProof/>
              </w:rPr>
              <w:t>1.2.3 Social Impact</w:t>
            </w:r>
            <w:r w:rsidR="004C4B6C">
              <w:rPr>
                <w:noProof/>
                <w:webHidden/>
              </w:rPr>
              <w:tab/>
            </w:r>
            <w:r w:rsidR="008A3C38">
              <w:rPr>
                <w:noProof/>
                <w:webHidden/>
              </w:rPr>
              <w:fldChar w:fldCharType="begin"/>
            </w:r>
            <w:r w:rsidR="004C4B6C">
              <w:rPr>
                <w:noProof/>
                <w:webHidden/>
              </w:rPr>
              <w:instrText xml:space="preserve"> PAGEREF _Toc382213930 \h </w:instrText>
            </w:r>
            <w:r w:rsidR="008A3C38">
              <w:rPr>
                <w:noProof/>
                <w:webHidden/>
              </w:rPr>
            </w:r>
            <w:r w:rsidR="008A3C38">
              <w:rPr>
                <w:noProof/>
                <w:webHidden/>
              </w:rPr>
              <w:fldChar w:fldCharType="separate"/>
            </w:r>
            <w:r w:rsidR="004C4B6C">
              <w:rPr>
                <w:noProof/>
                <w:webHidden/>
              </w:rPr>
              <w:t>13</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3931" w:history="1">
            <w:r w:rsidR="004C4B6C" w:rsidRPr="000B5124">
              <w:rPr>
                <w:rStyle w:val="Hyperlink"/>
                <w:noProof/>
              </w:rPr>
              <w:t>1.3 National Response to Care and Treatment</w:t>
            </w:r>
            <w:r w:rsidR="004C4B6C">
              <w:rPr>
                <w:noProof/>
                <w:webHidden/>
              </w:rPr>
              <w:tab/>
            </w:r>
            <w:r w:rsidR="008A3C38">
              <w:rPr>
                <w:noProof/>
                <w:webHidden/>
              </w:rPr>
              <w:fldChar w:fldCharType="begin"/>
            </w:r>
            <w:r w:rsidR="004C4B6C">
              <w:rPr>
                <w:noProof/>
                <w:webHidden/>
              </w:rPr>
              <w:instrText xml:space="preserve"> PAGEREF _Toc382213931 \h </w:instrText>
            </w:r>
            <w:r w:rsidR="008A3C38">
              <w:rPr>
                <w:noProof/>
                <w:webHidden/>
              </w:rPr>
            </w:r>
            <w:r w:rsidR="008A3C38">
              <w:rPr>
                <w:noProof/>
                <w:webHidden/>
              </w:rPr>
              <w:fldChar w:fldCharType="separate"/>
            </w:r>
            <w:r w:rsidR="004C4B6C">
              <w:rPr>
                <w:noProof/>
                <w:webHidden/>
              </w:rPr>
              <w:t>13</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3932" w:history="1">
            <w:r w:rsidR="004C4B6C" w:rsidRPr="000B5124">
              <w:rPr>
                <w:rStyle w:val="Hyperlink"/>
                <w:noProof/>
              </w:rPr>
              <w:t>1.4 Basic Facts about HIV</w:t>
            </w:r>
            <w:r w:rsidR="004C4B6C">
              <w:rPr>
                <w:noProof/>
                <w:webHidden/>
              </w:rPr>
              <w:tab/>
            </w:r>
            <w:r w:rsidR="008A3C38">
              <w:rPr>
                <w:noProof/>
                <w:webHidden/>
              </w:rPr>
              <w:fldChar w:fldCharType="begin"/>
            </w:r>
            <w:r w:rsidR="004C4B6C">
              <w:rPr>
                <w:noProof/>
                <w:webHidden/>
              </w:rPr>
              <w:instrText xml:space="preserve"> PAGEREF _Toc382213932 \h </w:instrText>
            </w:r>
            <w:r w:rsidR="008A3C38">
              <w:rPr>
                <w:noProof/>
                <w:webHidden/>
              </w:rPr>
            </w:r>
            <w:r w:rsidR="008A3C38">
              <w:rPr>
                <w:noProof/>
                <w:webHidden/>
              </w:rPr>
              <w:fldChar w:fldCharType="separate"/>
            </w:r>
            <w:r w:rsidR="004C4B6C">
              <w:rPr>
                <w:noProof/>
                <w:webHidden/>
              </w:rPr>
              <w:t>13</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33" w:history="1">
            <w:r w:rsidR="004C4B6C" w:rsidRPr="000B5124">
              <w:rPr>
                <w:rStyle w:val="Hyperlink"/>
                <w:noProof/>
              </w:rPr>
              <w:t>1.4.1Aetiology of HIV</w:t>
            </w:r>
            <w:r w:rsidR="004C4B6C">
              <w:rPr>
                <w:noProof/>
                <w:webHidden/>
              </w:rPr>
              <w:tab/>
            </w:r>
            <w:r w:rsidR="008A3C38">
              <w:rPr>
                <w:noProof/>
                <w:webHidden/>
              </w:rPr>
              <w:fldChar w:fldCharType="begin"/>
            </w:r>
            <w:r w:rsidR="004C4B6C">
              <w:rPr>
                <w:noProof/>
                <w:webHidden/>
              </w:rPr>
              <w:instrText xml:space="preserve"> PAGEREF _Toc382213933 \h </w:instrText>
            </w:r>
            <w:r w:rsidR="008A3C38">
              <w:rPr>
                <w:noProof/>
                <w:webHidden/>
              </w:rPr>
            </w:r>
            <w:r w:rsidR="008A3C38">
              <w:rPr>
                <w:noProof/>
                <w:webHidden/>
              </w:rPr>
              <w:fldChar w:fldCharType="separate"/>
            </w:r>
            <w:r w:rsidR="004C4B6C">
              <w:rPr>
                <w:noProof/>
                <w:webHidden/>
              </w:rPr>
              <w:t>13</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34" w:history="1">
            <w:r w:rsidR="004C4B6C" w:rsidRPr="000B5124">
              <w:rPr>
                <w:rStyle w:val="Hyperlink"/>
                <w:noProof/>
              </w:rPr>
              <w:t>1.4.2 HIV Transmission</w:t>
            </w:r>
            <w:r w:rsidR="004C4B6C">
              <w:rPr>
                <w:noProof/>
                <w:webHidden/>
              </w:rPr>
              <w:tab/>
            </w:r>
            <w:r w:rsidR="008A3C38">
              <w:rPr>
                <w:noProof/>
                <w:webHidden/>
              </w:rPr>
              <w:fldChar w:fldCharType="begin"/>
            </w:r>
            <w:r w:rsidR="004C4B6C">
              <w:rPr>
                <w:noProof/>
                <w:webHidden/>
              </w:rPr>
              <w:instrText xml:space="preserve"> PAGEREF _Toc382213934 \h </w:instrText>
            </w:r>
            <w:r w:rsidR="008A3C38">
              <w:rPr>
                <w:noProof/>
                <w:webHidden/>
              </w:rPr>
            </w:r>
            <w:r w:rsidR="008A3C38">
              <w:rPr>
                <w:noProof/>
                <w:webHidden/>
              </w:rPr>
              <w:fldChar w:fldCharType="separate"/>
            </w:r>
            <w:r w:rsidR="004C4B6C">
              <w:rPr>
                <w:noProof/>
                <w:webHidden/>
              </w:rPr>
              <w:t>13</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35" w:history="1">
            <w:r w:rsidR="004C4B6C" w:rsidRPr="000B5124">
              <w:rPr>
                <w:rStyle w:val="Hyperlink"/>
                <w:noProof/>
              </w:rPr>
              <w:t>1.4.3 Pathophysiology of HIV Infection</w:t>
            </w:r>
            <w:r w:rsidR="004C4B6C">
              <w:rPr>
                <w:noProof/>
                <w:webHidden/>
              </w:rPr>
              <w:tab/>
            </w:r>
            <w:r w:rsidR="008A3C38">
              <w:rPr>
                <w:noProof/>
                <w:webHidden/>
              </w:rPr>
              <w:fldChar w:fldCharType="begin"/>
            </w:r>
            <w:r w:rsidR="004C4B6C">
              <w:rPr>
                <w:noProof/>
                <w:webHidden/>
              </w:rPr>
              <w:instrText xml:space="preserve"> PAGEREF _Toc382213935 \h </w:instrText>
            </w:r>
            <w:r w:rsidR="008A3C38">
              <w:rPr>
                <w:noProof/>
                <w:webHidden/>
              </w:rPr>
            </w:r>
            <w:r w:rsidR="008A3C38">
              <w:rPr>
                <w:noProof/>
                <w:webHidden/>
              </w:rPr>
              <w:fldChar w:fldCharType="separate"/>
            </w:r>
            <w:r w:rsidR="004C4B6C">
              <w:rPr>
                <w:noProof/>
                <w:webHidden/>
              </w:rPr>
              <w:t>14</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36" w:history="1">
            <w:r w:rsidR="004C4B6C" w:rsidRPr="000B5124">
              <w:rPr>
                <w:rStyle w:val="Hyperlink"/>
                <w:noProof/>
              </w:rPr>
              <w:t>1.4.4 Natural History of HIV Infection</w:t>
            </w:r>
            <w:r w:rsidR="004C4B6C">
              <w:rPr>
                <w:noProof/>
                <w:webHidden/>
              </w:rPr>
              <w:tab/>
            </w:r>
            <w:r w:rsidR="008A3C38">
              <w:rPr>
                <w:noProof/>
                <w:webHidden/>
              </w:rPr>
              <w:fldChar w:fldCharType="begin"/>
            </w:r>
            <w:r w:rsidR="004C4B6C">
              <w:rPr>
                <w:noProof/>
                <w:webHidden/>
              </w:rPr>
              <w:instrText xml:space="preserve"> PAGEREF _Toc382213936 \h </w:instrText>
            </w:r>
            <w:r w:rsidR="008A3C38">
              <w:rPr>
                <w:noProof/>
                <w:webHidden/>
              </w:rPr>
            </w:r>
            <w:r w:rsidR="008A3C38">
              <w:rPr>
                <w:noProof/>
                <w:webHidden/>
              </w:rPr>
              <w:fldChar w:fldCharType="separate"/>
            </w:r>
            <w:r w:rsidR="004C4B6C">
              <w:rPr>
                <w:noProof/>
                <w:webHidden/>
              </w:rPr>
              <w:t>14</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3937" w:history="1">
            <w:r w:rsidR="004C4B6C" w:rsidRPr="000B5124">
              <w:rPr>
                <w:rStyle w:val="Hyperlink"/>
                <w:noProof/>
              </w:rPr>
              <w:t>1.5 Clinical Progression of HIV Infection</w:t>
            </w:r>
            <w:r w:rsidR="004C4B6C">
              <w:rPr>
                <w:noProof/>
                <w:webHidden/>
              </w:rPr>
              <w:tab/>
            </w:r>
            <w:r w:rsidR="008A3C38">
              <w:rPr>
                <w:noProof/>
                <w:webHidden/>
              </w:rPr>
              <w:fldChar w:fldCharType="begin"/>
            </w:r>
            <w:r w:rsidR="004C4B6C">
              <w:rPr>
                <w:noProof/>
                <w:webHidden/>
              </w:rPr>
              <w:instrText xml:space="preserve"> PAGEREF _Toc382213937 \h </w:instrText>
            </w:r>
            <w:r w:rsidR="008A3C38">
              <w:rPr>
                <w:noProof/>
                <w:webHidden/>
              </w:rPr>
            </w:r>
            <w:r w:rsidR="008A3C38">
              <w:rPr>
                <w:noProof/>
                <w:webHidden/>
              </w:rPr>
              <w:fldChar w:fldCharType="separate"/>
            </w:r>
            <w:r w:rsidR="004C4B6C">
              <w:rPr>
                <w:noProof/>
                <w:webHidden/>
              </w:rPr>
              <w:t>16</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38" w:history="1">
            <w:r w:rsidR="004C4B6C" w:rsidRPr="000B5124">
              <w:rPr>
                <w:rStyle w:val="Hyperlink"/>
                <w:noProof/>
              </w:rPr>
              <w:t>1.5.1 Primary Infection, or Becoming HIV Infected</w:t>
            </w:r>
            <w:r w:rsidR="004C4B6C">
              <w:rPr>
                <w:noProof/>
                <w:webHidden/>
              </w:rPr>
              <w:tab/>
            </w:r>
            <w:r w:rsidR="008A3C38">
              <w:rPr>
                <w:noProof/>
                <w:webHidden/>
              </w:rPr>
              <w:fldChar w:fldCharType="begin"/>
            </w:r>
            <w:r w:rsidR="004C4B6C">
              <w:rPr>
                <w:noProof/>
                <w:webHidden/>
              </w:rPr>
              <w:instrText xml:space="preserve"> PAGEREF _Toc382213938 \h </w:instrText>
            </w:r>
            <w:r w:rsidR="008A3C38">
              <w:rPr>
                <w:noProof/>
                <w:webHidden/>
              </w:rPr>
            </w:r>
            <w:r w:rsidR="008A3C38">
              <w:rPr>
                <w:noProof/>
                <w:webHidden/>
              </w:rPr>
              <w:fldChar w:fldCharType="separate"/>
            </w:r>
            <w:r w:rsidR="004C4B6C">
              <w:rPr>
                <w:noProof/>
                <w:webHidden/>
              </w:rPr>
              <w:t>16</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39" w:history="1">
            <w:r w:rsidR="004C4B6C" w:rsidRPr="000B5124">
              <w:rPr>
                <w:rStyle w:val="Hyperlink"/>
                <w:noProof/>
              </w:rPr>
              <w:t>1.5.2 Clinically Asymptomatic Stage</w:t>
            </w:r>
            <w:r w:rsidR="004C4B6C">
              <w:rPr>
                <w:noProof/>
                <w:webHidden/>
              </w:rPr>
              <w:tab/>
            </w:r>
            <w:r w:rsidR="008A3C38">
              <w:rPr>
                <w:noProof/>
                <w:webHidden/>
              </w:rPr>
              <w:fldChar w:fldCharType="begin"/>
            </w:r>
            <w:r w:rsidR="004C4B6C">
              <w:rPr>
                <w:noProof/>
                <w:webHidden/>
              </w:rPr>
              <w:instrText xml:space="preserve"> PAGEREF _Toc382213939 \h </w:instrText>
            </w:r>
            <w:r w:rsidR="008A3C38">
              <w:rPr>
                <w:noProof/>
                <w:webHidden/>
              </w:rPr>
            </w:r>
            <w:r w:rsidR="008A3C38">
              <w:rPr>
                <w:noProof/>
                <w:webHidden/>
              </w:rPr>
              <w:fldChar w:fldCharType="separate"/>
            </w:r>
            <w:r w:rsidR="004C4B6C">
              <w:rPr>
                <w:noProof/>
                <w:webHidden/>
              </w:rPr>
              <w:t>17</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40" w:history="1">
            <w:r w:rsidR="004C4B6C" w:rsidRPr="000B5124">
              <w:rPr>
                <w:rStyle w:val="Hyperlink"/>
                <w:noProof/>
              </w:rPr>
              <w:t>1.5.3 Symptomatic HIV</w:t>
            </w:r>
            <w:r w:rsidR="004C4B6C">
              <w:rPr>
                <w:noProof/>
                <w:webHidden/>
              </w:rPr>
              <w:tab/>
            </w:r>
            <w:r w:rsidR="008A3C38">
              <w:rPr>
                <w:noProof/>
                <w:webHidden/>
              </w:rPr>
              <w:fldChar w:fldCharType="begin"/>
            </w:r>
            <w:r w:rsidR="004C4B6C">
              <w:rPr>
                <w:noProof/>
                <w:webHidden/>
              </w:rPr>
              <w:instrText xml:space="preserve"> PAGEREF _Toc382213940 \h </w:instrText>
            </w:r>
            <w:r w:rsidR="008A3C38">
              <w:rPr>
                <w:noProof/>
                <w:webHidden/>
              </w:rPr>
            </w:r>
            <w:r w:rsidR="008A3C38">
              <w:rPr>
                <w:noProof/>
                <w:webHidden/>
              </w:rPr>
              <w:fldChar w:fldCharType="separate"/>
            </w:r>
            <w:r w:rsidR="004C4B6C">
              <w:rPr>
                <w:noProof/>
                <w:webHidden/>
              </w:rPr>
              <w:t>17</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41" w:history="1">
            <w:r w:rsidR="004C4B6C" w:rsidRPr="000B5124">
              <w:rPr>
                <w:rStyle w:val="Hyperlink"/>
                <w:noProof/>
              </w:rPr>
              <w:t>1.5.4 AIDS</w:t>
            </w:r>
            <w:r w:rsidR="004C4B6C">
              <w:rPr>
                <w:noProof/>
                <w:webHidden/>
              </w:rPr>
              <w:tab/>
            </w:r>
            <w:r w:rsidR="008A3C38">
              <w:rPr>
                <w:noProof/>
                <w:webHidden/>
              </w:rPr>
              <w:fldChar w:fldCharType="begin"/>
            </w:r>
            <w:r w:rsidR="004C4B6C">
              <w:rPr>
                <w:noProof/>
                <w:webHidden/>
              </w:rPr>
              <w:instrText xml:space="preserve"> PAGEREF _Toc382213941 \h </w:instrText>
            </w:r>
            <w:r w:rsidR="008A3C38">
              <w:rPr>
                <w:noProof/>
                <w:webHidden/>
              </w:rPr>
            </w:r>
            <w:r w:rsidR="008A3C38">
              <w:rPr>
                <w:noProof/>
                <w:webHidden/>
              </w:rPr>
              <w:fldChar w:fldCharType="separate"/>
            </w:r>
            <w:r w:rsidR="004C4B6C">
              <w:rPr>
                <w:noProof/>
                <w:webHidden/>
              </w:rPr>
              <w:t>17</w:t>
            </w:r>
            <w:r w:rsidR="008A3C38">
              <w:rPr>
                <w:noProof/>
                <w:webHidden/>
              </w:rPr>
              <w:fldChar w:fldCharType="end"/>
            </w:r>
          </w:hyperlink>
        </w:p>
        <w:p w:rsidR="004C4B6C" w:rsidRDefault="001D28FE">
          <w:pPr>
            <w:pStyle w:val="TOC1"/>
            <w:tabs>
              <w:tab w:val="right" w:leader="dot" w:pos="9350"/>
            </w:tabs>
            <w:rPr>
              <w:rFonts w:asciiTheme="minorHAnsi" w:eastAsiaTheme="minorEastAsia" w:hAnsiTheme="minorHAnsi" w:cstheme="minorBidi"/>
              <w:noProof/>
              <w:color w:val="auto"/>
            </w:rPr>
          </w:pPr>
          <w:hyperlink w:anchor="_Toc382213942" w:history="1">
            <w:r w:rsidR="004C4B6C" w:rsidRPr="000B5124">
              <w:rPr>
                <w:rStyle w:val="Hyperlink"/>
                <w:noProof/>
              </w:rPr>
              <w:t>CHAPTER 2:  ORGANIZATION OF HIV AND AIDS CARE AND TREATMENT SERVICE DELIVERY</w:t>
            </w:r>
            <w:r w:rsidR="004C4B6C">
              <w:rPr>
                <w:noProof/>
                <w:webHidden/>
              </w:rPr>
              <w:tab/>
            </w:r>
            <w:r w:rsidR="008A3C38">
              <w:rPr>
                <w:noProof/>
                <w:webHidden/>
              </w:rPr>
              <w:fldChar w:fldCharType="begin"/>
            </w:r>
            <w:r w:rsidR="004C4B6C">
              <w:rPr>
                <w:noProof/>
                <w:webHidden/>
              </w:rPr>
              <w:instrText xml:space="preserve"> PAGEREF _Toc382213942 \h </w:instrText>
            </w:r>
            <w:r w:rsidR="008A3C38">
              <w:rPr>
                <w:noProof/>
                <w:webHidden/>
              </w:rPr>
            </w:r>
            <w:r w:rsidR="008A3C38">
              <w:rPr>
                <w:noProof/>
                <w:webHidden/>
              </w:rPr>
              <w:fldChar w:fldCharType="separate"/>
            </w:r>
            <w:r w:rsidR="004C4B6C">
              <w:rPr>
                <w:noProof/>
                <w:webHidden/>
              </w:rPr>
              <w:t>18</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3943" w:history="1">
            <w:r w:rsidR="004C4B6C" w:rsidRPr="000B5124">
              <w:rPr>
                <w:rStyle w:val="Hyperlink"/>
                <w:noProof/>
              </w:rPr>
              <w:t>2.1 Introduction</w:t>
            </w:r>
            <w:r w:rsidR="004C4B6C">
              <w:rPr>
                <w:noProof/>
                <w:webHidden/>
              </w:rPr>
              <w:tab/>
            </w:r>
            <w:r w:rsidR="008A3C38">
              <w:rPr>
                <w:noProof/>
                <w:webHidden/>
              </w:rPr>
              <w:fldChar w:fldCharType="begin"/>
            </w:r>
            <w:r w:rsidR="004C4B6C">
              <w:rPr>
                <w:noProof/>
                <w:webHidden/>
              </w:rPr>
              <w:instrText xml:space="preserve"> PAGEREF _Toc382213943 \h </w:instrText>
            </w:r>
            <w:r w:rsidR="008A3C38">
              <w:rPr>
                <w:noProof/>
                <w:webHidden/>
              </w:rPr>
            </w:r>
            <w:r w:rsidR="008A3C38">
              <w:rPr>
                <w:noProof/>
                <w:webHidden/>
              </w:rPr>
              <w:fldChar w:fldCharType="separate"/>
            </w:r>
            <w:r w:rsidR="004C4B6C">
              <w:rPr>
                <w:noProof/>
                <w:webHidden/>
              </w:rPr>
              <w:t>18</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3944" w:history="1">
            <w:r w:rsidR="004C4B6C" w:rsidRPr="000B5124">
              <w:rPr>
                <w:rStyle w:val="Hyperlink"/>
                <w:noProof/>
              </w:rPr>
              <w:t>2.2 Identifying People Living with HIV and AIDS (PLHIV) as an entry point to Continuum of Care</w:t>
            </w:r>
            <w:r w:rsidR="004C4B6C">
              <w:rPr>
                <w:noProof/>
                <w:webHidden/>
              </w:rPr>
              <w:tab/>
            </w:r>
            <w:r w:rsidR="008A3C38">
              <w:rPr>
                <w:noProof/>
                <w:webHidden/>
              </w:rPr>
              <w:fldChar w:fldCharType="begin"/>
            </w:r>
            <w:r w:rsidR="004C4B6C">
              <w:rPr>
                <w:noProof/>
                <w:webHidden/>
              </w:rPr>
              <w:instrText xml:space="preserve"> PAGEREF _Toc382213944 \h </w:instrText>
            </w:r>
            <w:r w:rsidR="008A3C38">
              <w:rPr>
                <w:noProof/>
                <w:webHidden/>
              </w:rPr>
            </w:r>
            <w:r w:rsidR="008A3C38">
              <w:rPr>
                <w:noProof/>
                <w:webHidden/>
              </w:rPr>
              <w:fldChar w:fldCharType="separate"/>
            </w:r>
            <w:r w:rsidR="004C4B6C">
              <w:rPr>
                <w:noProof/>
                <w:webHidden/>
              </w:rPr>
              <w:t>18</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3945" w:history="1">
            <w:r w:rsidR="004C4B6C" w:rsidRPr="000B5124">
              <w:rPr>
                <w:rStyle w:val="Hyperlink"/>
                <w:noProof/>
              </w:rPr>
              <w:t>2.3 Scope of HIV Care and Treatment services</w:t>
            </w:r>
            <w:r w:rsidR="004C4B6C">
              <w:rPr>
                <w:noProof/>
                <w:webHidden/>
              </w:rPr>
              <w:tab/>
            </w:r>
            <w:r w:rsidR="008A3C38">
              <w:rPr>
                <w:noProof/>
                <w:webHidden/>
              </w:rPr>
              <w:fldChar w:fldCharType="begin"/>
            </w:r>
            <w:r w:rsidR="004C4B6C">
              <w:rPr>
                <w:noProof/>
                <w:webHidden/>
              </w:rPr>
              <w:instrText xml:space="preserve"> PAGEREF _Toc382213945 \h </w:instrText>
            </w:r>
            <w:r w:rsidR="008A3C38">
              <w:rPr>
                <w:noProof/>
                <w:webHidden/>
              </w:rPr>
            </w:r>
            <w:r w:rsidR="008A3C38">
              <w:rPr>
                <w:noProof/>
                <w:webHidden/>
              </w:rPr>
              <w:fldChar w:fldCharType="separate"/>
            </w:r>
            <w:r w:rsidR="004C4B6C">
              <w:rPr>
                <w:noProof/>
                <w:webHidden/>
              </w:rPr>
              <w:t>18</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3946" w:history="1">
            <w:r w:rsidR="004C4B6C" w:rsidRPr="000B5124">
              <w:rPr>
                <w:rStyle w:val="Hyperlink"/>
                <w:noProof/>
              </w:rPr>
              <w:t>2.4 Organization of HIV Care and Treatment Services</w:t>
            </w:r>
            <w:r w:rsidR="004C4B6C">
              <w:rPr>
                <w:noProof/>
                <w:webHidden/>
              </w:rPr>
              <w:tab/>
            </w:r>
            <w:r w:rsidR="008A3C38">
              <w:rPr>
                <w:noProof/>
                <w:webHidden/>
              </w:rPr>
              <w:fldChar w:fldCharType="begin"/>
            </w:r>
            <w:r w:rsidR="004C4B6C">
              <w:rPr>
                <w:noProof/>
                <w:webHidden/>
              </w:rPr>
              <w:instrText xml:space="preserve"> PAGEREF _Toc382213946 \h </w:instrText>
            </w:r>
            <w:r w:rsidR="008A3C38">
              <w:rPr>
                <w:noProof/>
                <w:webHidden/>
              </w:rPr>
            </w:r>
            <w:r w:rsidR="008A3C38">
              <w:rPr>
                <w:noProof/>
                <w:webHidden/>
              </w:rPr>
              <w:fldChar w:fldCharType="separate"/>
            </w:r>
            <w:r w:rsidR="004C4B6C">
              <w:rPr>
                <w:noProof/>
                <w:webHidden/>
              </w:rPr>
              <w:t>19</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47" w:history="1">
            <w:r w:rsidR="004C4B6C" w:rsidRPr="000B5124">
              <w:rPr>
                <w:rStyle w:val="Hyperlink"/>
                <w:noProof/>
              </w:rPr>
              <w:t>2.4.1 Staffing and Team Approach</w:t>
            </w:r>
            <w:r w:rsidR="004C4B6C">
              <w:rPr>
                <w:noProof/>
                <w:webHidden/>
              </w:rPr>
              <w:tab/>
            </w:r>
            <w:r w:rsidR="008A3C38">
              <w:rPr>
                <w:noProof/>
                <w:webHidden/>
              </w:rPr>
              <w:fldChar w:fldCharType="begin"/>
            </w:r>
            <w:r w:rsidR="004C4B6C">
              <w:rPr>
                <w:noProof/>
                <w:webHidden/>
              </w:rPr>
              <w:instrText xml:space="preserve"> PAGEREF _Toc382213947 \h </w:instrText>
            </w:r>
            <w:r w:rsidR="008A3C38">
              <w:rPr>
                <w:noProof/>
                <w:webHidden/>
              </w:rPr>
            </w:r>
            <w:r w:rsidR="008A3C38">
              <w:rPr>
                <w:noProof/>
                <w:webHidden/>
              </w:rPr>
              <w:fldChar w:fldCharType="separate"/>
            </w:r>
            <w:r w:rsidR="004C4B6C">
              <w:rPr>
                <w:noProof/>
                <w:webHidden/>
              </w:rPr>
              <w:t>19</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48" w:history="1">
            <w:r w:rsidR="004C4B6C" w:rsidRPr="000B5124">
              <w:rPr>
                <w:rStyle w:val="Hyperlink"/>
                <w:noProof/>
              </w:rPr>
              <w:t>2.4.2 Patient Visits Plan</w:t>
            </w:r>
            <w:r w:rsidR="004C4B6C">
              <w:rPr>
                <w:noProof/>
                <w:webHidden/>
              </w:rPr>
              <w:tab/>
            </w:r>
            <w:r w:rsidR="008A3C38">
              <w:rPr>
                <w:noProof/>
                <w:webHidden/>
              </w:rPr>
              <w:fldChar w:fldCharType="begin"/>
            </w:r>
            <w:r w:rsidR="004C4B6C">
              <w:rPr>
                <w:noProof/>
                <w:webHidden/>
              </w:rPr>
              <w:instrText xml:space="preserve"> PAGEREF _Toc382213948 \h </w:instrText>
            </w:r>
            <w:r w:rsidR="008A3C38">
              <w:rPr>
                <w:noProof/>
                <w:webHidden/>
              </w:rPr>
            </w:r>
            <w:r w:rsidR="008A3C38">
              <w:rPr>
                <w:noProof/>
                <w:webHidden/>
              </w:rPr>
              <w:fldChar w:fldCharType="separate"/>
            </w:r>
            <w:r w:rsidR="004C4B6C">
              <w:rPr>
                <w:noProof/>
                <w:webHidden/>
              </w:rPr>
              <w:t>19</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3949" w:history="1">
            <w:r w:rsidR="004C4B6C" w:rsidRPr="000B5124">
              <w:rPr>
                <w:rStyle w:val="Hyperlink"/>
                <w:noProof/>
              </w:rPr>
              <w:t>2.5 Linkages across a Continuum of Care</w:t>
            </w:r>
            <w:r w:rsidR="004C4B6C">
              <w:rPr>
                <w:noProof/>
                <w:webHidden/>
              </w:rPr>
              <w:tab/>
            </w:r>
            <w:r w:rsidR="008A3C38">
              <w:rPr>
                <w:noProof/>
                <w:webHidden/>
              </w:rPr>
              <w:fldChar w:fldCharType="begin"/>
            </w:r>
            <w:r w:rsidR="004C4B6C">
              <w:rPr>
                <w:noProof/>
                <w:webHidden/>
              </w:rPr>
              <w:instrText xml:space="preserve"> PAGEREF _Toc382213949 \h </w:instrText>
            </w:r>
            <w:r w:rsidR="008A3C38">
              <w:rPr>
                <w:noProof/>
                <w:webHidden/>
              </w:rPr>
            </w:r>
            <w:r w:rsidR="008A3C38">
              <w:rPr>
                <w:noProof/>
                <w:webHidden/>
              </w:rPr>
              <w:fldChar w:fldCharType="separate"/>
            </w:r>
            <w:r w:rsidR="004C4B6C">
              <w:rPr>
                <w:noProof/>
                <w:webHidden/>
              </w:rPr>
              <w:t>20</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3950" w:history="1">
            <w:r w:rsidR="004C4B6C" w:rsidRPr="000B5124">
              <w:rPr>
                <w:rStyle w:val="Hyperlink"/>
                <w:noProof/>
              </w:rPr>
              <w:t>2.6 Process of Registering Health Facilities to Provide HIV and AIDS Care and Treatment Services.</w:t>
            </w:r>
            <w:r w:rsidR="004C4B6C">
              <w:rPr>
                <w:noProof/>
                <w:webHidden/>
              </w:rPr>
              <w:tab/>
            </w:r>
            <w:r w:rsidR="008A3C38">
              <w:rPr>
                <w:noProof/>
                <w:webHidden/>
              </w:rPr>
              <w:fldChar w:fldCharType="begin"/>
            </w:r>
            <w:r w:rsidR="004C4B6C">
              <w:rPr>
                <w:noProof/>
                <w:webHidden/>
              </w:rPr>
              <w:instrText xml:space="preserve"> PAGEREF _Toc382213950 \h </w:instrText>
            </w:r>
            <w:r w:rsidR="008A3C38">
              <w:rPr>
                <w:noProof/>
                <w:webHidden/>
              </w:rPr>
            </w:r>
            <w:r w:rsidR="008A3C38">
              <w:rPr>
                <w:noProof/>
                <w:webHidden/>
              </w:rPr>
              <w:fldChar w:fldCharType="separate"/>
            </w:r>
            <w:r w:rsidR="004C4B6C">
              <w:rPr>
                <w:noProof/>
                <w:webHidden/>
              </w:rPr>
              <w:t>20</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3951" w:history="1">
            <w:r w:rsidR="004C4B6C" w:rsidRPr="000B5124">
              <w:rPr>
                <w:rStyle w:val="Hyperlink"/>
                <w:noProof/>
              </w:rPr>
              <w:t>2.7 Management of Antiretroviral Medicines</w:t>
            </w:r>
            <w:r w:rsidR="004C4B6C">
              <w:rPr>
                <w:noProof/>
                <w:webHidden/>
              </w:rPr>
              <w:tab/>
            </w:r>
            <w:r w:rsidR="008A3C38">
              <w:rPr>
                <w:noProof/>
                <w:webHidden/>
              </w:rPr>
              <w:fldChar w:fldCharType="begin"/>
            </w:r>
            <w:r w:rsidR="004C4B6C">
              <w:rPr>
                <w:noProof/>
                <w:webHidden/>
              </w:rPr>
              <w:instrText xml:space="preserve"> PAGEREF _Toc382213951 \h </w:instrText>
            </w:r>
            <w:r w:rsidR="008A3C38">
              <w:rPr>
                <w:noProof/>
                <w:webHidden/>
              </w:rPr>
            </w:r>
            <w:r w:rsidR="008A3C38">
              <w:rPr>
                <w:noProof/>
                <w:webHidden/>
              </w:rPr>
              <w:fldChar w:fldCharType="separate"/>
            </w:r>
            <w:r w:rsidR="004C4B6C">
              <w:rPr>
                <w:noProof/>
                <w:webHidden/>
              </w:rPr>
              <w:t>23</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52" w:history="1">
            <w:r w:rsidR="004C4B6C" w:rsidRPr="000B5124">
              <w:rPr>
                <w:rStyle w:val="Hyperlink"/>
                <w:noProof/>
              </w:rPr>
              <w:t>2.7.1 Introduction</w:t>
            </w:r>
            <w:r w:rsidR="004C4B6C">
              <w:rPr>
                <w:noProof/>
                <w:webHidden/>
              </w:rPr>
              <w:tab/>
            </w:r>
            <w:r w:rsidR="008A3C38">
              <w:rPr>
                <w:noProof/>
                <w:webHidden/>
              </w:rPr>
              <w:fldChar w:fldCharType="begin"/>
            </w:r>
            <w:r w:rsidR="004C4B6C">
              <w:rPr>
                <w:noProof/>
                <w:webHidden/>
              </w:rPr>
              <w:instrText xml:space="preserve"> PAGEREF _Toc382213952 \h </w:instrText>
            </w:r>
            <w:r w:rsidR="008A3C38">
              <w:rPr>
                <w:noProof/>
                <w:webHidden/>
              </w:rPr>
            </w:r>
            <w:r w:rsidR="008A3C38">
              <w:rPr>
                <w:noProof/>
                <w:webHidden/>
              </w:rPr>
              <w:fldChar w:fldCharType="separate"/>
            </w:r>
            <w:r w:rsidR="004C4B6C">
              <w:rPr>
                <w:noProof/>
                <w:webHidden/>
              </w:rPr>
              <w:t>23</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53" w:history="1">
            <w:r w:rsidR="004C4B6C" w:rsidRPr="000B5124">
              <w:rPr>
                <w:rStyle w:val="Hyperlink"/>
                <w:noProof/>
              </w:rPr>
              <w:t>2.7.2 Rational Use of Medicines</w:t>
            </w:r>
            <w:r w:rsidR="004C4B6C">
              <w:rPr>
                <w:noProof/>
                <w:webHidden/>
              </w:rPr>
              <w:tab/>
            </w:r>
            <w:r w:rsidR="008A3C38">
              <w:rPr>
                <w:noProof/>
                <w:webHidden/>
              </w:rPr>
              <w:fldChar w:fldCharType="begin"/>
            </w:r>
            <w:r w:rsidR="004C4B6C">
              <w:rPr>
                <w:noProof/>
                <w:webHidden/>
              </w:rPr>
              <w:instrText xml:space="preserve"> PAGEREF _Toc382213953 \h </w:instrText>
            </w:r>
            <w:r w:rsidR="008A3C38">
              <w:rPr>
                <w:noProof/>
                <w:webHidden/>
              </w:rPr>
            </w:r>
            <w:r w:rsidR="008A3C38">
              <w:rPr>
                <w:noProof/>
                <w:webHidden/>
              </w:rPr>
              <w:fldChar w:fldCharType="separate"/>
            </w:r>
            <w:r w:rsidR="004C4B6C">
              <w:rPr>
                <w:noProof/>
                <w:webHidden/>
              </w:rPr>
              <w:t>24</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54" w:history="1">
            <w:r w:rsidR="004C4B6C" w:rsidRPr="000B5124">
              <w:rPr>
                <w:rStyle w:val="Hyperlink"/>
                <w:noProof/>
              </w:rPr>
              <w:t>2.7.3 Prescriptions</w:t>
            </w:r>
            <w:r w:rsidR="004C4B6C">
              <w:rPr>
                <w:noProof/>
                <w:webHidden/>
              </w:rPr>
              <w:tab/>
            </w:r>
            <w:r w:rsidR="008A3C38">
              <w:rPr>
                <w:noProof/>
                <w:webHidden/>
              </w:rPr>
              <w:fldChar w:fldCharType="begin"/>
            </w:r>
            <w:r w:rsidR="004C4B6C">
              <w:rPr>
                <w:noProof/>
                <w:webHidden/>
              </w:rPr>
              <w:instrText xml:space="preserve"> PAGEREF _Toc382213954 \h </w:instrText>
            </w:r>
            <w:r w:rsidR="008A3C38">
              <w:rPr>
                <w:noProof/>
                <w:webHidden/>
              </w:rPr>
            </w:r>
            <w:r w:rsidR="008A3C38">
              <w:rPr>
                <w:noProof/>
                <w:webHidden/>
              </w:rPr>
              <w:fldChar w:fldCharType="separate"/>
            </w:r>
            <w:r w:rsidR="004C4B6C">
              <w:rPr>
                <w:noProof/>
                <w:webHidden/>
              </w:rPr>
              <w:t>24</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55" w:history="1">
            <w:r w:rsidR="004C4B6C" w:rsidRPr="000B5124">
              <w:rPr>
                <w:rStyle w:val="Hyperlink"/>
                <w:noProof/>
              </w:rPr>
              <w:t>2.7.4 Dispensing</w:t>
            </w:r>
            <w:r w:rsidR="004C4B6C">
              <w:rPr>
                <w:noProof/>
                <w:webHidden/>
              </w:rPr>
              <w:tab/>
            </w:r>
            <w:r w:rsidR="008A3C38">
              <w:rPr>
                <w:noProof/>
                <w:webHidden/>
              </w:rPr>
              <w:fldChar w:fldCharType="begin"/>
            </w:r>
            <w:r w:rsidR="004C4B6C">
              <w:rPr>
                <w:noProof/>
                <w:webHidden/>
              </w:rPr>
              <w:instrText xml:space="preserve"> PAGEREF _Toc382213955 \h </w:instrText>
            </w:r>
            <w:r w:rsidR="008A3C38">
              <w:rPr>
                <w:noProof/>
                <w:webHidden/>
              </w:rPr>
            </w:r>
            <w:r w:rsidR="008A3C38">
              <w:rPr>
                <w:noProof/>
                <w:webHidden/>
              </w:rPr>
              <w:fldChar w:fldCharType="separate"/>
            </w:r>
            <w:r w:rsidR="004C4B6C">
              <w:rPr>
                <w:noProof/>
                <w:webHidden/>
              </w:rPr>
              <w:t>24</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56" w:history="1">
            <w:r w:rsidR="004C4B6C" w:rsidRPr="000B5124">
              <w:rPr>
                <w:rStyle w:val="Hyperlink"/>
                <w:noProof/>
              </w:rPr>
              <w:t>2.7.5 Records</w:t>
            </w:r>
            <w:r w:rsidR="004C4B6C">
              <w:rPr>
                <w:noProof/>
                <w:webHidden/>
              </w:rPr>
              <w:tab/>
            </w:r>
            <w:r w:rsidR="008A3C38">
              <w:rPr>
                <w:noProof/>
                <w:webHidden/>
              </w:rPr>
              <w:fldChar w:fldCharType="begin"/>
            </w:r>
            <w:r w:rsidR="004C4B6C">
              <w:rPr>
                <w:noProof/>
                <w:webHidden/>
              </w:rPr>
              <w:instrText xml:space="preserve"> PAGEREF _Toc382213956 \h </w:instrText>
            </w:r>
            <w:r w:rsidR="008A3C38">
              <w:rPr>
                <w:noProof/>
                <w:webHidden/>
              </w:rPr>
            </w:r>
            <w:r w:rsidR="008A3C38">
              <w:rPr>
                <w:noProof/>
                <w:webHidden/>
              </w:rPr>
              <w:fldChar w:fldCharType="separate"/>
            </w:r>
            <w:r w:rsidR="004C4B6C">
              <w:rPr>
                <w:noProof/>
                <w:webHidden/>
              </w:rPr>
              <w:t>24</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57" w:history="1">
            <w:r w:rsidR="004C4B6C" w:rsidRPr="000B5124">
              <w:rPr>
                <w:rStyle w:val="Hyperlink"/>
                <w:noProof/>
              </w:rPr>
              <w:t>2.7.6 Pharmacy Register</w:t>
            </w:r>
            <w:r w:rsidR="004C4B6C">
              <w:rPr>
                <w:noProof/>
                <w:webHidden/>
              </w:rPr>
              <w:tab/>
            </w:r>
            <w:r w:rsidR="008A3C38">
              <w:rPr>
                <w:noProof/>
                <w:webHidden/>
              </w:rPr>
              <w:fldChar w:fldCharType="begin"/>
            </w:r>
            <w:r w:rsidR="004C4B6C">
              <w:rPr>
                <w:noProof/>
                <w:webHidden/>
              </w:rPr>
              <w:instrText xml:space="preserve"> PAGEREF _Toc382213957 \h </w:instrText>
            </w:r>
            <w:r w:rsidR="008A3C38">
              <w:rPr>
                <w:noProof/>
                <w:webHidden/>
              </w:rPr>
            </w:r>
            <w:r w:rsidR="008A3C38">
              <w:rPr>
                <w:noProof/>
                <w:webHidden/>
              </w:rPr>
              <w:fldChar w:fldCharType="separate"/>
            </w:r>
            <w:r w:rsidR="004C4B6C">
              <w:rPr>
                <w:noProof/>
                <w:webHidden/>
              </w:rPr>
              <w:t>24</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58" w:history="1">
            <w:r w:rsidR="004C4B6C" w:rsidRPr="000B5124">
              <w:rPr>
                <w:rStyle w:val="Hyperlink"/>
                <w:noProof/>
              </w:rPr>
              <w:t>2.7.7 Patient Identification Cards</w:t>
            </w:r>
            <w:r w:rsidR="004C4B6C">
              <w:rPr>
                <w:noProof/>
                <w:webHidden/>
              </w:rPr>
              <w:tab/>
            </w:r>
            <w:r w:rsidR="008A3C38">
              <w:rPr>
                <w:noProof/>
                <w:webHidden/>
              </w:rPr>
              <w:fldChar w:fldCharType="begin"/>
            </w:r>
            <w:r w:rsidR="004C4B6C">
              <w:rPr>
                <w:noProof/>
                <w:webHidden/>
              </w:rPr>
              <w:instrText xml:space="preserve"> PAGEREF _Toc382213958 \h </w:instrText>
            </w:r>
            <w:r w:rsidR="008A3C38">
              <w:rPr>
                <w:noProof/>
                <w:webHidden/>
              </w:rPr>
            </w:r>
            <w:r w:rsidR="008A3C38">
              <w:rPr>
                <w:noProof/>
                <w:webHidden/>
              </w:rPr>
              <w:fldChar w:fldCharType="separate"/>
            </w:r>
            <w:r w:rsidR="004C4B6C">
              <w:rPr>
                <w:noProof/>
                <w:webHidden/>
              </w:rPr>
              <w:t>24</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59" w:history="1">
            <w:r w:rsidR="004C4B6C" w:rsidRPr="000B5124">
              <w:rPr>
                <w:rStyle w:val="Hyperlink"/>
                <w:noProof/>
              </w:rPr>
              <w:t>2.7.8 Storage</w:t>
            </w:r>
            <w:r w:rsidR="004C4B6C">
              <w:rPr>
                <w:noProof/>
                <w:webHidden/>
              </w:rPr>
              <w:tab/>
            </w:r>
            <w:r w:rsidR="008A3C38">
              <w:rPr>
                <w:noProof/>
                <w:webHidden/>
              </w:rPr>
              <w:fldChar w:fldCharType="begin"/>
            </w:r>
            <w:r w:rsidR="004C4B6C">
              <w:rPr>
                <w:noProof/>
                <w:webHidden/>
              </w:rPr>
              <w:instrText xml:space="preserve"> PAGEREF _Toc382213959 \h </w:instrText>
            </w:r>
            <w:r w:rsidR="008A3C38">
              <w:rPr>
                <w:noProof/>
                <w:webHidden/>
              </w:rPr>
            </w:r>
            <w:r w:rsidR="008A3C38">
              <w:rPr>
                <w:noProof/>
                <w:webHidden/>
              </w:rPr>
              <w:fldChar w:fldCharType="separate"/>
            </w:r>
            <w:r w:rsidR="004C4B6C">
              <w:rPr>
                <w:noProof/>
                <w:webHidden/>
              </w:rPr>
              <w:t>25</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60" w:history="1">
            <w:r w:rsidR="004C4B6C" w:rsidRPr="000B5124">
              <w:rPr>
                <w:rStyle w:val="Hyperlink"/>
                <w:noProof/>
              </w:rPr>
              <w:t>2.7.9 Procurement</w:t>
            </w:r>
            <w:r w:rsidR="004C4B6C">
              <w:rPr>
                <w:noProof/>
                <w:webHidden/>
              </w:rPr>
              <w:tab/>
            </w:r>
            <w:r w:rsidR="008A3C38">
              <w:rPr>
                <w:noProof/>
                <w:webHidden/>
              </w:rPr>
              <w:fldChar w:fldCharType="begin"/>
            </w:r>
            <w:r w:rsidR="004C4B6C">
              <w:rPr>
                <w:noProof/>
                <w:webHidden/>
              </w:rPr>
              <w:instrText xml:space="preserve"> PAGEREF _Toc382213960 \h </w:instrText>
            </w:r>
            <w:r w:rsidR="008A3C38">
              <w:rPr>
                <w:noProof/>
                <w:webHidden/>
              </w:rPr>
            </w:r>
            <w:r w:rsidR="008A3C38">
              <w:rPr>
                <w:noProof/>
                <w:webHidden/>
              </w:rPr>
              <w:fldChar w:fldCharType="separate"/>
            </w:r>
            <w:r w:rsidR="004C4B6C">
              <w:rPr>
                <w:noProof/>
                <w:webHidden/>
              </w:rPr>
              <w:t>25</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61" w:history="1">
            <w:r w:rsidR="004C4B6C" w:rsidRPr="000B5124">
              <w:rPr>
                <w:rStyle w:val="Hyperlink"/>
                <w:noProof/>
              </w:rPr>
              <w:t>2.7.10 Ordering ARVs</w:t>
            </w:r>
            <w:r w:rsidR="004C4B6C">
              <w:rPr>
                <w:noProof/>
                <w:webHidden/>
              </w:rPr>
              <w:tab/>
            </w:r>
            <w:r w:rsidR="008A3C38">
              <w:rPr>
                <w:noProof/>
                <w:webHidden/>
              </w:rPr>
              <w:fldChar w:fldCharType="begin"/>
            </w:r>
            <w:r w:rsidR="004C4B6C">
              <w:rPr>
                <w:noProof/>
                <w:webHidden/>
              </w:rPr>
              <w:instrText xml:space="preserve"> PAGEREF _Toc382213961 \h </w:instrText>
            </w:r>
            <w:r w:rsidR="008A3C38">
              <w:rPr>
                <w:noProof/>
                <w:webHidden/>
              </w:rPr>
            </w:r>
            <w:r w:rsidR="008A3C38">
              <w:rPr>
                <w:noProof/>
                <w:webHidden/>
              </w:rPr>
              <w:fldChar w:fldCharType="separate"/>
            </w:r>
            <w:r w:rsidR="004C4B6C">
              <w:rPr>
                <w:noProof/>
                <w:webHidden/>
              </w:rPr>
              <w:t>25</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62" w:history="1">
            <w:r w:rsidR="004C4B6C" w:rsidRPr="000B5124">
              <w:rPr>
                <w:rStyle w:val="Hyperlink"/>
                <w:noProof/>
              </w:rPr>
              <w:t>2.7.11 Collaborating with Clinical Staff</w:t>
            </w:r>
            <w:r w:rsidR="004C4B6C">
              <w:rPr>
                <w:noProof/>
                <w:webHidden/>
              </w:rPr>
              <w:tab/>
            </w:r>
            <w:r w:rsidR="008A3C38">
              <w:rPr>
                <w:noProof/>
                <w:webHidden/>
              </w:rPr>
              <w:fldChar w:fldCharType="begin"/>
            </w:r>
            <w:r w:rsidR="004C4B6C">
              <w:rPr>
                <w:noProof/>
                <w:webHidden/>
              </w:rPr>
              <w:instrText xml:space="preserve"> PAGEREF _Toc382213962 \h </w:instrText>
            </w:r>
            <w:r w:rsidR="008A3C38">
              <w:rPr>
                <w:noProof/>
                <w:webHidden/>
              </w:rPr>
            </w:r>
            <w:r w:rsidR="008A3C38">
              <w:rPr>
                <w:noProof/>
                <w:webHidden/>
              </w:rPr>
              <w:fldChar w:fldCharType="separate"/>
            </w:r>
            <w:r w:rsidR="004C4B6C">
              <w:rPr>
                <w:noProof/>
                <w:webHidden/>
              </w:rPr>
              <w:t>25</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63" w:history="1">
            <w:r w:rsidR="004C4B6C" w:rsidRPr="000B5124">
              <w:rPr>
                <w:rStyle w:val="Hyperlink"/>
                <w:noProof/>
              </w:rPr>
              <w:t>2.7.12 Monitoring of Adverse Drug Events</w:t>
            </w:r>
            <w:r w:rsidR="004C4B6C">
              <w:rPr>
                <w:noProof/>
                <w:webHidden/>
              </w:rPr>
              <w:tab/>
            </w:r>
            <w:r w:rsidR="008A3C38">
              <w:rPr>
                <w:noProof/>
                <w:webHidden/>
              </w:rPr>
              <w:fldChar w:fldCharType="begin"/>
            </w:r>
            <w:r w:rsidR="004C4B6C">
              <w:rPr>
                <w:noProof/>
                <w:webHidden/>
              </w:rPr>
              <w:instrText xml:space="preserve"> PAGEREF _Toc382213963 \h </w:instrText>
            </w:r>
            <w:r w:rsidR="008A3C38">
              <w:rPr>
                <w:noProof/>
                <w:webHidden/>
              </w:rPr>
            </w:r>
            <w:r w:rsidR="008A3C38">
              <w:rPr>
                <w:noProof/>
                <w:webHidden/>
              </w:rPr>
              <w:fldChar w:fldCharType="separate"/>
            </w:r>
            <w:r w:rsidR="004C4B6C">
              <w:rPr>
                <w:noProof/>
                <w:webHidden/>
              </w:rPr>
              <w:t>25</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64" w:history="1">
            <w:r w:rsidR="004C4B6C" w:rsidRPr="000B5124">
              <w:rPr>
                <w:rStyle w:val="Hyperlink"/>
                <w:noProof/>
              </w:rPr>
              <w:t>2.7.13 Audit</w:t>
            </w:r>
            <w:r w:rsidR="004C4B6C">
              <w:rPr>
                <w:noProof/>
                <w:webHidden/>
              </w:rPr>
              <w:tab/>
            </w:r>
            <w:r w:rsidR="008A3C38">
              <w:rPr>
                <w:noProof/>
                <w:webHidden/>
              </w:rPr>
              <w:fldChar w:fldCharType="begin"/>
            </w:r>
            <w:r w:rsidR="004C4B6C">
              <w:rPr>
                <w:noProof/>
                <w:webHidden/>
              </w:rPr>
              <w:instrText xml:space="preserve"> PAGEREF _Toc382213964 \h </w:instrText>
            </w:r>
            <w:r w:rsidR="008A3C38">
              <w:rPr>
                <w:noProof/>
                <w:webHidden/>
              </w:rPr>
            </w:r>
            <w:r w:rsidR="008A3C38">
              <w:rPr>
                <w:noProof/>
                <w:webHidden/>
              </w:rPr>
              <w:fldChar w:fldCharType="separate"/>
            </w:r>
            <w:r w:rsidR="004C4B6C">
              <w:rPr>
                <w:noProof/>
                <w:webHidden/>
              </w:rPr>
              <w:t>26</w:t>
            </w:r>
            <w:r w:rsidR="008A3C38">
              <w:rPr>
                <w:noProof/>
                <w:webHidden/>
              </w:rPr>
              <w:fldChar w:fldCharType="end"/>
            </w:r>
          </w:hyperlink>
        </w:p>
        <w:p w:rsidR="004C4B6C" w:rsidRDefault="001D28FE">
          <w:pPr>
            <w:pStyle w:val="TOC1"/>
            <w:tabs>
              <w:tab w:val="right" w:leader="dot" w:pos="9350"/>
            </w:tabs>
            <w:rPr>
              <w:rFonts w:asciiTheme="minorHAnsi" w:eastAsiaTheme="minorEastAsia" w:hAnsiTheme="minorHAnsi" w:cstheme="minorBidi"/>
              <w:noProof/>
              <w:color w:val="auto"/>
            </w:rPr>
          </w:pPr>
          <w:hyperlink w:anchor="_Toc382213965" w:history="1">
            <w:r w:rsidR="004C4B6C" w:rsidRPr="000B5124">
              <w:rPr>
                <w:rStyle w:val="Hyperlink"/>
                <w:rFonts w:eastAsia="Times New Roman"/>
                <w:noProof/>
              </w:rPr>
              <w:t>CHAPTER 3: HIV TESTING AND COUNSELING (HTC)</w:t>
            </w:r>
            <w:r w:rsidR="004C4B6C">
              <w:rPr>
                <w:noProof/>
                <w:webHidden/>
              </w:rPr>
              <w:tab/>
            </w:r>
            <w:r w:rsidR="008A3C38">
              <w:rPr>
                <w:noProof/>
                <w:webHidden/>
              </w:rPr>
              <w:fldChar w:fldCharType="begin"/>
            </w:r>
            <w:r w:rsidR="004C4B6C">
              <w:rPr>
                <w:noProof/>
                <w:webHidden/>
              </w:rPr>
              <w:instrText xml:space="preserve"> PAGEREF _Toc382213965 \h </w:instrText>
            </w:r>
            <w:r w:rsidR="008A3C38">
              <w:rPr>
                <w:noProof/>
                <w:webHidden/>
              </w:rPr>
            </w:r>
            <w:r w:rsidR="008A3C38">
              <w:rPr>
                <w:noProof/>
                <w:webHidden/>
              </w:rPr>
              <w:fldChar w:fldCharType="separate"/>
            </w:r>
            <w:r w:rsidR="004C4B6C">
              <w:rPr>
                <w:noProof/>
                <w:webHidden/>
              </w:rPr>
              <w:t>27</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3966" w:history="1">
            <w:r w:rsidR="004C4B6C" w:rsidRPr="000B5124">
              <w:rPr>
                <w:rStyle w:val="Hyperlink"/>
                <w:rFonts w:eastAsia="Times New Roman"/>
                <w:noProof/>
              </w:rPr>
              <w:t>3.1 Introduction</w:t>
            </w:r>
            <w:r w:rsidR="004C4B6C">
              <w:rPr>
                <w:noProof/>
                <w:webHidden/>
              </w:rPr>
              <w:tab/>
            </w:r>
            <w:r w:rsidR="008A3C38">
              <w:rPr>
                <w:noProof/>
                <w:webHidden/>
              </w:rPr>
              <w:fldChar w:fldCharType="begin"/>
            </w:r>
            <w:r w:rsidR="004C4B6C">
              <w:rPr>
                <w:noProof/>
                <w:webHidden/>
              </w:rPr>
              <w:instrText xml:space="preserve"> PAGEREF _Toc382213966 \h </w:instrText>
            </w:r>
            <w:r w:rsidR="008A3C38">
              <w:rPr>
                <w:noProof/>
                <w:webHidden/>
              </w:rPr>
            </w:r>
            <w:r w:rsidR="008A3C38">
              <w:rPr>
                <w:noProof/>
                <w:webHidden/>
              </w:rPr>
              <w:fldChar w:fldCharType="separate"/>
            </w:r>
            <w:r w:rsidR="004C4B6C">
              <w:rPr>
                <w:noProof/>
                <w:webHidden/>
              </w:rPr>
              <w:t>27</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67" w:history="1">
            <w:r w:rsidR="004C4B6C" w:rsidRPr="000B5124">
              <w:rPr>
                <w:rStyle w:val="Hyperlink"/>
                <w:noProof/>
              </w:rPr>
              <w:t>3.1.1 HIV Testing and Counselling: Guiding Principles</w:t>
            </w:r>
            <w:r w:rsidR="004C4B6C">
              <w:rPr>
                <w:noProof/>
                <w:webHidden/>
              </w:rPr>
              <w:tab/>
            </w:r>
            <w:r w:rsidR="008A3C38">
              <w:rPr>
                <w:noProof/>
                <w:webHidden/>
              </w:rPr>
              <w:fldChar w:fldCharType="begin"/>
            </w:r>
            <w:r w:rsidR="004C4B6C">
              <w:rPr>
                <w:noProof/>
                <w:webHidden/>
              </w:rPr>
              <w:instrText xml:space="preserve"> PAGEREF _Toc382213967 \h </w:instrText>
            </w:r>
            <w:r w:rsidR="008A3C38">
              <w:rPr>
                <w:noProof/>
                <w:webHidden/>
              </w:rPr>
            </w:r>
            <w:r w:rsidR="008A3C38">
              <w:rPr>
                <w:noProof/>
                <w:webHidden/>
              </w:rPr>
              <w:fldChar w:fldCharType="separate"/>
            </w:r>
            <w:r w:rsidR="004C4B6C">
              <w:rPr>
                <w:noProof/>
                <w:webHidden/>
              </w:rPr>
              <w:t>27</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3968" w:history="1">
            <w:r w:rsidR="004C4B6C" w:rsidRPr="000B5124">
              <w:rPr>
                <w:rStyle w:val="Hyperlink"/>
                <w:rFonts w:eastAsia="Times New Roman"/>
                <w:noProof/>
              </w:rPr>
              <w:t>3.2 HIV Testing and Counseling approaches</w:t>
            </w:r>
            <w:r w:rsidR="004C4B6C">
              <w:rPr>
                <w:noProof/>
                <w:webHidden/>
              </w:rPr>
              <w:tab/>
            </w:r>
            <w:r w:rsidR="008A3C38">
              <w:rPr>
                <w:noProof/>
                <w:webHidden/>
              </w:rPr>
              <w:fldChar w:fldCharType="begin"/>
            </w:r>
            <w:r w:rsidR="004C4B6C">
              <w:rPr>
                <w:noProof/>
                <w:webHidden/>
              </w:rPr>
              <w:instrText xml:space="preserve"> PAGEREF _Toc382213968 \h </w:instrText>
            </w:r>
            <w:r w:rsidR="008A3C38">
              <w:rPr>
                <w:noProof/>
                <w:webHidden/>
              </w:rPr>
            </w:r>
            <w:r w:rsidR="008A3C38">
              <w:rPr>
                <w:noProof/>
                <w:webHidden/>
              </w:rPr>
              <w:fldChar w:fldCharType="separate"/>
            </w:r>
            <w:r w:rsidR="004C4B6C">
              <w:rPr>
                <w:noProof/>
                <w:webHidden/>
              </w:rPr>
              <w:t>27</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69" w:history="1">
            <w:r w:rsidR="004C4B6C" w:rsidRPr="000B5124">
              <w:rPr>
                <w:rStyle w:val="Hyperlink"/>
                <w:rFonts w:eastAsia="Times New Roman"/>
                <w:noProof/>
              </w:rPr>
              <w:t>3.2.1 Provider Initiated Testing and Counseling (PITC)</w:t>
            </w:r>
            <w:r w:rsidR="004C4B6C">
              <w:rPr>
                <w:noProof/>
                <w:webHidden/>
              </w:rPr>
              <w:tab/>
            </w:r>
            <w:r w:rsidR="008A3C38">
              <w:rPr>
                <w:noProof/>
                <w:webHidden/>
              </w:rPr>
              <w:fldChar w:fldCharType="begin"/>
            </w:r>
            <w:r w:rsidR="004C4B6C">
              <w:rPr>
                <w:noProof/>
                <w:webHidden/>
              </w:rPr>
              <w:instrText xml:space="preserve"> PAGEREF _Toc382213969 \h </w:instrText>
            </w:r>
            <w:r w:rsidR="008A3C38">
              <w:rPr>
                <w:noProof/>
                <w:webHidden/>
              </w:rPr>
            </w:r>
            <w:r w:rsidR="008A3C38">
              <w:rPr>
                <w:noProof/>
                <w:webHidden/>
              </w:rPr>
              <w:fldChar w:fldCharType="separate"/>
            </w:r>
            <w:r w:rsidR="004C4B6C">
              <w:rPr>
                <w:noProof/>
                <w:webHidden/>
              </w:rPr>
              <w:t>27</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70" w:history="1">
            <w:r w:rsidR="004C4B6C" w:rsidRPr="000B5124">
              <w:rPr>
                <w:rStyle w:val="Hyperlink"/>
                <w:noProof/>
              </w:rPr>
              <w:t>3.2.2 Client Initiated HIV Testing and Counseling (CITC)</w:t>
            </w:r>
            <w:r w:rsidR="004C4B6C">
              <w:rPr>
                <w:noProof/>
                <w:webHidden/>
              </w:rPr>
              <w:tab/>
            </w:r>
            <w:r w:rsidR="008A3C38">
              <w:rPr>
                <w:noProof/>
                <w:webHidden/>
              </w:rPr>
              <w:fldChar w:fldCharType="begin"/>
            </w:r>
            <w:r w:rsidR="004C4B6C">
              <w:rPr>
                <w:noProof/>
                <w:webHidden/>
              </w:rPr>
              <w:instrText xml:space="preserve"> PAGEREF _Toc382213970 \h </w:instrText>
            </w:r>
            <w:r w:rsidR="008A3C38">
              <w:rPr>
                <w:noProof/>
                <w:webHidden/>
              </w:rPr>
            </w:r>
            <w:r w:rsidR="008A3C38">
              <w:rPr>
                <w:noProof/>
                <w:webHidden/>
              </w:rPr>
              <w:fldChar w:fldCharType="separate"/>
            </w:r>
            <w:r w:rsidR="004C4B6C">
              <w:rPr>
                <w:noProof/>
                <w:webHidden/>
              </w:rPr>
              <w:t>28</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71" w:history="1">
            <w:r w:rsidR="004C4B6C" w:rsidRPr="000B5124">
              <w:rPr>
                <w:rStyle w:val="Hyperlink"/>
                <w:noProof/>
              </w:rPr>
              <w:t>3.2.3 Community-Based HIV Testing and Counselling</w:t>
            </w:r>
            <w:r w:rsidR="004C4B6C">
              <w:rPr>
                <w:noProof/>
                <w:webHidden/>
              </w:rPr>
              <w:tab/>
            </w:r>
            <w:r w:rsidR="008A3C38">
              <w:rPr>
                <w:noProof/>
                <w:webHidden/>
              </w:rPr>
              <w:fldChar w:fldCharType="begin"/>
            </w:r>
            <w:r w:rsidR="004C4B6C">
              <w:rPr>
                <w:noProof/>
                <w:webHidden/>
              </w:rPr>
              <w:instrText xml:space="preserve"> PAGEREF _Toc382213971 \h </w:instrText>
            </w:r>
            <w:r w:rsidR="008A3C38">
              <w:rPr>
                <w:noProof/>
                <w:webHidden/>
              </w:rPr>
            </w:r>
            <w:r w:rsidR="008A3C38">
              <w:rPr>
                <w:noProof/>
                <w:webHidden/>
              </w:rPr>
              <w:fldChar w:fldCharType="separate"/>
            </w:r>
            <w:r w:rsidR="004C4B6C">
              <w:rPr>
                <w:noProof/>
                <w:webHidden/>
              </w:rPr>
              <w:t>28</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72" w:history="1">
            <w:r w:rsidR="004C4B6C" w:rsidRPr="000B5124">
              <w:rPr>
                <w:rStyle w:val="Hyperlink"/>
                <w:rFonts w:eastAsia="Times New Roman"/>
                <w:noProof/>
              </w:rPr>
              <w:t>3.2.4 Couple HIV Testing and Counseling (CHTC)</w:t>
            </w:r>
            <w:r w:rsidR="004C4B6C">
              <w:rPr>
                <w:noProof/>
                <w:webHidden/>
              </w:rPr>
              <w:tab/>
            </w:r>
            <w:r w:rsidR="008A3C38">
              <w:rPr>
                <w:noProof/>
                <w:webHidden/>
              </w:rPr>
              <w:fldChar w:fldCharType="begin"/>
            </w:r>
            <w:r w:rsidR="004C4B6C">
              <w:rPr>
                <w:noProof/>
                <w:webHidden/>
              </w:rPr>
              <w:instrText xml:space="preserve"> PAGEREF _Toc382213972 \h </w:instrText>
            </w:r>
            <w:r w:rsidR="008A3C38">
              <w:rPr>
                <w:noProof/>
                <w:webHidden/>
              </w:rPr>
            </w:r>
            <w:r w:rsidR="008A3C38">
              <w:rPr>
                <w:noProof/>
                <w:webHidden/>
              </w:rPr>
              <w:fldChar w:fldCharType="separate"/>
            </w:r>
            <w:r w:rsidR="004C4B6C">
              <w:rPr>
                <w:noProof/>
                <w:webHidden/>
              </w:rPr>
              <w:t>29</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73" w:history="1">
            <w:r w:rsidR="004C4B6C" w:rsidRPr="000B5124">
              <w:rPr>
                <w:rStyle w:val="Hyperlink"/>
                <w:noProof/>
              </w:rPr>
              <w:t>3.2.5 HIV Testing and Counselling for Infants, Children and Adolescents</w:t>
            </w:r>
            <w:r w:rsidR="004C4B6C">
              <w:rPr>
                <w:noProof/>
                <w:webHidden/>
              </w:rPr>
              <w:tab/>
            </w:r>
            <w:r w:rsidR="008A3C38">
              <w:rPr>
                <w:noProof/>
                <w:webHidden/>
              </w:rPr>
              <w:fldChar w:fldCharType="begin"/>
            </w:r>
            <w:r w:rsidR="004C4B6C">
              <w:rPr>
                <w:noProof/>
                <w:webHidden/>
              </w:rPr>
              <w:instrText xml:space="preserve"> PAGEREF _Toc382213973 \h </w:instrText>
            </w:r>
            <w:r w:rsidR="008A3C38">
              <w:rPr>
                <w:noProof/>
                <w:webHidden/>
              </w:rPr>
            </w:r>
            <w:r w:rsidR="008A3C38">
              <w:rPr>
                <w:noProof/>
                <w:webHidden/>
              </w:rPr>
              <w:fldChar w:fldCharType="separate"/>
            </w:r>
            <w:r w:rsidR="004C4B6C">
              <w:rPr>
                <w:noProof/>
                <w:webHidden/>
              </w:rPr>
              <w:t>34</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74" w:history="1">
            <w:r w:rsidR="004C4B6C" w:rsidRPr="000B5124">
              <w:rPr>
                <w:rStyle w:val="Hyperlink"/>
                <w:rFonts w:ascii="Arial" w:hAnsi="Arial" w:cs="Arial"/>
                <w:noProof/>
                <w:lang w:val="en-GB"/>
              </w:rPr>
              <w:t>Early initiation of ART can save lives for infants, children, youth and adolescents that are living with HIV.</w:t>
            </w:r>
            <w:r w:rsidR="004C4B6C">
              <w:rPr>
                <w:noProof/>
                <w:webHidden/>
              </w:rPr>
              <w:tab/>
            </w:r>
            <w:r w:rsidR="008A3C38">
              <w:rPr>
                <w:noProof/>
                <w:webHidden/>
              </w:rPr>
              <w:fldChar w:fldCharType="begin"/>
            </w:r>
            <w:r w:rsidR="004C4B6C">
              <w:rPr>
                <w:noProof/>
                <w:webHidden/>
              </w:rPr>
              <w:instrText xml:space="preserve"> PAGEREF _Toc382213974 \h </w:instrText>
            </w:r>
            <w:r w:rsidR="008A3C38">
              <w:rPr>
                <w:noProof/>
                <w:webHidden/>
              </w:rPr>
            </w:r>
            <w:r w:rsidR="008A3C38">
              <w:rPr>
                <w:noProof/>
                <w:webHidden/>
              </w:rPr>
              <w:fldChar w:fldCharType="separate"/>
            </w:r>
            <w:r w:rsidR="004C4B6C">
              <w:rPr>
                <w:noProof/>
                <w:webHidden/>
              </w:rPr>
              <w:t>34</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75" w:history="1">
            <w:r w:rsidR="004C4B6C" w:rsidRPr="000B5124">
              <w:rPr>
                <w:rStyle w:val="Hyperlink"/>
                <w:rFonts w:ascii="Arial" w:hAnsi="Arial" w:cs="Arial"/>
                <w:noProof/>
              </w:rPr>
              <w:t>The benefits of expanded access to HTC for infants and children are numerous and include the following</w:t>
            </w:r>
            <w:r w:rsidR="004C4B6C">
              <w:rPr>
                <w:noProof/>
                <w:webHidden/>
              </w:rPr>
              <w:tab/>
            </w:r>
            <w:r w:rsidR="008A3C38">
              <w:rPr>
                <w:noProof/>
                <w:webHidden/>
              </w:rPr>
              <w:fldChar w:fldCharType="begin"/>
            </w:r>
            <w:r w:rsidR="004C4B6C">
              <w:rPr>
                <w:noProof/>
                <w:webHidden/>
              </w:rPr>
              <w:instrText xml:space="preserve"> PAGEREF _Toc382213975 \h </w:instrText>
            </w:r>
            <w:r w:rsidR="008A3C38">
              <w:rPr>
                <w:noProof/>
                <w:webHidden/>
              </w:rPr>
            </w:r>
            <w:r w:rsidR="008A3C38">
              <w:rPr>
                <w:noProof/>
                <w:webHidden/>
              </w:rPr>
              <w:fldChar w:fldCharType="separate"/>
            </w:r>
            <w:r w:rsidR="004C4B6C">
              <w:rPr>
                <w:noProof/>
                <w:webHidden/>
              </w:rPr>
              <w:t>34</w:t>
            </w:r>
            <w:r w:rsidR="008A3C38">
              <w:rPr>
                <w:noProof/>
                <w:webHidden/>
              </w:rPr>
              <w:fldChar w:fldCharType="end"/>
            </w:r>
          </w:hyperlink>
        </w:p>
        <w:p w:rsidR="004C4B6C" w:rsidRDefault="001D28FE">
          <w:pPr>
            <w:pStyle w:val="TOC3"/>
            <w:tabs>
              <w:tab w:val="left" w:pos="880"/>
              <w:tab w:val="right" w:leader="dot" w:pos="9350"/>
            </w:tabs>
            <w:rPr>
              <w:rFonts w:asciiTheme="minorHAnsi" w:eastAsiaTheme="minorEastAsia" w:hAnsiTheme="minorHAnsi" w:cstheme="minorBidi"/>
              <w:noProof/>
              <w:color w:val="auto"/>
            </w:rPr>
          </w:pPr>
          <w:hyperlink w:anchor="_Toc382213976" w:history="1">
            <w:r w:rsidR="004C4B6C" w:rsidRPr="000B5124">
              <w:rPr>
                <w:rStyle w:val="Hyperlink"/>
                <w:rFonts w:ascii="Symbol" w:hAnsi="Symbol" w:cs="Arial"/>
                <w:noProof/>
              </w:rPr>
              <w:t></w:t>
            </w:r>
            <w:r w:rsidR="004C4B6C">
              <w:rPr>
                <w:rFonts w:asciiTheme="minorHAnsi" w:eastAsiaTheme="minorEastAsia" w:hAnsiTheme="minorHAnsi" w:cstheme="minorBidi"/>
                <w:noProof/>
                <w:color w:val="auto"/>
              </w:rPr>
              <w:tab/>
            </w:r>
            <w:r w:rsidR="004C4B6C" w:rsidRPr="000B5124">
              <w:rPr>
                <w:rStyle w:val="Hyperlink"/>
                <w:rFonts w:ascii="Arial" w:hAnsi="Arial" w:cs="Arial"/>
                <w:noProof/>
              </w:rPr>
              <w:t>Early identification of HIV infants and children as a first step to treatment and care</w:t>
            </w:r>
            <w:r w:rsidR="004C4B6C">
              <w:rPr>
                <w:noProof/>
                <w:webHidden/>
              </w:rPr>
              <w:tab/>
            </w:r>
            <w:r w:rsidR="008A3C38">
              <w:rPr>
                <w:noProof/>
                <w:webHidden/>
              </w:rPr>
              <w:fldChar w:fldCharType="begin"/>
            </w:r>
            <w:r w:rsidR="004C4B6C">
              <w:rPr>
                <w:noProof/>
                <w:webHidden/>
              </w:rPr>
              <w:instrText xml:space="preserve"> PAGEREF _Toc382213976 \h </w:instrText>
            </w:r>
            <w:r w:rsidR="008A3C38">
              <w:rPr>
                <w:noProof/>
                <w:webHidden/>
              </w:rPr>
            </w:r>
            <w:r w:rsidR="008A3C38">
              <w:rPr>
                <w:noProof/>
                <w:webHidden/>
              </w:rPr>
              <w:fldChar w:fldCharType="separate"/>
            </w:r>
            <w:r w:rsidR="004C4B6C">
              <w:rPr>
                <w:noProof/>
                <w:webHidden/>
              </w:rPr>
              <w:t>34</w:t>
            </w:r>
            <w:r w:rsidR="008A3C38">
              <w:rPr>
                <w:noProof/>
                <w:webHidden/>
              </w:rPr>
              <w:fldChar w:fldCharType="end"/>
            </w:r>
          </w:hyperlink>
        </w:p>
        <w:p w:rsidR="004C4B6C" w:rsidRDefault="001D28FE">
          <w:pPr>
            <w:pStyle w:val="TOC3"/>
            <w:tabs>
              <w:tab w:val="left" w:pos="880"/>
              <w:tab w:val="right" w:leader="dot" w:pos="9350"/>
            </w:tabs>
            <w:rPr>
              <w:rFonts w:asciiTheme="minorHAnsi" w:eastAsiaTheme="minorEastAsia" w:hAnsiTheme="minorHAnsi" w:cstheme="minorBidi"/>
              <w:noProof/>
              <w:color w:val="auto"/>
            </w:rPr>
          </w:pPr>
          <w:hyperlink w:anchor="_Toc382213977" w:history="1">
            <w:r w:rsidR="004C4B6C" w:rsidRPr="000B5124">
              <w:rPr>
                <w:rStyle w:val="Hyperlink"/>
                <w:rFonts w:ascii="Symbol" w:hAnsi="Symbol" w:cs="Arial"/>
                <w:noProof/>
              </w:rPr>
              <w:t></w:t>
            </w:r>
            <w:r w:rsidR="004C4B6C">
              <w:rPr>
                <w:rFonts w:asciiTheme="minorHAnsi" w:eastAsiaTheme="minorEastAsia" w:hAnsiTheme="minorHAnsi" w:cstheme="minorBidi"/>
                <w:noProof/>
                <w:color w:val="auto"/>
              </w:rPr>
              <w:tab/>
            </w:r>
            <w:r w:rsidR="004C4B6C" w:rsidRPr="000B5124">
              <w:rPr>
                <w:rStyle w:val="Hyperlink"/>
                <w:rFonts w:ascii="Arial" w:hAnsi="Arial" w:cs="Arial"/>
                <w:noProof/>
              </w:rPr>
              <w:t>Identification of HIV exposed but uninfected infant, which facilitate follow up care and prevention measures that will help to ensure that, they remain uninfected and healthy</w:t>
            </w:r>
            <w:r w:rsidR="004C4B6C">
              <w:rPr>
                <w:noProof/>
                <w:webHidden/>
              </w:rPr>
              <w:tab/>
            </w:r>
            <w:r w:rsidR="008A3C38">
              <w:rPr>
                <w:noProof/>
                <w:webHidden/>
              </w:rPr>
              <w:fldChar w:fldCharType="begin"/>
            </w:r>
            <w:r w:rsidR="004C4B6C">
              <w:rPr>
                <w:noProof/>
                <w:webHidden/>
              </w:rPr>
              <w:instrText xml:space="preserve"> PAGEREF _Toc382213977 \h </w:instrText>
            </w:r>
            <w:r w:rsidR="008A3C38">
              <w:rPr>
                <w:noProof/>
                <w:webHidden/>
              </w:rPr>
            </w:r>
            <w:r w:rsidR="008A3C38">
              <w:rPr>
                <w:noProof/>
                <w:webHidden/>
              </w:rPr>
              <w:fldChar w:fldCharType="separate"/>
            </w:r>
            <w:r w:rsidR="004C4B6C">
              <w:rPr>
                <w:noProof/>
                <w:webHidden/>
              </w:rPr>
              <w:t>34</w:t>
            </w:r>
            <w:r w:rsidR="008A3C38">
              <w:rPr>
                <w:noProof/>
                <w:webHidden/>
              </w:rPr>
              <w:fldChar w:fldCharType="end"/>
            </w:r>
          </w:hyperlink>
        </w:p>
        <w:p w:rsidR="004C4B6C" w:rsidRDefault="001D28FE">
          <w:pPr>
            <w:pStyle w:val="TOC3"/>
            <w:tabs>
              <w:tab w:val="left" w:pos="880"/>
              <w:tab w:val="right" w:leader="dot" w:pos="9350"/>
            </w:tabs>
            <w:rPr>
              <w:rFonts w:asciiTheme="minorHAnsi" w:eastAsiaTheme="minorEastAsia" w:hAnsiTheme="minorHAnsi" w:cstheme="minorBidi"/>
              <w:noProof/>
              <w:color w:val="auto"/>
            </w:rPr>
          </w:pPr>
          <w:hyperlink w:anchor="_Toc382213978" w:history="1">
            <w:r w:rsidR="004C4B6C" w:rsidRPr="000B5124">
              <w:rPr>
                <w:rStyle w:val="Hyperlink"/>
                <w:rFonts w:ascii="Symbol" w:hAnsi="Symbol" w:cs="Arial"/>
                <w:noProof/>
              </w:rPr>
              <w:t></w:t>
            </w:r>
            <w:r w:rsidR="004C4B6C">
              <w:rPr>
                <w:rFonts w:asciiTheme="minorHAnsi" w:eastAsiaTheme="minorEastAsia" w:hAnsiTheme="minorHAnsi" w:cstheme="minorBidi"/>
                <w:noProof/>
                <w:color w:val="auto"/>
              </w:rPr>
              <w:tab/>
            </w:r>
            <w:r w:rsidR="004C4B6C" w:rsidRPr="000B5124">
              <w:rPr>
                <w:rStyle w:val="Hyperlink"/>
                <w:rFonts w:ascii="Arial" w:hAnsi="Arial" w:cs="Arial"/>
                <w:noProof/>
              </w:rPr>
              <w:t>Life planning for parents and/or children who are HIV infected; and</w:t>
            </w:r>
            <w:r w:rsidR="004C4B6C">
              <w:rPr>
                <w:noProof/>
                <w:webHidden/>
              </w:rPr>
              <w:tab/>
            </w:r>
            <w:r w:rsidR="008A3C38">
              <w:rPr>
                <w:noProof/>
                <w:webHidden/>
              </w:rPr>
              <w:fldChar w:fldCharType="begin"/>
            </w:r>
            <w:r w:rsidR="004C4B6C">
              <w:rPr>
                <w:noProof/>
                <w:webHidden/>
              </w:rPr>
              <w:instrText xml:space="preserve"> PAGEREF _Toc382213978 \h </w:instrText>
            </w:r>
            <w:r w:rsidR="008A3C38">
              <w:rPr>
                <w:noProof/>
                <w:webHidden/>
              </w:rPr>
            </w:r>
            <w:r w:rsidR="008A3C38">
              <w:rPr>
                <w:noProof/>
                <w:webHidden/>
              </w:rPr>
              <w:fldChar w:fldCharType="separate"/>
            </w:r>
            <w:r w:rsidR="004C4B6C">
              <w:rPr>
                <w:noProof/>
                <w:webHidden/>
              </w:rPr>
              <w:t>34</w:t>
            </w:r>
            <w:r w:rsidR="008A3C38">
              <w:rPr>
                <w:noProof/>
                <w:webHidden/>
              </w:rPr>
              <w:fldChar w:fldCharType="end"/>
            </w:r>
          </w:hyperlink>
        </w:p>
        <w:p w:rsidR="004C4B6C" w:rsidRDefault="001D28FE">
          <w:pPr>
            <w:pStyle w:val="TOC3"/>
            <w:tabs>
              <w:tab w:val="left" w:pos="880"/>
              <w:tab w:val="right" w:leader="dot" w:pos="9350"/>
            </w:tabs>
            <w:rPr>
              <w:rFonts w:asciiTheme="minorHAnsi" w:eastAsiaTheme="minorEastAsia" w:hAnsiTheme="minorHAnsi" w:cstheme="minorBidi"/>
              <w:noProof/>
              <w:color w:val="auto"/>
            </w:rPr>
          </w:pPr>
          <w:hyperlink w:anchor="_Toc382213979" w:history="1">
            <w:r w:rsidR="004C4B6C" w:rsidRPr="000B5124">
              <w:rPr>
                <w:rStyle w:val="Hyperlink"/>
                <w:rFonts w:ascii="Symbol" w:hAnsi="Symbol" w:cs="Arial"/>
                <w:noProof/>
              </w:rPr>
              <w:t></w:t>
            </w:r>
            <w:r w:rsidR="004C4B6C">
              <w:rPr>
                <w:rFonts w:asciiTheme="minorHAnsi" w:eastAsiaTheme="minorEastAsia" w:hAnsiTheme="minorHAnsi" w:cstheme="minorBidi"/>
                <w:noProof/>
                <w:color w:val="auto"/>
              </w:rPr>
              <w:tab/>
            </w:r>
            <w:r w:rsidR="004C4B6C" w:rsidRPr="000B5124">
              <w:rPr>
                <w:rStyle w:val="Hyperlink"/>
                <w:rFonts w:ascii="Arial" w:hAnsi="Arial" w:cs="Arial"/>
                <w:noProof/>
              </w:rPr>
              <w:t>Increase access to care and antiretroviral therapy for parents</w:t>
            </w:r>
            <w:r w:rsidR="004C4B6C">
              <w:rPr>
                <w:noProof/>
                <w:webHidden/>
              </w:rPr>
              <w:tab/>
            </w:r>
            <w:r w:rsidR="008A3C38">
              <w:rPr>
                <w:noProof/>
                <w:webHidden/>
              </w:rPr>
              <w:fldChar w:fldCharType="begin"/>
            </w:r>
            <w:r w:rsidR="004C4B6C">
              <w:rPr>
                <w:noProof/>
                <w:webHidden/>
              </w:rPr>
              <w:instrText xml:space="preserve"> PAGEREF _Toc382213979 \h </w:instrText>
            </w:r>
            <w:r w:rsidR="008A3C38">
              <w:rPr>
                <w:noProof/>
                <w:webHidden/>
              </w:rPr>
            </w:r>
            <w:r w:rsidR="008A3C38">
              <w:rPr>
                <w:noProof/>
                <w:webHidden/>
              </w:rPr>
              <w:fldChar w:fldCharType="separate"/>
            </w:r>
            <w:r w:rsidR="004C4B6C">
              <w:rPr>
                <w:noProof/>
                <w:webHidden/>
              </w:rPr>
              <w:t>34</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80" w:history="1">
            <w:r w:rsidR="004C4B6C" w:rsidRPr="000B5124">
              <w:rPr>
                <w:rStyle w:val="Hyperlink"/>
                <w:rFonts w:eastAsia="Times New Roman"/>
                <w:noProof/>
              </w:rPr>
              <w:t>3.2.6 HIV Testing and Counselling Related to High Risks Behaviour</w:t>
            </w:r>
            <w:r w:rsidR="004C4B6C">
              <w:rPr>
                <w:noProof/>
                <w:webHidden/>
              </w:rPr>
              <w:tab/>
            </w:r>
            <w:r w:rsidR="008A3C38">
              <w:rPr>
                <w:noProof/>
                <w:webHidden/>
              </w:rPr>
              <w:fldChar w:fldCharType="begin"/>
            </w:r>
            <w:r w:rsidR="004C4B6C">
              <w:rPr>
                <w:noProof/>
                <w:webHidden/>
              </w:rPr>
              <w:instrText xml:space="preserve"> PAGEREF _Toc382213980 \h </w:instrText>
            </w:r>
            <w:r w:rsidR="008A3C38">
              <w:rPr>
                <w:noProof/>
                <w:webHidden/>
              </w:rPr>
            </w:r>
            <w:r w:rsidR="008A3C38">
              <w:rPr>
                <w:noProof/>
                <w:webHidden/>
              </w:rPr>
              <w:fldChar w:fldCharType="separate"/>
            </w:r>
            <w:r w:rsidR="004C4B6C">
              <w:rPr>
                <w:noProof/>
                <w:webHidden/>
              </w:rPr>
              <w:t>37</w:t>
            </w:r>
            <w:r w:rsidR="008A3C38">
              <w:rPr>
                <w:noProof/>
                <w:webHidden/>
              </w:rPr>
              <w:fldChar w:fldCharType="end"/>
            </w:r>
          </w:hyperlink>
        </w:p>
        <w:p w:rsidR="004C4B6C" w:rsidRDefault="001D28FE">
          <w:pPr>
            <w:pStyle w:val="TOC1"/>
            <w:tabs>
              <w:tab w:val="left" w:pos="1540"/>
              <w:tab w:val="right" w:leader="dot" w:pos="9350"/>
            </w:tabs>
            <w:rPr>
              <w:rFonts w:asciiTheme="minorHAnsi" w:eastAsiaTheme="minorEastAsia" w:hAnsiTheme="minorHAnsi" w:cstheme="minorBidi"/>
              <w:noProof/>
              <w:color w:val="auto"/>
            </w:rPr>
          </w:pPr>
          <w:hyperlink w:anchor="_Toc382213981" w:history="1">
            <w:r w:rsidR="004C4B6C" w:rsidRPr="000B5124">
              <w:rPr>
                <w:rStyle w:val="Hyperlink"/>
                <w:noProof/>
              </w:rPr>
              <w:t>CHAPTER 4:</w:t>
            </w:r>
            <w:r w:rsidR="004C4B6C">
              <w:rPr>
                <w:rFonts w:asciiTheme="minorHAnsi" w:eastAsiaTheme="minorEastAsia" w:hAnsiTheme="minorHAnsi" w:cstheme="minorBidi"/>
                <w:noProof/>
                <w:color w:val="auto"/>
              </w:rPr>
              <w:tab/>
            </w:r>
            <w:r w:rsidR="004C4B6C" w:rsidRPr="000B5124">
              <w:rPr>
                <w:rStyle w:val="Hyperlink"/>
                <w:noProof/>
              </w:rPr>
              <w:t>LABORATORY TESTS FOR HIV AND AIDS</w:t>
            </w:r>
            <w:r w:rsidR="004C4B6C">
              <w:rPr>
                <w:noProof/>
                <w:webHidden/>
              </w:rPr>
              <w:tab/>
            </w:r>
            <w:r w:rsidR="008A3C38">
              <w:rPr>
                <w:noProof/>
                <w:webHidden/>
              </w:rPr>
              <w:fldChar w:fldCharType="begin"/>
            </w:r>
            <w:r w:rsidR="004C4B6C">
              <w:rPr>
                <w:noProof/>
                <w:webHidden/>
              </w:rPr>
              <w:instrText xml:space="preserve"> PAGEREF _Toc382213981 \h </w:instrText>
            </w:r>
            <w:r w:rsidR="008A3C38">
              <w:rPr>
                <w:noProof/>
                <w:webHidden/>
              </w:rPr>
            </w:r>
            <w:r w:rsidR="008A3C38">
              <w:rPr>
                <w:noProof/>
                <w:webHidden/>
              </w:rPr>
              <w:fldChar w:fldCharType="separate"/>
            </w:r>
            <w:r w:rsidR="004C4B6C">
              <w:rPr>
                <w:noProof/>
                <w:webHidden/>
              </w:rPr>
              <w:t>40</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3982" w:history="1">
            <w:r w:rsidR="004C4B6C" w:rsidRPr="000B5124">
              <w:rPr>
                <w:rStyle w:val="Hyperlink"/>
                <w:noProof/>
              </w:rPr>
              <w:t>4.1 Introduction</w:t>
            </w:r>
            <w:r w:rsidR="004C4B6C">
              <w:rPr>
                <w:noProof/>
                <w:webHidden/>
              </w:rPr>
              <w:tab/>
            </w:r>
            <w:r w:rsidR="008A3C38">
              <w:rPr>
                <w:noProof/>
                <w:webHidden/>
              </w:rPr>
              <w:fldChar w:fldCharType="begin"/>
            </w:r>
            <w:r w:rsidR="004C4B6C">
              <w:rPr>
                <w:noProof/>
                <w:webHidden/>
              </w:rPr>
              <w:instrText xml:space="preserve"> PAGEREF _Toc382213982 \h </w:instrText>
            </w:r>
            <w:r w:rsidR="008A3C38">
              <w:rPr>
                <w:noProof/>
                <w:webHidden/>
              </w:rPr>
            </w:r>
            <w:r w:rsidR="008A3C38">
              <w:rPr>
                <w:noProof/>
                <w:webHidden/>
              </w:rPr>
              <w:fldChar w:fldCharType="separate"/>
            </w:r>
            <w:r w:rsidR="004C4B6C">
              <w:rPr>
                <w:noProof/>
                <w:webHidden/>
              </w:rPr>
              <w:t>40</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3983" w:history="1">
            <w:r w:rsidR="004C4B6C" w:rsidRPr="000B5124">
              <w:rPr>
                <w:rStyle w:val="Hyperlink"/>
                <w:noProof/>
              </w:rPr>
              <w:t>4.2 Tests for HIV Diagnosis</w:t>
            </w:r>
            <w:r w:rsidR="004C4B6C">
              <w:rPr>
                <w:noProof/>
                <w:webHidden/>
              </w:rPr>
              <w:tab/>
            </w:r>
            <w:r w:rsidR="008A3C38">
              <w:rPr>
                <w:noProof/>
                <w:webHidden/>
              </w:rPr>
              <w:fldChar w:fldCharType="begin"/>
            </w:r>
            <w:r w:rsidR="004C4B6C">
              <w:rPr>
                <w:noProof/>
                <w:webHidden/>
              </w:rPr>
              <w:instrText xml:space="preserve"> PAGEREF _Toc382213983 \h </w:instrText>
            </w:r>
            <w:r w:rsidR="008A3C38">
              <w:rPr>
                <w:noProof/>
                <w:webHidden/>
              </w:rPr>
            </w:r>
            <w:r w:rsidR="008A3C38">
              <w:rPr>
                <w:noProof/>
                <w:webHidden/>
              </w:rPr>
              <w:fldChar w:fldCharType="separate"/>
            </w:r>
            <w:r w:rsidR="004C4B6C">
              <w:rPr>
                <w:noProof/>
                <w:webHidden/>
              </w:rPr>
              <w:t>40</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84" w:history="1">
            <w:r w:rsidR="004C4B6C" w:rsidRPr="000B5124">
              <w:rPr>
                <w:rStyle w:val="Hyperlink"/>
                <w:noProof/>
              </w:rPr>
              <w:t>4.2.1 HIV Testing in Adults and Children over 18 Months</w:t>
            </w:r>
            <w:r w:rsidR="004C4B6C">
              <w:rPr>
                <w:noProof/>
                <w:webHidden/>
              </w:rPr>
              <w:tab/>
            </w:r>
            <w:r w:rsidR="008A3C38">
              <w:rPr>
                <w:noProof/>
                <w:webHidden/>
              </w:rPr>
              <w:fldChar w:fldCharType="begin"/>
            </w:r>
            <w:r w:rsidR="004C4B6C">
              <w:rPr>
                <w:noProof/>
                <w:webHidden/>
              </w:rPr>
              <w:instrText xml:space="preserve"> PAGEREF _Toc382213984 \h </w:instrText>
            </w:r>
            <w:r w:rsidR="008A3C38">
              <w:rPr>
                <w:noProof/>
                <w:webHidden/>
              </w:rPr>
            </w:r>
            <w:r w:rsidR="008A3C38">
              <w:rPr>
                <w:noProof/>
                <w:webHidden/>
              </w:rPr>
              <w:fldChar w:fldCharType="separate"/>
            </w:r>
            <w:r w:rsidR="004C4B6C">
              <w:rPr>
                <w:noProof/>
                <w:webHidden/>
              </w:rPr>
              <w:t>40</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85" w:history="1">
            <w:r w:rsidR="004C4B6C" w:rsidRPr="000B5124">
              <w:rPr>
                <w:rStyle w:val="Hyperlink"/>
                <w:noProof/>
              </w:rPr>
              <w:t>4.2.2 Diagnosing HIV infection in children under 18 months</w:t>
            </w:r>
            <w:r w:rsidR="004C4B6C">
              <w:rPr>
                <w:noProof/>
                <w:webHidden/>
              </w:rPr>
              <w:tab/>
            </w:r>
            <w:r w:rsidR="008A3C38">
              <w:rPr>
                <w:noProof/>
                <w:webHidden/>
              </w:rPr>
              <w:fldChar w:fldCharType="begin"/>
            </w:r>
            <w:r w:rsidR="004C4B6C">
              <w:rPr>
                <w:noProof/>
                <w:webHidden/>
              </w:rPr>
              <w:instrText xml:space="preserve"> PAGEREF _Toc382213985 \h </w:instrText>
            </w:r>
            <w:r w:rsidR="008A3C38">
              <w:rPr>
                <w:noProof/>
                <w:webHidden/>
              </w:rPr>
            </w:r>
            <w:r w:rsidR="008A3C38">
              <w:rPr>
                <w:noProof/>
                <w:webHidden/>
              </w:rPr>
              <w:fldChar w:fldCharType="separate"/>
            </w:r>
            <w:r w:rsidR="004C4B6C">
              <w:rPr>
                <w:noProof/>
                <w:webHidden/>
              </w:rPr>
              <w:t>42</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3986" w:history="1">
            <w:r w:rsidR="004C4B6C" w:rsidRPr="000B5124">
              <w:rPr>
                <w:rStyle w:val="Hyperlink"/>
                <w:noProof/>
              </w:rPr>
              <w:t>4.3 Tests for HIV Disease staging</w:t>
            </w:r>
            <w:r w:rsidR="004C4B6C">
              <w:rPr>
                <w:noProof/>
                <w:webHidden/>
              </w:rPr>
              <w:tab/>
            </w:r>
            <w:r w:rsidR="008A3C38">
              <w:rPr>
                <w:noProof/>
                <w:webHidden/>
              </w:rPr>
              <w:fldChar w:fldCharType="begin"/>
            </w:r>
            <w:r w:rsidR="004C4B6C">
              <w:rPr>
                <w:noProof/>
                <w:webHidden/>
              </w:rPr>
              <w:instrText xml:space="preserve"> PAGEREF _Toc382213986 \h </w:instrText>
            </w:r>
            <w:r w:rsidR="008A3C38">
              <w:rPr>
                <w:noProof/>
                <w:webHidden/>
              </w:rPr>
            </w:r>
            <w:r w:rsidR="008A3C38">
              <w:rPr>
                <w:noProof/>
                <w:webHidden/>
              </w:rPr>
              <w:fldChar w:fldCharType="separate"/>
            </w:r>
            <w:r w:rsidR="004C4B6C">
              <w:rPr>
                <w:noProof/>
                <w:webHidden/>
              </w:rPr>
              <w:t>43</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3987" w:history="1">
            <w:r w:rsidR="004C4B6C" w:rsidRPr="000B5124">
              <w:rPr>
                <w:rStyle w:val="Hyperlink"/>
                <w:noProof/>
              </w:rPr>
              <w:t>4.4 Tests for Monitoring Responses to antiretroviral treatment and diagnosis of treatment failure</w:t>
            </w:r>
            <w:r w:rsidR="004C4B6C">
              <w:rPr>
                <w:noProof/>
                <w:webHidden/>
              </w:rPr>
              <w:tab/>
            </w:r>
            <w:r w:rsidR="008A3C38">
              <w:rPr>
                <w:noProof/>
                <w:webHidden/>
              </w:rPr>
              <w:fldChar w:fldCharType="begin"/>
            </w:r>
            <w:r w:rsidR="004C4B6C">
              <w:rPr>
                <w:noProof/>
                <w:webHidden/>
              </w:rPr>
              <w:instrText xml:space="preserve"> PAGEREF _Toc382213987 \h </w:instrText>
            </w:r>
            <w:r w:rsidR="008A3C38">
              <w:rPr>
                <w:noProof/>
                <w:webHidden/>
              </w:rPr>
            </w:r>
            <w:r w:rsidR="008A3C38">
              <w:rPr>
                <w:noProof/>
                <w:webHidden/>
              </w:rPr>
              <w:fldChar w:fldCharType="separate"/>
            </w:r>
            <w:r w:rsidR="004C4B6C">
              <w:rPr>
                <w:noProof/>
                <w:webHidden/>
              </w:rPr>
              <w:t>43</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88" w:history="1">
            <w:r w:rsidR="004C4B6C" w:rsidRPr="000B5124">
              <w:rPr>
                <w:rStyle w:val="Hyperlink"/>
                <w:noProof/>
              </w:rPr>
              <w:t>4.4.1 Tests for Monitoring Disease Progress and Treatment Safety</w:t>
            </w:r>
            <w:r w:rsidR="004C4B6C">
              <w:rPr>
                <w:noProof/>
                <w:webHidden/>
              </w:rPr>
              <w:tab/>
            </w:r>
            <w:r w:rsidR="008A3C38">
              <w:rPr>
                <w:noProof/>
                <w:webHidden/>
              </w:rPr>
              <w:fldChar w:fldCharType="begin"/>
            </w:r>
            <w:r w:rsidR="004C4B6C">
              <w:rPr>
                <w:noProof/>
                <w:webHidden/>
              </w:rPr>
              <w:instrText xml:space="preserve"> PAGEREF _Toc382213988 \h </w:instrText>
            </w:r>
            <w:r w:rsidR="008A3C38">
              <w:rPr>
                <w:noProof/>
                <w:webHidden/>
              </w:rPr>
            </w:r>
            <w:r w:rsidR="008A3C38">
              <w:rPr>
                <w:noProof/>
                <w:webHidden/>
              </w:rPr>
              <w:fldChar w:fldCharType="separate"/>
            </w:r>
            <w:r w:rsidR="004C4B6C">
              <w:rPr>
                <w:noProof/>
                <w:webHidden/>
              </w:rPr>
              <w:t>44</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89" w:history="1">
            <w:r w:rsidR="004C4B6C" w:rsidRPr="000B5124">
              <w:rPr>
                <w:rStyle w:val="Hyperlink"/>
                <w:noProof/>
              </w:rPr>
              <w:t>4.4.2 Tests for monitoring antiretroviral treatment safety (toxicity)</w:t>
            </w:r>
            <w:r w:rsidR="004C4B6C">
              <w:rPr>
                <w:noProof/>
                <w:webHidden/>
              </w:rPr>
              <w:tab/>
            </w:r>
            <w:r w:rsidR="008A3C38">
              <w:rPr>
                <w:noProof/>
                <w:webHidden/>
              </w:rPr>
              <w:fldChar w:fldCharType="begin"/>
            </w:r>
            <w:r w:rsidR="004C4B6C">
              <w:rPr>
                <w:noProof/>
                <w:webHidden/>
              </w:rPr>
              <w:instrText xml:space="preserve"> PAGEREF _Toc382213989 \h </w:instrText>
            </w:r>
            <w:r w:rsidR="008A3C38">
              <w:rPr>
                <w:noProof/>
                <w:webHidden/>
              </w:rPr>
            </w:r>
            <w:r w:rsidR="008A3C38">
              <w:rPr>
                <w:noProof/>
                <w:webHidden/>
              </w:rPr>
              <w:fldChar w:fldCharType="separate"/>
            </w:r>
            <w:r w:rsidR="004C4B6C">
              <w:rPr>
                <w:noProof/>
                <w:webHidden/>
              </w:rPr>
              <w:t>45</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3990" w:history="1">
            <w:r w:rsidR="004C4B6C" w:rsidRPr="000B5124">
              <w:rPr>
                <w:rStyle w:val="Hyperlink"/>
                <w:noProof/>
              </w:rPr>
              <w:t>4.5 Tests for diagnosing Opportunistic Infections</w:t>
            </w:r>
            <w:r w:rsidR="004C4B6C">
              <w:rPr>
                <w:noProof/>
                <w:webHidden/>
              </w:rPr>
              <w:tab/>
            </w:r>
            <w:r w:rsidR="008A3C38">
              <w:rPr>
                <w:noProof/>
                <w:webHidden/>
              </w:rPr>
              <w:fldChar w:fldCharType="begin"/>
            </w:r>
            <w:r w:rsidR="004C4B6C">
              <w:rPr>
                <w:noProof/>
                <w:webHidden/>
              </w:rPr>
              <w:instrText xml:space="preserve"> PAGEREF _Toc382213990 \h </w:instrText>
            </w:r>
            <w:r w:rsidR="008A3C38">
              <w:rPr>
                <w:noProof/>
                <w:webHidden/>
              </w:rPr>
            </w:r>
            <w:r w:rsidR="008A3C38">
              <w:rPr>
                <w:noProof/>
                <w:webHidden/>
              </w:rPr>
              <w:fldChar w:fldCharType="separate"/>
            </w:r>
            <w:r w:rsidR="004C4B6C">
              <w:rPr>
                <w:noProof/>
                <w:webHidden/>
              </w:rPr>
              <w:t>48</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3991" w:history="1">
            <w:r w:rsidR="004C4B6C" w:rsidRPr="000B5124">
              <w:rPr>
                <w:rStyle w:val="Hyperlink"/>
                <w:noProof/>
              </w:rPr>
              <w:t>4.6 Laboratory Safety Precaution</w:t>
            </w:r>
            <w:r w:rsidR="004C4B6C">
              <w:rPr>
                <w:noProof/>
                <w:webHidden/>
              </w:rPr>
              <w:tab/>
            </w:r>
            <w:r w:rsidR="008A3C38">
              <w:rPr>
                <w:noProof/>
                <w:webHidden/>
              </w:rPr>
              <w:fldChar w:fldCharType="begin"/>
            </w:r>
            <w:r w:rsidR="004C4B6C">
              <w:rPr>
                <w:noProof/>
                <w:webHidden/>
              </w:rPr>
              <w:instrText xml:space="preserve"> PAGEREF _Toc382213991 \h </w:instrText>
            </w:r>
            <w:r w:rsidR="008A3C38">
              <w:rPr>
                <w:noProof/>
                <w:webHidden/>
              </w:rPr>
            </w:r>
            <w:r w:rsidR="008A3C38">
              <w:rPr>
                <w:noProof/>
                <w:webHidden/>
              </w:rPr>
              <w:fldChar w:fldCharType="separate"/>
            </w:r>
            <w:r w:rsidR="004C4B6C">
              <w:rPr>
                <w:noProof/>
                <w:webHidden/>
              </w:rPr>
              <w:t>49</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92" w:history="1">
            <w:r w:rsidR="004C4B6C" w:rsidRPr="000B5124">
              <w:rPr>
                <w:rStyle w:val="Hyperlink"/>
                <w:noProof/>
              </w:rPr>
              <w:t>4.6.1 Sample Storage</w:t>
            </w:r>
            <w:r w:rsidR="004C4B6C">
              <w:rPr>
                <w:noProof/>
                <w:webHidden/>
              </w:rPr>
              <w:tab/>
            </w:r>
            <w:r w:rsidR="008A3C38">
              <w:rPr>
                <w:noProof/>
                <w:webHidden/>
              </w:rPr>
              <w:fldChar w:fldCharType="begin"/>
            </w:r>
            <w:r w:rsidR="004C4B6C">
              <w:rPr>
                <w:noProof/>
                <w:webHidden/>
              </w:rPr>
              <w:instrText xml:space="preserve"> PAGEREF _Toc382213992 \h </w:instrText>
            </w:r>
            <w:r w:rsidR="008A3C38">
              <w:rPr>
                <w:noProof/>
                <w:webHidden/>
              </w:rPr>
            </w:r>
            <w:r w:rsidR="008A3C38">
              <w:rPr>
                <w:noProof/>
                <w:webHidden/>
              </w:rPr>
              <w:fldChar w:fldCharType="separate"/>
            </w:r>
            <w:r w:rsidR="004C4B6C">
              <w:rPr>
                <w:noProof/>
                <w:webHidden/>
              </w:rPr>
              <w:t>49</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93" w:history="1">
            <w:r w:rsidR="004C4B6C" w:rsidRPr="000B5124">
              <w:rPr>
                <w:rStyle w:val="Hyperlink"/>
                <w:noProof/>
              </w:rPr>
              <w:t>4.6.2 Sample Transportation</w:t>
            </w:r>
            <w:r w:rsidR="004C4B6C">
              <w:rPr>
                <w:noProof/>
                <w:webHidden/>
              </w:rPr>
              <w:tab/>
            </w:r>
            <w:r w:rsidR="008A3C38">
              <w:rPr>
                <w:noProof/>
                <w:webHidden/>
              </w:rPr>
              <w:fldChar w:fldCharType="begin"/>
            </w:r>
            <w:r w:rsidR="004C4B6C">
              <w:rPr>
                <w:noProof/>
                <w:webHidden/>
              </w:rPr>
              <w:instrText xml:space="preserve"> PAGEREF _Toc382213993 \h </w:instrText>
            </w:r>
            <w:r w:rsidR="008A3C38">
              <w:rPr>
                <w:noProof/>
                <w:webHidden/>
              </w:rPr>
            </w:r>
            <w:r w:rsidR="008A3C38">
              <w:rPr>
                <w:noProof/>
                <w:webHidden/>
              </w:rPr>
              <w:fldChar w:fldCharType="separate"/>
            </w:r>
            <w:r w:rsidR="004C4B6C">
              <w:rPr>
                <w:noProof/>
                <w:webHidden/>
              </w:rPr>
              <w:t>49</w:t>
            </w:r>
            <w:r w:rsidR="008A3C38">
              <w:rPr>
                <w:noProof/>
                <w:webHidden/>
              </w:rPr>
              <w:fldChar w:fldCharType="end"/>
            </w:r>
          </w:hyperlink>
        </w:p>
        <w:p w:rsidR="004C4B6C" w:rsidRDefault="001D28FE">
          <w:pPr>
            <w:pStyle w:val="TOC1"/>
            <w:tabs>
              <w:tab w:val="right" w:leader="dot" w:pos="9350"/>
            </w:tabs>
            <w:rPr>
              <w:rFonts w:asciiTheme="minorHAnsi" w:eastAsiaTheme="minorEastAsia" w:hAnsiTheme="minorHAnsi" w:cstheme="minorBidi"/>
              <w:noProof/>
              <w:color w:val="auto"/>
            </w:rPr>
          </w:pPr>
          <w:hyperlink w:anchor="_Toc382213994" w:history="1">
            <w:r w:rsidR="004C4B6C" w:rsidRPr="000B5124">
              <w:rPr>
                <w:rStyle w:val="Hyperlink"/>
                <w:noProof/>
              </w:rPr>
              <w:t>CHAPTER 5: HIV AND AIDS PREVENTION</w:t>
            </w:r>
            <w:r w:rsidR="004C4B6C">
              <w:rPr>
                <w:noProof/>
                <w:webHidden/>
              </w:rPr>
              <w:tab/>
            </w:r>
            <w:r w:rsidR="008A3C38">
              <w:rPr>
                <w:noProof/>
                <w:webHidden/>
              </w:rPr>
              <w:fldChar w:fldCharType="begin"/>
            </w:r>
            <w:r w:rsidR="004C4B6C">
              <w:rPr>
                <w:noProof/>
                <w:webHidden/>
              </w:rPr>
              <w:instrText xml:space="preserve"> PAGEREF _Toc382213994 \h </w:instrText>
            </w:r>
            <w:r w:rsidR="008A3C38">
              <w:rPr>
                <w:noProof/>
                <w:webHidden/>
              </w:rPr>
            </w:r>
            <w:r w:rsidR="008A3C38">
              <w:rPr>
                <w:noProof/>
                <w:webHidden/>
              </w:rPr>
              <w:fldChar w:fldCharType="separate"/>
            </w:r>
            <w:r w:rsidR="004C4B6C">
              <w:rPr>
                <w:noProof/>
                <w:webHidden/>
              </w:rPr>
              <w:t>50</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3995" w:history="1">
            <w:r w:rsidR="004C4B6C" w:rsidRPr="000B5124">
              <w:rPr>
                <w:rStyle w:val="Hyperlink"/>
                <w:noProof/>
              </w:rPr>
              <w:t>5.1 Behavioral HIV Prevention and Special Circumstances</w:t>
            </w:r>
            <w:r w:rsidR="004C4B6C">
              <w:rPr>
                <w:noProof/>
                <w:webHidden/>
              </w:rPr>
              <w:tab/>
            </w:r>
            <w:r w:rsidR="008A3C38">
              <w:rPr>
                <w:noProof/>
                <w:webHidden/>
              </w:rPr>
              <w:fldChar w:fldCharType="begin"/>
            </w:r>
            <w:r w:rsidR="004C4B6C">
              <w:rPr>
                <w:noProof/>
                <w:webHidden/>
              </w:rPr>
              <w:instrText xml:space="preserve"> PAGEREF _Toc382213995 \h </w:instrText>
            </w:r>
            <w:r w:rsidR="008A3C38">
              <w:rPr>
                <w:noProof/>
                <w:webHidden/>
              </w:rPr>
            </w:r>
            <w:r w:rsidR="008A3C38">
              <w:rPr>
                <w:noProof/>
                <w:webHidden/>
              </w:rPr>
              <w:fldChar w:fldCharType="separate"/>
            </w:r>
            <w:r w:rsidR="004C4B6C">
              <w:rPr>
                <w:noProof/>
                <w:webHidden/>
              </w:rPr>
              <w:t>50</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96" w:history="1">
            <w:r w:rsidR="004C4B6C" w:rsidRPr="000B5124">
              <w:rPr>
                <w:rStyle w:val="Hyperlink"/>
                <w:noProof/>
              </w:rPr>
              <w:t>5.1.1 Introduction</w:t>
            </w:r>
            <w:r w:rsidR="004C4B6C">
              <w:rPr>
                <w:noProof/>
                <w:webHidden/>
              </w:rPr>
              <w:tab/>
            </w:r>
            <w:r w:rsidR="008A3C38">
              <w:rPr>
                <w:noProof/>
                <w:webHidden/>
              </w:rPr>
              <w:fldChar w:fldCharType="begin"/>
            </w:r>
            <w:r w:rsidR="004C4B6C">
              <w:rPr>
                <w:noProof/>
                <w:webHidden/>
              </w:rPr>
              <w:instrText xml:space="preserve"> PAGEREF _Toc382213996 \h </w:instrText>
            </w:r>
            <w:r w:rsidR="008A3C38">
              <w:rPr>
                <w:noProof/>
                <w:webHidden/>
              </w:rPr>
            </w:r>
            <w:r w:rsidR="008A3C38">
              <w:rPr>
                <w:noProof/>
                <w:webHidden/>
              </w:rPr>
              <w:fldChar w:fldCharType="separate"/>
            </w:r>
            <w:r w:rsidR="004C4B6C">
              <w:rPr>
                <w:noProof/>
                <w:webHidden/>
              </w:rPr>
              <w:t>50</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97" w:history="1">
            <w:r w:rsidR="004C4B6C" w:rsidRPr="000B5124">
              <w:rPr>
                <w:rStyle w:val="Hyperlink"/>
                <w:noProof/>
              </w:rPr>
              <w:t>5.1.2 Positive Health, Dignity and Prevention (PHDP)</w:t>
            </w:r>
            <w:r w:rsidR="004C4B6C">
              <w:rPr>
                <w:noProof/>
                <w:webHidden/>
              </w:rPr>
              <w:tab/>
            </w:r>
            <w:r w:rsidR="008A3C38">
              <w:rPr>
                <w:noProof/>
                <w:webHidden/>
              </w:rPr>
              <w:fldChar w:fldCharType="begin"/>
            </w:r>
            <w:r w:rsidR="004C4B6C">
              <w:rPr>
                <w:noProof/>
                <w:webHidden/>
              </w:rPr>
              <w:instrText xml:space="preserve"> PAGEREF _Toc382213997 \h </w:instrText>
            </w:r>
            <w:r w:rsidR="008A3C38">
              <w:rPr>
                <w:noProof/>
                <w:webHidden/>
              </w:rPr>
            </w:r>
            <w:r w:rsidR="008A3C38">
              <w:rPr>
                <w:noProof/>
                <w:webHidden/>
              </w:rPr>
              <w:fldChar w:fldCharType="separate"/>
            </w:r>
            <w:r w:rsidR="004C4B6C">
              <w:rPr>
                <w:noProof/>
                <w:webHidden/>
              </w:rPr>
              <w:t>50</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98" w:history="1">
            <w:r w:rsidR="004C4B6C" w:rsidRPr="000B5124">
              <w:rPr>
                <w:rStyle w:val="Hyperlink"/>
                <w:noProof/>
              </w:rPr>
              <w:t>5.1.3Key Population</w:t>
            </w:r>
            <w:r w:rsidR="004C4B6C">
              <w:rPr>
                <w:noProof/>
                <w:webHidden/>
              </w:rPr>
              <w:tab/>
            </w:r>
            <w:r w:rsidR="008A3C38">
              <w:rPr>
                <w:noProof/>
                <w:webHidden/>
              </w:rPr>
              <w:fldChar w:fldCharType="begin"/>
            </w:r>
            <w:r w:rsidR="004C4B6C">
              <w:rPr>
                <w:noProof/>
                <w:webHidden/>
              </w:rPr>
              <w:instrText xml:space="preserve"> PAGEREF _Toc382213998 \h </w:instrText>
            </w:r>
            <w:r w:rsidR="008A3C38">
              <w:rPr>
                <w:noProof/>
                <w:webHidden/>
              </w:rPr>
            </w:r>
            <w:r w:rsidR="008A3C38">
              <w:rPr>
                <w:noProof/>
                <w:webHidden/>
              </w:rPr>
              <w:fldChar w:fldCharType="separate"/>
            </w:r>
            <w:r w:rsidR="004C4B6C">
              <w:rPr>
                <w:noProof/>
                <w:webHidden/>
              </w:rPr>
              <w:t>54</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3999" w:history="1">
            <w:r w:rsidR="004C4B6C" w:rsidRPr="000B5124">
              <w:rPr>
                <w:rStyle w:val="Hyperlink"/>
                <w:noProof/>
              </w:rPr>
              <w:t>5.1.4 Community HIV Prevention Interventions</w:t>
            </w:r>
            <w:r w:rsidR="004C4B6C">
              <w:rPr>
                <w:noProof/>
                <w:webHidden/>
              </w:rPr>
              <w:tab/>
            </w:r>
            <w:r w:rsidR="008A3C38">
              <w:rPr>
                <w:noProof/>
                <w:webHidden/>
              </w:rPr>
              <w:fldChar w:fldCharType="begin"/>
            </w:r>
            <w:r w:rsidR="004C4B6C">
              <w:rPr>
                <w:noProof/>
                <w:webHidden/>
              </w:rPr>
              <w:instrText xml:space="preserve"> PAGEREF _Toc382213999 \h </w:instrText>
            </w:r>
            <w:r w:rsidR="008A3C38">
              <w:rPr>
                <w:noProof/>
                <w:webHidden/>
              </w:rPr>
            </w:r>
            <w:r w:rsidR="008A3C38">
              <w:rPr>
                <w:noProof/>
                <w:webHidden/>
              </w:rPr>
              <w:fldChar w:fldCharType="separate"/>
            </w:r>
            <w:r w:rsidR="004C4B6C">
              <w:rPr>
                <w:noProof/>
                <w:webHidden/>
              </w:rPr>
              <w:t>56</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00" w:history="1">
            <w:r w:rsidR="004C4B6C" w:rsidRPr="000B5124">
              <w:rPr>
                <w:rStyle w:val="Hyperlink"/>
                <w:noProof/>
              </w:rPr>
              <w:t>5.1.5 Social Behaviour Change Communication (SBCC)</w:t>
            </w:r>
            <w:r w:rsidR="004C4B6C">
              <w:rPr>
                <w:noProof/>
                <w:webHidden/>
              </w:rPr>
              <w:tab/>
            </w:r>
            <w:r w:rsidR="008A3C38">
              <w:rPr>
                <w:noProof/>
                <w:webHidden/>
              </w:rPr>
              <w:fldChar w:fldCharType="begin"/>
            </w:r>
            <w:r w:rsidR="004C4B6C">
              <w:rPr>
                <w:noProof/>
                <w:webHidden/>
              </w:rPr>
              <w:instrText xml:space="preserve"> PAGEREF _Toc382214000 \h </w:instrText>
            </w:r>
            <w:r w:rsidR="008A3C38">
              <w:rPr>
                <w:noProof/>
                <w:webHidden/>
              </w:rPr>
            </w:r>
            <w:r w:rsidR="008A3C38">
              <w:rPr>
                <w:noProof/>
                <w:webHidden/>
              </w:rPr>
              <w:fldChar w:fldCharType="separate"/>
            </w:r>
            <w:r w:rsidR="004C4B6C">
              <w:rPr>
                <w:noProof/>
                <w:webHidden/>
              </w:rPr>
              <w:t>57</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01" w:history="1">
            <w:r w:rsidR="004C4B6C" w:rsidRPr="000B5124">
              <w:rPr>
                <w:rStyle w:val="Hyperlink"/>
                <w:noProof/>
              </w:rPr>
              <w:t>5.2 Biomedical prevention of HIV</w:t>
            </w:r>
            <w:r w:rsidR="004C4B6C">
              <w:rPr>
                <w:noProof/>
                <w:webHidden/>
              </w:rPr>
              <w:tab/>
            </w:r>
            <w:r w:rsidR="008A3C38">
              <w:rPr>
                <w:noProof/>
                <w:webHidden/>
              </w:rPr>
              <w:fldChar w:fldCharType="begin"/>
            </w:r>
            <w:r w:rsidR="004C4B6C">
              <w:rPr>
                <w:noProof/>
                <w:webHidden/>
              </w:rPr>
              <w:instrText xml:space="preserve"> PAGEREF _Toc382214001 \h </w:instrText>
            </w:r>
            <w:r w:rsidR="008A3C38">
              <w:rPr>
                <w:noProof/>
                <w:webHidden/>
              </w:rPr>
            </w:r>
            <w:r w:rsidR="008A3C38">
              <w:rPr>
                <w:noProof/>
                <w:webHidden/>
              </w:rPr>
              <w:fldChar w:fldCharType="separate"/>
            </w:r>
            <w:r w:rsidR="004C4B6C">
              <w:rPr>
                <w:noProof/>
                <w:webHidden/>
              </w:rPr>
              <w:t>59</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02" w:history="1">
            <w:r w:rsidR="004C4B6C" w:rsidRPr="000B5124">
              <w:rPr>
                <w:rStyle w:val="Hyperlink"/>
                <w:noProof/>
              </w:rPr>
              <w:t>5.2.1 Introduction</w:t>
            </w:r>
            <w:r w:rsidR="004C4B6C">
              <w:rPr>
                <w:noProof/>
                <w:webHidden/>
              </w:rPr>
              <w:tab/>
            </w:r>
            <w:r w:rsidR="008A3C38">
              <w:rPr>
                <w:noProof/>
                <w:webHidden/>
              </w:rPr>
              <w:fldChar w:fldCharType="begin"/>
            </w:r>
            <w:r w:rsidR="004C4B6C">
              <w:rPr>
                <w:noProof/>
                <w:webHidden/>
              </w:rPr>
              <w:instrText xml:space="preserve"> PAGEREF _Toc382214002 \h </w:instrText>
            </w:r>
            <w:r w:rsidR="008A3C38">
              <w:rPr>
                <w:noProof/>
                <w:webHidden/>
              </w:rPr>
            </w:r>
            <w:r w:rsidR="008A3C38">
              <w:rPr>
                <w:noProof/>
                <w:webHidden/>
              </w:rPr>
              <w:fldChar w:fldCharType="separate"/>
            </w:r>
            <w:r w:rsidR="004C4B6C">
              <w:rPr>
                <w:noProof/>
                <w:webHidden/>
              </w:rPr>
              <w:t>59</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03" w:history="1">
            <w:r w:rsidR="004C4B6C" w:rsidRPr="000B5124">
              <w:rPr>
                <w:rStyle w:val="Hyperlink"/>
                <w:noProof/>
              </w:rPr>
              <w:t>5.2.2 Voluntary Medial male Circumcision (VMMC)</w:t>
            </w:r>
            <w:r w:rsidR="004C4B6C">
              <w:rPr>
                <w:noProof/>
                <w:webHidden/>
              </w:rPr>
              <w:tab/>
            </w:r>
            <w:r w:rsidR="008A3C38">
              <w:rPr>
                <w:noProof/>
                <w:webHidden/>
              </w:rPr>
              <w:fldChar w:fldCharType="begin"/>
            </w:r>
            <w:r w:rsidR="004C4B6C">
              <w:rPr>
                <w:noProof/>
                <w:webHidden/>
              </w:rPr>
              <w:instrText xml:space="preserve"> PAGEREF _Toc382214003 \h </w:instrText>
            </w:r>
            <w:r w:rsidR="008A3C38">
              <w:rPr>
                <w:noProof/>
                <w:webHidden/>
              </w:rPr>
            </w:r>
            <w:r w:rsidR="008A3C38">
              <w:rPr>
                <w:noProof/>
                <w:webHidden/>
              </w:rPr>
              <w:fldChar w:fldCharType="separate"/>
            </w:r>
            <w:r w:rsidR="004C4B6C">
              <w:rPr>
                <w:noProof/>
                <w:webHidden/>
              </w:rPr>
              <w:t>59</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04" w:history="1">
            <w:r w:rsidR="004C4B6C" w:rsidRPr="000B5124">
              <w:rPr>
                <w:rStyle w:val="Hyperlink"/>
                <w:noProof/>
              </w:rPr>
              <w:t>5.2.3 Management of STI and cervical cancer</w:t>
            </w:r>
            <w:r w:rsidR="004C4B6C">
              <w:rPr>
                <w:noProof/>
                <w:webHidden/>
              </w:rPr>
              <w:tab/>
            </w:r>
            <w:r w:rsidR="008A3C38">
              <w:rPr>
                <w:noProof/>
                <w:webHidden/>
              </w:rPr>
              <w:fldChar w:fldCharType="begin"/>
            </w:r>
            <w:r w:rsidR="004C4B6C">
              <w:rPr>
                <w:noProof/>
                <w:webHidden/>
              </w:rPr>
              <w:instrText xml:space="preserve"> PAGEREF _Toc382214004 \h </w:instrText>
            </w:r>
            <w:r w:rsidR="008A3C38">
              <w:rPr>
                <w:noProof/>
                <w:webHidden/>
              </w:rPr>
            </w:r>
            <w:r w:rsidR="008A3C38">
              <w:rPr>
                <w:noProof/>
                <w:webHidden/>
              </w:rPr>
              <w:fldChar w:fldCharType="separate"/>
            </w:r>
            <w:r w:rsidR="004C4B6C">
              <w:rPr>
                <w:noProof/>
                <w:webHidden/>
              </w:rPr>
              <w:t>60</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05" w:history="1">
            <w:r w:rsidR="004C4B6C" w:rsidRPr="000B5124">
              <w:rPr>
                <w:rStyle w:val="Hyperlink"/>
                <w:noProof/>
              </w:rPr>
              <w:t>5.2.4 Infection prevention and control (IPC)</w:t>
            </w:r>
            <w:r w:rsidR="004C4B6C">
              <w:rPr>
                <w:noProof/>
                <w:webHidden/>
              </w:rPr>
              <w:tab/>
            </w:r>
            <w:r w:rsidR="008A3C38">
              <w:rPr>
                <w:noProof/>
                <w:webHidden/>
              </w:rPr>
              <w:fldChar w:fldCharType="begin"/>
            </w:r>
            <w:r w:rsidR="004C4B6C">
              <w:rPr>
                <w:noProof/>
                <w:webHidden/>
              </w:rPr>
              <w:instrText xml:space="preserve"> PAGEREF _Toc382214005 \h </w:instrText>
            </w:r>
            <w:r w:rsidR="008A3C38">
              <w:rPr>
                <w:noProof/>
                <w:webHidden/>
              </w:rPr>
            </w:r>
            <w:r w:rsidR="008A3C38">
              <w:rPr>
                <w:noProof/>
                <w:webHidden/>
              </w:rPr>
              <w:fldChar w:fldCharType="separate"/>
            </w:r>
            <w:r w:rsidR="004C4B6C">
              <w:rPr>
                <w:noProof/>
                <w:webHidden/>
              </w:rPr>
              <w:t>62</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06" w:history="1">
            <w:r w:rsidR="004C4B6C" w:rsidRPr="000B5124">
              <w:rPr>
                <w:rStyle w:val="Hyperlink"/>
                <w:noProof/>
              </w:rPr>
              <w:t>5.2.5 Post Exposure Prophylaxis (PEP)</w:t>
            </w:r>
            <w:r w:rsidR="004C4B6C">
              <w:rPr>
                <w:noProof/>
                <w:webHidden/>
              </w:rPr>
              <w:tab/>
            </w:r>
            <w:r w:rsidR="008A3C38">
              <w:rPr>
                <w:noProof/>
                <w:webHidden/>
              </w:rPr>
              <w:fldChar w:fldCharType="begin"/>
            </w:r>
            <w:r w:rsidR="004C4B6C">
              <w:rPr>
                <w:noProof/>
                <w:webHidden/>
              </w:rPr>
              <w:instrText xml:space="preserve"> PAGEREF _Toc382214006 \h </w:instrText>
            </w:r>
            <w:r w:rsidR="008A3C38">
              <w:rPr>
                <w:noProof/>
                <w:webHidden/>
              </w:rPr>
            </w:r>
            <w:r w:rsidR="008A3C38">
              <w:rPr>
                <w:noProof/>
                <w:webHidden/>
              </w:rPr>
              <w:fldChar w:fldCharType="separate"/>
            </w:r>
            <w:r w:rsidR="004C4B6C">
              <w:rPr>
                <w:noProof/>
                <w:webHidden/>
              </w:rPr>
              <w:t>68</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07" w:history="1">
            <w:r w:rsidR="004C4B6C" w:rsidRPr="000B5124">
              <w:rPr>
                <w:rStyle w:val="Hyperlink"/>
                <w:noProof/>
              </w:rPr>
              <w:t>5.2.6 Blood Safety</w:t>
            </w:r>
            <w:r w:rsidR="004C4B6C">
              <w:rPr>
                <w:noProof/>
                <w:webHidden/>
              </w:rPr>
              <w:tab/>
            </w:r>
            <w:r w:rsidR="008A3C38">
              <w:rPr>
                <w:noProof/>
                <w:webHidden/>
              </w:rPr>
              <w:fldChar w:fldCharType="begin"/>
            </w:r>
            <w:r w:rsidR="004C4B6C">
              <w:rPr>
                <w:noProof/>
                <w:webHidden/>
              </w:rPr>
              <w:instrText xml:space="preserve"> PAGEREF _Toc382214007 \h </w:instrText>
            </w:r>
            <w:r w:rsidR="008A3C38">
              <w:rPr>
                <w:noProof/>
                <w:webHidden/>
              </w:rPr>
            </w:r>
            <w:r w:rsidR="008A3C38">
              <w:rPr>
                <w:noProof/>
                <w:webHidden/>
              </w:rPr>
              <w:fldChar w:fldCharType="separate"/>
            </w:r>
            <w:r w:rsidR="004C4B6C">
              <w:rPr>
                <w:noProof/>
                <w:webHidden/>
              </w:rPr>
              <w:t>80</w:t>
            </w:r>
            <w:r w:rsidR="008A3C38">
              <w:rPr>
                <w:noProof/>
                <w:webHidden/>
              </w:rPr>
              <w:fldChar w:fldCharType="end"/>
            </w:r>
          </w:hyperlink>
        </w:p>
        <w:p w:rsidR="004C4B6C" w:rsidRDefault="001D28FE">
          <w:pPr>
            <w:pStyle w:val="TOC1"/>
            <w:tabs>
              <w:tab w:val="left" w:pos="1540"/>
              <w:tab w:val="right" w:leader="dot" w:pos="9350"/>
            </w:tabs>
            <w:rPr>
              <w:rFonts w:asciiTheme="minorHAnsi" w:eastAsiaTheme="minorEastAsia" w:hAnsiTheme="minorHAnsi" w:cstheme="minorBidi"/>
              <w:noProof/>
              <w:color w:val="auto"/>
            </w:rPr>
          </w:pPr>
          <w:hyperlink w:anchor="_Toc382214008" w:history="1">
            <w:r w:rsidR="004C4B6C" w:rsidRPr="000B5124">
              <w:rPr>
                <w:rStyle w:val="Hyperlink"/>
                <w:noProof/>
              </w:rPr>
              <w:t>CHAPTER 6:</w:t>
            </w:r>
            <w:r w:rsidR="004C4B6C">
              <w:rPr>
                <w:rFonts w:asciiTheme="minorHAnsi" w:eastAsiaTheme="minorEastAsia" w:hAnsiTheme="minorHAnsi" w:cstheme="minorBidi"/>
                <w:noProof/>
                <w:color w:val="auto"/>
              </w:rPr>
              <w:tab/>
            </w:r>
            <w:r w:rsidR="004C4B6C" w:rsidRPr="000B5124">
              <w:rPr>
                <w:rStyle w:val="Hyperlink"/>
                <w:noProof/>
              </w:rPr>
              <w:t>MANAGEMENT OF COMMON SYMPTOMS AND OPPORTUNISTIC INFECTIONS IN HIV AND AIDS IN ADOLESCENTS AND ADULTS</w:t>
            </w:r>
            <w:r w:rsidR="004C4B6C">
              <w:rPr>
                <w:noProof/>
                <w:webHidden/>
              </w:rPr>
              <w:tab/>
            </w:r>
            <w:r w:rsidR="008A3C38">
              <w:rPr>
                <w:noProof/>
                <w:webHidden/>
              </w:rPr>
              <w:fldChar w:fldCharType="begin"/>
            </w:r>
            <w:r w:rsidR="004C4B6C">
              <w:rPr>
                <w:noProof/>
                <w:webHidden/>
              </w:rPr>
              <w:instrText xml:space="preserve"> PAGEREF _Toc382214008 \h </w:instrText>
            </w:r>
            <w:r w:rsidR="008A3C38">
              <w:rPr>
                <w:noProof/>
                <w:webHidden/>
              </w:rPr>
            </w:r>
            <w:r w:rsidR="008A3C38">
              <w:rPr>
                <w:noProof/>
                <w:webHidden/>
              </w:rPr>
              <w:fldChar w:fldCharType="separate"/>
            </w:r>
            <w:r w:rsidR="004C4B6C">
              <w:rPr>
                <w:noProof/>
                <w:webHidden/>
              </w:rPr>
              <w:t>81</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09" w:history="1">
            <w:r w:rsidR="004C4B6C" w:rsidRPr="000B5124">
              <w:rPr>
                <w:rStyle w:val="Hyperlink"/>
                <w:noProof/>
              </w:rPr>
              <w:t>6.1. Introduction</w:t>
            </w:r>
            <w:r w:rsidR="004C4B6C">
              <w:rPr>
                <w:noProof/>
                <w:webHidden/>
              </w:rPr>
              <w:tab/>
            </w:r>
            <w:r w:rsidR="008A3C38">
              <w:rPr>
                <w:noProof/>
                <w:webHidden/>
              </w:rPr>
              <w:fldChar w:fldCharType="begin"/>
            </w:r>
            <w:r w:rsidR="004C4B6C">
              <w:rPr>
                <w:noProof/>
                <w:webHidden/>
              </w:rPr>
              <w:instrText xml:space="preserve"> PAGEREF _Toc382214009 \h </w:instrText>
            </w:r>
            <w:r w:rsidR="008A3C38">
              <w:rPr>
                <w:noProof/>
                <w:webHidden/>
              </w:rPr>
            </w:r>
            <w:r w:rsidR="008A3C38">
              <w:rPr>
                <w:noProof/>
                <w:webHidden/>
              </w:rPr>
              <w:fldChar w:fldCharType="separate"/>
            </w:r>
            <w:r w:rsidR="004C4B6C">
              <w:rPr>
                <w:noProof/>
                <w:webHidden/>
              </w:rPr>
              <w:t>81</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10" w:history="1">
            <w:r w:rsidR="004C4B6C" w:rsidRPr="000B5124">
              <w:rPr>
                <w:rStyle w:val="Hyperlink"/>
                <w:noProof/>
              </w:rPr>
              <w:t>6.2. Clinical Features Commonly Encountered in Patients with HIV and AIDS</w:t>
            </w:r>
            <w:r w:rsidR="004C4B6C">
              <w:rPr>
                <w:noProof/>
                <w:webHidden/>
              </w:rPr>
              <w:tab/>
            </w:r>
            <w:r w:rsidR="008A3C38">
              <w:rPr>
                <w:noProof/>
                <w:webHidden/>
              </w:rPr>
              <w:fldChar w:fldCharType="begin"/>
            </w:r>
            <w:r w:rsidR="004C4B6C">
              <w:rPr>
                <w:noProof/>
                <w:webHidden/>
              </w:rPr>
              <w:instrText xml:space="preserve"> PAGEREF _Toc382214010 \h </w:instrText>
            </w:r>
            <w:r w:rsidR="008A3C38">
              <w:rPr>
                <w:noProof/>
                <w:webHidden/>
              </w:rPr>
            </w:r>
            <w:r w:rsidR="008A3C38">
              <w:rPr>
                <w:noProof/>
                <w:webHidden/>
              </w:rPr>
              <w:fldChar w:fldCharType="separate"/>
            </w:r>
            <w:r w:rsidR="004C4B6C">
              <w:rPr>
                <w:noProof/>
                <w:webHidden/>
              </w:rPr>
              <w:t>81</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11" w:history="1">
            <w:r w:rsidR="004C4B6C" w:rsidRPr="000B5124">
              <w:rPr>
                <w:rStyle w:val="Hyperlink"/>
                <w:noProof/>
              </w:rPr>
              <w:t>6.2.1 Fever</w:t>
            </w:r>
            <w:r w:rsidR="004C4B6C">
              <w:rPr>
                <w:noProof/>
                <w:webHidden/>
              </w:rPr>
              <w:tab/>
            </w:r>
            <w:r w:rsidR="008A3C38">
              <w:rPr>
                <w:noProof/>
                <w:webHidden/>
              </w:rPr>
              <w:fldChar w:fldCharType="begin"/>
            </w:r>
            <w:r w:rsidR="004C4B6C">
              <w:rPr>
                <w:noProof/>
                <w:webHidden/>
              </w:rPr>
              <w:instrText xml:space="preserve"> PAGEREF _Toc382214011 \h </w:instrText>
            </w:r>
            <w:r w:rsidR="008A3C38">
              <w:rPr>
                <w:noProof/>
                <w:webHidden/>
              </w:rPr>
            </w:r>
            <w:r w:rsidR="008A3C38">
              <w:rPr>
                <w:noProof/>
                <w:webHidden/>
              </w:rPr>
              <w:fldChar w:fldCharType="separate"/>
            </w:r>
            <w:r w:rsidR="004C4B6C">
              <w:rPr>
                <w:noProof/>
                <w:webHidden/>
              </w:rPr>
              <w:t>81</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12" w:history="1">
            <w:r w:rsidR="004C4B6C" w:rsidRPr="000B5124">
              <w:rPr>
                <w:rStyle w:val="Hyperlink"/>
                <w:noProof/>
              </w:rPr>
              <w:t>6.2.2. Cough and Shortness of Breath</w:t>
            </w:r>
            <w:r w:rsidR="004C4B6C">
              <w:rPr>
                <w:noProof/>
                <w:webHidden/>
              </w:rPr>
              <w:tab/>
            </w:r>
            <w:r w:rsidR="008A3C38">
              <w:rPr>
                <w:noProof/>
                <w:webHidden/>
              </w:rPr>
              <w:fldChar w:fldCharType="begin"/>
            </w:r>
            <w:r w:rsidR="004C4B6C">
              <w:rPr>
                <w:noProof/>
                <w:webHidden/>
              </w:rPr>
              <w:instrText xml:space="preserve"> PAGEREF _Toc382214012 \h </w:instrText>
            </w:r>
            <w:r w:rsidR="008A3C38">
              <w:rPr>
                <w:noProof/>
                <w:webHidden/>
              </w:rPr>
            </w:r>
            <w:r w:rsidR="008A3C38">
              <w:rPr>
                <w:noProof/>
                <w:webHidden/>
              </w:rPr>
              <w:fldChar w:fldCharType="separate"/>
            </w:r>
            <w:r w:rsidR="004C4B6C">
              <w:rPr>
                <w:noProof/>
                <w:webHidden/>
              </w:rPr>
              <w:t>81</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13" w:history="1">
            <w:r w:rsidR="004C4B6C" w:rsidRPr="000B5124">
              <w:rPr>
                <w:rStyle w:val="Hyperlink"/>
                <w:noProof/>
              </w:rPr>
              <w:t>6.2.3. Oral, Oropharyngeal and Oesophageal Candidiasis</w:t>
            </w:r>
            <w:r w:rsidR="004C4B6C">
              <w:rPr>
                <w:noProof/>
                <w:webHidden/>
              </w:rPr>
              <w:tab/>
            </w:r>
            <w:r w:rsidR="008A3C38">
              <w:rPr>
                <w:noProof/>
                <w:webHidden/>
              </w:rPr>
              <w:fldChar w:fldCharType="begin"/>
            </w:r>
            <w:r w:rsidR="004C4B6C">
              <w:rPr>
                <w:noProof/>
                <w:webHidden/>
              </w:rPr>
              <w:instrText xml:space="preserve"> PAGEREF _Toc382214013 \h </w:instrText>
            </w:r>
            <w:r w:rsidR="008A3C38">
              <w:rPr>
                <w:noProof/>
                <w:webHidden/>
              </w:rPr>
            </w:r>
            <w:r w:rsidR="008A3C38">
              <w:rPr>
                <w:noProof/>
                <w:webHidden/>
              </w:rPr>
              <w:fldChar w:fldCharType="separate"/>
            </w:r>
            <w:r w:rsidR="004C4B6C">
              <w:rPr>
                <w:noProof/>
                <w:webHidden/>
              </w:rPr>
              <w:t>82</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14" w:history="1">
            <w:r w:rsidR="004C4B6C" w:rsidRPr="000B5124">
              <w:rPr>
                <w:rStyle w:val="Hyperlink"/>
                <w:noProof/>
              </w:rPr>
              <w:t>6.2.4. Candidiasis in the Oesophagus, Trachea, Bronchi or Lungs is Diagnostic of AIDS</w:t>
            </w:r>
            <w:r w:rsidR="004C4B6C">
              <w:rPr>
                <w:noProof/>
                <w:webHidden/>
              </w:rPr>
              <w:tab/>
            </w:r>
            <w:r w:rsidR="008A3C38">
              <w:rPr>
                <w:noProof/>
                <w:webHidden/>
              </w:rPr>
              <w:fldChar w:fldCharType="begin"/>
            </w:r>
            <w:r w:rsidR="004C4B6C">
              <w:rPr>
                <w:noProof/>
                <w:webHidden/>
              </w:rPr>
              <w:instrText xml:space="preserve"> PAGEREF _Toc382214014 \h </w:instrText>
            </w:r>
            <w:r w:rsidR="008A3C38">
              <w:rPr>
                <w:noProof/>
                <w:webHidden/>
              </w:rPr>
            </w:r>
            <w:r w:rsidR="008A3C38">
              <w:rPr>
                <w:noProof/>
                <w:webHidden/>
              </w:rPr>
              <w:fldChar w:fldCharType="separate"/>
            </w:r>
            <w:r w:rsidR="004C4B6C">
              <w:rPr>
                <w:noProof/>
                <w:webHidden/>
              </w:rPr>
              <w:t>82</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15" w:history="1">
            <w:r w:rsidR="004C4B6C" w:rsidRPr="000B5124">
              <w:rPr>
                <w:rStyle w:val="Hyperlink"/>
                <w:noProof/>
              </w:rPr>
              <w:t>6.2.5. Vaginal Candidiasis</w:t>
            </w:r>
            <w:r w:rsidR="004C4B6C">
              <w:rPr>
                <w:noProof/>
                <w:webHidden/>
              </w:rPr>
              <w:tab/>
            </w:r>
            <w:r w:rsidR="008A3C38">
              <w:rPr>
                <w:noProof/>
                <w:webHidden/>
              </w:rPr>
              <w:fldChar w:fldCharType="begin"/>
            </w:r>
            <w:r w:rsidR="004C4B6C">
              <w:rPr>
                <w:noProof/>
                <w:webHidden/>
              </w:rPr>
              <w:instrText xml:space="preserve"> PAGEREF _Toc382214015 \h </w:instrText>
            </w:r>
            <w:r w:rsidR="008A3C38">
              <w:rPr>
                <w:noProof/>
                <w:webHidden/>
              </w:rPr>
            </w:r>
            <w:r w:rsidR="008A3C38">
              <w:rPr>
                <w:noProof/>
                <w:webHidden/>
              </w:rPr>
              <w:fldChar w:fldCharType="separate"/>
            </w:r>
            <w:r w:rsidR="004C4B6C">
              <w:rPr>
                <w:noProof/>
                <w:webHidden/>
              </w:rPr>
              <w:t>83</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16" w:history="1">
            <w:r w:rsidR="004C4B6C" w:rsidRPr="000B5124">
              <w:rPr>
                <w:rStyle w:val="Hyperlink"/>
                <w:noProof/>
              </w:rPr>
              <w:t>6.2.6. Weight Loss</w:t>
            </w:r>
            <w:r w:rsidR="004C4B6C">
              <w:rPr>
                <w:noProof/>
                <w:webHidden/>
              </w:rPr>
              <w:tab/>
            </w:r>
            <w:r w:rsidR="008A3C38">
              <w:rPr>
                <w:noProof/>
                <w:webHidden/>
              </w:rPr>
              <w:fldChar w:fldCharType="begin"/>
            </w:r>
            <w:r w:rsidR="004C4B6C">
              <w:rPr>
                <w:noProof/>
                <w:webHidden/>
              </w:rPr>
              <w:instrText xml:space="preserve"> PAGEREF _Toc382214016 \h </w:instrText>
            </w:r>
            <w:r w:rsidR="008A3C38">
              <w:rPr>
                <w:noProof/>
                <w:webHidden/>
              </w:rPr>
            </w:r>
            <w:r w:rsidR="008A3C38">
              <w:rPr>
                <w:noProof/>
                <w:webHidden/>
              </w:rPr>
              <w:fldChar w:fldCharType="separate"/>
            </w:r>
            <w:r w:rsidR="004C4B6C">
              <w:rPr>
                <w:noProof/>
                <w:webHidden/>
              </w:rPr>
              <w:t>83</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17" w:history="1">
            <w:r w:rsidR="004C4B6C" w:rsidRPr="000B5124">
              <w:rPr>
                <w:rStyle w:val="Hyperlink"/>
                <w:noProof/>
              </w:rPr>
              <w:t>6.2.7. Diarrhoea</w:t>
            </w:r>
            <w:r w:rsidR="004C4B6C">
              <w:rPr>
                <w:noProof/>
                <w:webHidden/>
              </w:rPr>
              <w:tab/>
            </w:r>
            <w:r w:rsidR="008A3C38">
              <w:rPr>
                <w:noProof/>
                <w:webHidden/>
              </w:rPr>
              <w:fldChar w:fldCharType="begin"/>
            </w:r>
            <w:r w:rsidR="004C4B6C">
              <w:rPr>
                <w:noProof/>
                <w:webHidden/>
              </w:rPr>
              <w:instrText xml:space="preserve"> PAGEREF _Toc382214017 \h </w:instrText>
            </w:r>
            <w:r w:rsidR="008A3C38">
              <w:rPr>
                <w:noProof/>
                <w:webHidden/>
              </w:rPr>
            </w:r>
            <w:r w:rsidR="008A3C38">
              <w:rPr>
                <w:noProof/>
                <w:webHidden/>
              </w:rPr>
              <w:fldChar w:fldCharType="separate"/>
            </w:r>
            <w:r w:rsidR="004C4B6C">
              <w:rPr>
                <w:noProof/>
                <w:webHidden/>
              </w:rPr>
              <w:t>83</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18" w:history="1">
            <w:r w:rsidR="004C4B6C" w:rsidRPr="000B5124">
              <w:rPr>
                <w:rStyle w:val="Hyperlink"/>
                <w:noProof/>
              </w:rPr>
              <w:t>6.2.8. Persistent Generalized Lymphadenopathy (PGL)</w:t>
            </w:r>
            <w:r w:rsidR="004C4B6C">
              <w:rPr>
                <w:noProof/>
                <w:webHidden/>
              </w:rPr>
              <w:tab/>
            </w:r>
            <w:r w:rsidR="008A3C38">
              <w:rPr>
                <w:noProof/>
                <w:webHidden/>
              </w:rPr>
              <w:fldChar w:fldCharType="begin"/>
            </w:r>
            <w:r w:rsidR="004C4B6C">
              <w:rPr>
                <w:noProof/>
                <w:webHidden/>
              </w:rPr>
              <w:instrText xml:space="preserve"> PAGEREF _Toc382214018 \h </w:instrText>
            </w:r>
            <w:r w:rsidR="008A3C38">
              <w:rPr>
                <w:noProof/>
                <w:webHidden/>
              </w:rPr>
            </w:r>
            <w:r w:rsidR="008A3C38">
              <w:rPr>
                <w:noProof/>
                <w:webHidden/>
              </w:rPr>
              <w:fldChar w:fldCharType="separate"/>
            </w:r>
            <w:r w:rsidR="004C4B6C">
              <w:rPr>
                <w:noProof/>
                <w:webHidden/>
              </w:rPr>
              <w:t>84</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19" w:history="1">
            <w:r w:rsidR="004C4B6C" w:rsidRPr="000B5124">
              <w:rPr>
                <w:rStyle w:val="Hyperlink"/>
                <w:noProof/>
              </w:rPr>
              <w:t>6.2.9. Skin Rashes, Sores and Generalized Pruritis</w:t>
            </w:r>
            <w:r w:rsidR="004C4B6C">
              <w:rPr>
                <w:noProof/>
                <w:webHidden/>
              </w:rPr>
              <w:tab/>
            </w:r>
            <w:r w:rsidR="008A3C38">
              <w:rPr>
                <w:noProof/>
                <w:webHidden/>
              </w:rPr>
              <w:fldChar w:fldCharType="begin"/>
            </w:r>
            <w:r w:rsidR="004C4B6C">
              <w:rPr>
                <w:noProof/>
                <w:webHidden/>
              </w:rPr>
              <w:instrText xml:space="preserve"> PAGEREF _Toc382214019 \h </w:instrText>
            </w:r>
            <w:r w:rsidR="008A3C38">
              <w:rPr>
                <w:noProof/>
                <w:webHidden/>
              </w:rPr>
            </w:r>
            <w:r w:rsidR="008A3C38">
              <w:rPr>
                <w:noProof/>
                <w:webHidden/>
              </w:rPr>
              <w:fldChar w:fldCharType="separate"/>
            </w:r>
            <w:r w:rsidR="004C4B6C">
              <w:rPr>
                <w:noProof/>
                <w:webHidden/>
              </w:rPr>
              <w:t>85</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20" w:history="1">
            <w:r w:rsidR="004C4B6C" w:rsidRPr="000B5124">
              <w:rPr>
                <w:rStyle w:val="Hyperlink"/>
                <w:noProof/>
              </w:rPr>
              <w:t>6.2.10. Altered Mental Status and Persistent Severe Headache</w:t>
            </w:r>
            <w:r w:rsidR="004C4B6C">
              <w:rPr>
                <w:noProof/>
                <w:webHidden/>
              </w:rPr>
              <w:tab/>
            </w:r>
            <w:r w:rsidR="008A3C38">
              <w:rPr>
                <w:noProof/>
                <w:webHidden/>
              </w:rPr>
              <w:fldChar w:fldCharType="begin"/>
            </w:r>
            <w:r w:rsidR="004C4B6C">
              <w:rPr>
                <w:noProof/>
                <w:webHidden/>
              </w:rPr>
              <w:instrText xml:space="preserve"> PAGEREF _Toc382214020 \h </w:instrText>
            </w:r>
            <w:r w:rsidR="008A3C38">
              <w:rPr>
                <w:noProof/>
                <w:webHidden/>
              </w:rPr>
            </w:r>
            <w:r w:rsidR="008A3C38">
              <w:rPr>
                <w:noProof/>
                <w:webHidden/>
              </w:rPr>
              <w:fldChar w:fldCharType="separate"/>
            </w:r>
            <w:r w:rsidR="004C4B6C">
              <w:rPr>
                <w:noProof/>
                <w:webHidden/>
              </w:rPr>
              <w:t>86</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21" w:history="1">
            <w:r w:rsidR="004C4B6C" w:rsidRPr="000B5124">
              <w:rPr>
                <w:rStyle w:val="Hyperlink"/>
                <w:noProof/>
              </w:rPr>
              <w:t>6.3. Prophylactic treatment of common opportunistic infections in HIV and AIDS</w:t>
            </w:r>
            <w:r w:rsidR="004C4B6C">
              <w:rPr>
                <w:noProof/>
                <w:webHidden/>
              </w:rPr>
              <w:tab/>
            </w:r>
            <w:r w:rsidR="008A3C38">
              <w:rPr>
                <w:noProof/>
                <w:webHidden/>
              </w:rPr>
              <w:fldChar w:fldCharType="begin"/>
            </w:r>
            <w:r w:rsidR="004C4B6C">
              <w:rPr>
                <w:noProof/>
                <w:webHidden/>
              </w:rPr>
              <w:instrText xml:space="preserve"> PAGEREF _Toc382214021 \h </w:instrText>
            </w:r>
            <w:r w:rsidR="008A3C38">
              <w:rPr>
                <w:noProof/>
                <w:webHidden/>
              </w:rPr>
            </w:r>
            <w:r w:rsidR="008A3C38">
              <w:rPr>
                <w:noProof/>
                <w:webHidden/>
              </w:rPr>
              <w:fldChar w:fldCharType="separate"/>
            </w:r>
            <w:r w:rsidR="004C4B6C">
              <w:rPr>
                <w:noProof/>
                <w:webHidden/>
              </w:rPr>
              <w:t>87</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22" w:history="1">
            <w:r w:rsidR="004C4B6C" w:rsidRPr="000B5124">
              <w:rPr>
                <w:rStyle w:val="Hyperlink"/>
                <w:noProof/>
              </w:rPr>
              <w:t>6.3.1. Indication for Prophylactic Treatment Using Cotrimoxazole</w:t>
            </w:r>
            <w:r w:rsidR="004C4B6C">
              <w:rPr>
                <w:noProof/>
                <w:webHidden/>
              </w:rPr>
              <w:tab/>
            </w:r>
            <w:r w:rsidR="008A3C38">
              <w:rPr>
                <w:noProof/>
                <w:webHidden/>
              </w:rPr>
              <w:fldChar w:fldCharType="begin"/>
            </w:r>
            <w:r w:rsidR="004C4B6C">
              <w:rPr>
                <w:noProof/>
                <w:webHidden/>
              </w:rPr>
              <w:instrText xml:space="preserve"> PAGEREF _Toc382214022 \h </w:instrText>
            </w:r>
            <w:r w:rsidR="008A3C38">
              <w:rPr>
                <w:noProof/>
                <w:webHidden/>
              </w:rPr>
            </w:r>
            <w:r w:rsidR="008A3C38">
              <w:rPr>
                <w:noProof/>
                <w:webHidden/>
              </w:rPr>
              <w:fldChar w:fldCharType="separate"/>
            </w:r>
            <w:r w:rsidR="004C4B6C">
              <w:rPr>
                <w:noProof/>
                <w:webHidden/>
              </w:rPr>
              <w:t>88</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23" w:history="1">
            <w:r w:rsidR="004C4B6C" w:rsidRPr="000B5124">
              <w:rPr>
                <w:rStyle w:val="Hyperlink"/>
                <w:noProof/>
              </w:rPr>
              <w:t>6.3.2. Isoniazid Preventive Therapy against TB in PLHIVs</w:t>
            </w:r>
            <w:r w:rsidR="004C4B6C">
              <w:rPr>
                <w:noProof/>
                <w:webHidden/>
              </w:rPr>
              <w:tab/>
            </w:r>
            <w:r w:rsidR="008A3C38">
              <w:rPr>
                <w:noProof/>
                <w:webHidden/>
              </w:rPr>
              <w:fldChar w:fldCharType="begin"/>
            </w:r>
            <w:r w:rsidR="004C4B6C">
              <w:rPr>
                <w:noProof/>
                <w:webHidden/>
              </w:rPr>
              <w:instrText xml:space="preserve"> PAGEREF _Toc382214023 \h </w:instrText>
            </w:r>
            <w:r w:rsidR="008A3C38">
              <w:rPr>
                <w:noProof/>
                <w:webHidden/>
              </w:rPr>
            </w:r>
            <w:r w:rsidR="008A3C38">
              <w:rPr>
                <w:noProof/>
                <w:webHidden/>
              </w:rPr>
              <w:fldChar w:fldCharType="separate"/>
            </w:r>
            <w:r w:rsidR="004C4B6C">
              <w:rPr>
                <w:noProof/>
                <w:webHidden/>
              </w:rPr>
              <w:t>89</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24" w:history="1">
            <w:r w:rsidR="004C4B6C" w:rsidRPr="000B5124">
              <w:rPr>
                <w:rStyle w:val="Hyperlink"/>
                <w:noProof/>
              </w:rPr>
              <w:t>6.4. Treatment of Opportunistic Infections</w:t>
            </w:r>
            <w:r w:rsidR="004C4B6C">
              <w:rPr>
                <w:noProof/>
                <w:webHidden/>
              </w:rPr>
              <w:tab/>
            </w:r>
            <w:r w:rsidR="008A3C38">
              <w:rPr>
                <w:noProof/>
                <w:webHidden/>
              </w:rPr>
              <w:fldChar w:fldCharType="begin"/>
            </w:r>
            <w:r w:rsidR="004C4B6C">
              <w:rPr>
                <w:noProof/>
                <w:webHidden/>
              </w:rPr>
              <w:instrText xml:space="preserve"> PAGEREF _Toc382214024 \h </w:instrText>
            </w:r>
            <w:r w:rsidR="008A3C38">
              <w:rPr>
                <w:noProof/>
                <w:webHidden/>
              </w:rPr>
            </w:r>
            <w:r w:rsidR="008A3C38">
              <w:rPr>
                <w:noProof/>
                <w:webHidden/>
              </w:rPr>
              <w:fldChar w:fldCharType="separate"/>
            </w:r>
            <w:r w:rsidR="004C4B6C">
              <w:rPr>
                <w:noProof/>
                <w:webHidden/>
              </w:rPr>
              <w:t>89</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25" w:history="1">
            <w:r w:rsidR="004C4B6C" w:rsidRPr="000B5124">
              <w:rPr>
                <w:rStyle w:val="Hyperlink"/>
                <w:noProof/>
              </w:rPr>
              <w:t>6.4.1. Viral infections</w:t>
            </w:r>
            <w:r w:rsidR="004C4B6C">
              <w:rPr>
                <w:noProof/>
                <w:webHidden/>
              </w:rPr>
              <w:tab/>
            </w:r>
            <w:r w:rsidR="008A3C38">
              <w:rPr>
                <w:noProof/>
                <w:webHidden/>
              </w:rPr>
              <w:fldChar w:fldCharType="begin"/>
            </w:r>
            <w:r w:rsidR="004C4B6C">
              <w:rPr>
                <w:noProof/>
                <w:webHidden/>
              </w:rPr>
              <w:instrText xml:space="preserve"> PAGEREF _Toc382214025 \h </w:instrText>
            </w:r>
            <w:r w:rsidR="008A3C38">
              <w:rPr>
                <w:noProof/>
                <w:webHidden/>
              </w:rPr>
            </w:r>
            <w:r w:rsidR="008A3C38">
              <w:rPr>
                <w:noProof/>
                <w:webHidden/>
              </w:rPr>
              <w:fldChar w:fldCharType="separate"/>
            </w:r>
            <w:r w:rsidR="004C4B6C">
              <w:rPr>
                <w:noProof/>
                <w:webHidden/>
              </w:rPr>
              <w:t>89</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26" w:history="1">
            <w:r w:rsidR="004C4B6C" w:rsidRPr="000B5124">
              <w:rPr>
                <w:rStyle w:val="Hyperlink"/>
                <w:noProof/>
              </w:rPr>
              <w:t>6.4.2. Bacterial infections</w:t>
            </w:r>
            <w:r w:rsidR="004C4B6C">
              <w:rPr>
                <w:noProof/>
                <w:webHidden/>
              </w:rPr>
              <w:tab/>
            </w:r>
            <w:r w:rsidR="008A3C38">
              <w:rPr>
                <w:noProof/>
                <w:webHidden/>
              </w:rPr>
              <w:fldChar w:fldCharType="begin"/>
            </w:r>
            <w:r w:rsidR="004C4B6C">
              <w:rPr>
                <w:noProof/>
                <w:webHidden/>
              </w:rPr>
              <w:instrText xml:space="preserve"> PAGEREF _Toc382214026 \h </w:instrText>
            </w:r>
            <w:r w:rsidR="008A3C38">
              <w:rPr>
                <w:noProof/>
                <w:webHidden/>
              </w:rPr>
            </w:r>
            <w:r w:rsidR="008A3C38">
              <w:rPr>
                <w:noProof/>
                <w:webHidden/>
              </w:rPr>
              <w:fldChar w:fldCharType="separate"/>
            </w:r>
            <w:r w:rsidR="004C4B6C">
              <w:rPr>
                <w:noProof/>
                <w:webHidden/>
              </w:rPr>
              <w:t>91</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27" w:history="1">
            <w:r w:rsidR="004C4B6C" w:rsidRPr="000B5124">
              <w:rPr>
                <w:rStyle w:val="Hyperlink"/>
                <w:noProof/>
              </w:rPr>
              <w:t>6.4.3. Fungal infections</w:t>
            </w:r>
            <w:r w:rsidR="004C4B6C">
              <w:rPr>
                <w:noProof/>
                <w:webHidden/>
              </w:rPr>
              <w:tab/>
            </w:r>
            <w:r w:rsidR="008A3C38">
              <w:rPr>
                <w:noProof/>
                <w:webHidden/>
              </w:rPr>
              <w:fldChar w:fldCharType="begin"/>
            </w:r>
            <w:r w:rsidR="004C4B6C">
              <w:rPr>
                <w:noProof/>
                <w:webHidden/>
              </w:rPr>
              <w:instrText xml:space="preserve"> PAGEREF _Toc382214027 \h </w:instrText>
            </w:r>
            <w:r w:rsidR="008A3C38">
              <w:rPr>
                <w:noProof/>
                <w:webHidden/>
              </w:rPr>
            </w:r>
            <w:r w:rsidR="008A3C38">
              <w:rPr>
                <w:noProof/>
                <w:webHidden/>
              </w:rPr>
              <w:fldChar w:fldCharType="separate"/>
            </w:r>
            <w:r w:rsidR="004C4B6C">
              <w:rPr>
                <w:noProof/>
                <w:webHidden/>
              </w:rPr>
              <w:t>91</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28" w:history="1">
            <w:r w:rsidR="004C4B6C" w:rsidRPr="000B5124">
              <w:rPr>
                <w:rStyle w:val="Hyperlink"/>
                <w:noProof/>
              </w:rPr>
              <w:t>6.4.4. Protozoa</w:t>
            </w:r>
            <w:r w:rsidR="004C4B6C">
              <w:rPr>
                <w:noProof/>
                <w:webHidden/>
              </w:rPr>
              <w:tab/>
            </w:r>
            <w:r w:rsidR="008A3C38">
              <w:rPr>
                <w:noProof/>
                <w:webHidden/>
              </w:rPr>
              <w:fldChar w:fldCharType="begin"/>
            </w:r>
            <w:r w:rsidR="004C4B6C">
              <w:rPr>
                <w:noProof/>
                <w:webHidden/>
              </w:rPr>
              <w:instrText xml:space="preserve"> PAGEREF _Toc382214028 \h </w:instrText>
            </w:r>
            <w:r w:rsidR="008A3C38">
              <w:rPr>
                <w:noProof/>
                <w:webHidden/>
              </w:rPr>
            </w:r>
            <w:r w:rsidR="008A3C38">
              <w:rPr>
                <w:noProof/>
                <w:webHidden/>
              </w:rPr>
              <w:fldChar w:fldCharType="separate"/>
            </w:r>
            <w:r w:rsidR="004C4B6C">
              <w:rPr>
                <w:noProof/>
                <w:webHidden/>
              </w:rPr>
              <w:t>93</w:t>
            </w:r>
            <w:r w:rsidR="008A3C38">
              <w:rPr>
                <w:noProof/>
                <w:webHidden/>
              </w:rPr>
              <w:fldChar w:fldCharType="end"/>
            </w:r>
          </w:hyperlink>
        </w:p>
        <w:p w:rsidR="004C4B6C" w:rsidRDefault="001D28FE">
          <w:pPr>
            <w:pStyle w:val="TOC1"/>
            <w:tabs>
              <w:tab w:val="left" w:pos="1540"/>
              <w:tab w:val="right" w:leader="dot" w:pos="9350"/>
            </w:tabs>
            <w:rPr>
              <w:rFonts w:asciiTheme="minorHAnsi" w:eastAsiaTheme="minorEastAsia" w:hAnsiTheme="minorHAnsi" w:cstheme="minorBidi"/>
              <w:noProof/>
              <w:color w:val="auto"/>
            </w:rPr>
          </w:pPr>
          <w:hyperlink w:anchor="_Toc382214029" w:history="1">
            <w:r w:rsidR="004C4B6C" w:rsidRPr="000B5124">
              <w:rPr>
                <w:rStyle w:val="Hyperlink"/>
                <w:noProof/>
              </w:rPr>
              <w:t>CHAPTER 7:</w:t>
            </w:r>
            <w:r w:rsidR="004C4B6C">
              <w:rPr>
                <w:rFonts w:asciiTheme="minorHAnsi" w:eastAsiaTheme="minorEastAsia" w:hAnsiTheme="minorHAnsi" w:cstheme="minorBidi"/>
                <w:noProof/>
                <w:color w:val="auto"/>
              </w:rPr>
              <w:tab/>
            </w:r>
            <w:r w:rsidR="004C4B6C" w:rsidRPr="000B5124">
              <w:rPr>
                <w:rStyle w:val="Hyperlink"/>
                <w:noProof/>
              </w:rPr>
              <w:t>PEDIATRIC HIV AND AIDS-RELATED CONDITIONS</w:t>
            </w:r>
            <w:r w:rsidR="004C4B6C">
              <w:rPr>
                <w:noProof/>
                <w:webHidden/>
              </w:rPr>
              <w:tab/>
            </w:r>
            <w:r w:rsidR="008A3C38">
              <w:rPr>
                <w:noProof/>
                <w:webHidden/>
              </w:rPr>
              <w:fldChar w:fldCharType="begin"/>
            </w:r>
            <w:r w:rsidR="004C4B6C">
              <w:rPr>
                <w:noProof/>
                <w:webHidden/>
              </w:rPr>
              <w:instrText xml:space="preserve"> PAGEREF _Toc382214029 \h </w:instrText>
            </w:r>
            <w:r w:rsidR="008A3C38">
              <w:rPr>
                <w:noProof/>
                <w:webHidden/>
              </w:rPr>
            </w:r>
            <w:r w:rsidR="008A3C38">
              <w:rPr>
                <w:noProof/>
                <w:webHidden/>
              </w:rPr>
              <w:fldChar w:fldCharType="separate"/>
            </w:r>
            <w:r w:rsidR="004C4B6C">
              <w:rPr>
                <w:noProof/>
                <w:webHidden/>
              </w:rPr>
              <w:t>95</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30" w:history="1">
            <w:r w:rsidR="004C4B6C" w:rsidRPr="000B5124">
              <w:rPr>
                <w:rStyle w:val="Hyperlink"/>
                <w:noProof/>
              </w:rPr>
              <w:t>7.1 Introduction</w:t>
            </w:r>
            <w:r w:rsidR="004C4B6C">
              <w:rPr>
                <w:noProof/>
                <w:webHidden/>
              </w:rPr>
              <w:tab/>
            </w:r>
            <w:r w:rsidR="008A3C38">
              <w:rPr>
                <w:noProof/>
                <w:webHidden/>
              </w:rPr>
              <w:fldChar w:fldCharType="begin"/>
            </w:r>
            <w:r w:rsidR="004C4B6C">
              <w:rPr>
                <w:noProof/>
                <w:webHidden/>
              </w:rPr>
              <w:instrText xml:space="preserve"> PAGEREF _Toc382214030 \h </w:instrText>
            </w:r>
            <w:r w:rsidR="008A3C38">
              <w:rPr>
                <w:noProof/>
                <w:webHidden/>
              </w:rPr>
            </w:r>
            <w:r w:rsidR="008A3C38">
              <w:rPr>
                <w:noProof/>
                <w:webHidden/>
              </w:rPr>
              <w:fldChar w:fldCharType="separate"/>
            </w:r>
            <w:r w:rsidR="004C4B6C">
              <w:rPr>
                <w:noProof/>
                <w:webHidden/>
              </w:rPr>
              <w:t>95</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31" w:history="1">
            <w:r w:rsidR="004C4B6C" w:rsidRPr="000B5124">
              <w:rPr>
                <w:rStyle w:val="Hyperlink"/>
                <w:noProof/>
              </w:rPr>
              <w:t>7.2 Diagnosis of HIV Infection in children</w:t>
            </w:r>
            <w:r w:rsidR="004C4B6C">
              <w:rPr>
                <w:noProof/>
                <w:webHidden/>
              </w:rPr>
              <w:tab/>
            </w:r>
            <w:r w:rsidR="008A3C38">
              <w:rPr>
                <w:noProof/>
                <w:webHidden/>
              </w:rPr>
              <w:fldChar w:fldCharType="begin"/>
            </w:r>
            <w:r w:rsidR="004C4B6C">
              <w:rPr>
                <w:noProof/>
                <w:webHidden/>
              </w:rPr>
              <w:instrText xml:space="preserve"> PAGEREF _Toc382214031 \h </w:instrText>
            </w:r>
            <w:r w:rsidR="008A3C38">
              <w:rPr>
                <w:noProof/>
                <w:webHidden/>
              </w:rPr>
            </w:r>
            <w:r w:rsidR="008A3C38">
              <w:rPr>
                <w:noProof/>
                <w:webHidden/>
              </w:rPr>
              <w:fldChar w:fldCharType="separate"/>
            </w:r>
            <w:r w:rsidR="004C4B6C">
              <w:rPr>
                <w:noProof/>
                <w:webHidden/>
              </w:rPr>
              <w:t>95</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32" w:history="1">
            <w:r w:rsidR="004C4B6C" w:rsidRPr="000B5124">
              <w:rPr>
                <w:rStyle w:val="Hyperlink"/>
                <w:noProof/>
              </w:rPr>
              <w:t>7.2.1 Diagnosis of HIV infection in children below 18 months of age</w:t>
            </w:r>
            <w:r w:rsidR="004C4B6C">
              <w:rPr>
                <w:noProof/>
                <w:webHidden/>
              </w:rPr>
              <w:tab/>
            </w:r>
            <w:r w:rsidR="008A3C38">
              <w:rPr>
                <w:noProof/>
                <w:webHidden/>
              </w:rPr>
              <w:fldChar w:fldCharType="begin"/>
            </w:r>
            <w:r w:rsidR="004C4B6C">
              <w:rPr>
                <w:noProof/>
                <w:webHidden/>
              </w:rPr>
              <w:instrText xml:space="preserve"> PAGEREF _Toc382214032 \h </w:instrText>
            </w:r>
            <w:r w:rsidR="008A3C38">
              <w:rPr>
                <w:noProof/>
                <w:webHidden/>
              </w:rPr>
            </w:r>
            <w:r w:rsidR="008A3C38">
              <w:rPr>
                <w:noProof/>
                <w:webHidden/>
              </w:rPr>
              <w:fldChar w:fldCharType="separate"/>
            </w:r>
            <w:r w:rsidR="004C4B6C">
              <w:rPr>
                <w:noProof/>
                <w:webHidden/>
              </w:rPr>
              <w:t>95</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33" w:history="1">
            <w:r w:rsidR="004C4B6C" w:rsidRPr="000B5124">
              <w:rPr>
                <w:rStyle w:val="Hyperlink"/>
                <w:noProof/>
              </w:rPr>
              <w:t>7.2.2 Diagnosis of HIV infection in children where the mother is not available</w:t>
            </w:r>
            <w:r w:rsidR="004C4B6C">
              <w:rPr>
                <w:noProof/>
                <w:webHidden/>
              </w:rPr>
              <w:tab/>
            </w:r>
            <w:r w:rsidR="008A3C38">
              <w:rPr>
                <w:noProof/>
                <w:webHidden/>
              </w:rPr>
              <w:fldChar w:fldCharType="begin"/>
            </w:r>
            <w:r w:rsidR="004C4B6C">
              <w:rPr>
                <w:noProof/>
                <w:webHidden/>
              </w:rPr>
              <w:instrText xml:space="preserve"> PAGEREF _Toc382214033 \h </w:instrText>
            </w:r>
            <w:r w:rsidR="008A3C38">
              <w:rPr>
                <w:noProof/>
                <w:webHidden/>
              </w:rPr>
            </w:r>
            <w:r w:rsidR="008A3C38">
              <w:rPr>
                <w:noProof/>
                <w:webHidden/>
              </w:rPr>
              <w:fldChar w:fldCharType="separate"/>
            </w:r>
            <w:r w:rsidR="004C4B6C">
              <w:rPr>
                <w:noProof/>
                <w:webHidden/>
              </w:rPr>
              <w:t>97</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34" w:history="1">
            <w:r w:rsidR="004C4B6C" w:rsidRPr="000B5124">
              <w:rPr>
                <w:rStyle w:val="Hyperlink"/>
                <w:noProof/>
              </w:rPr>
              <w:t>7.3 HIV and AIDS manifestations in children</w:t>
            </w:r>
            <w:r w:rsidR="004C4B6C">
              <w:rPr>
                <w:noProof/>
                <w:webHidden/>
              </w:rPr>
              <w:tab/>
            </w:r>
            <w:r w:rsidR="008A3C38">
              <w:rPr>
                <w:noProof/>
                <w:webHidden/>
              </w:rPr>
              <w:fldChar w:fldCharType="begin"/>
            </w:r>
            <w:r w:rsidR="004C4B6C">
              <w:rPr>
                <w:noProof/>
                <w:webHidden/>
              </w:rPr>
              <w:instrText xml:space="preserve"> PAGEREF _Toc382214034 \h </w:instrText>
            </w:r>
            <w:r w:rsidR="008A3C38">
              <w:rPr>
                <w:noProof/>
                <w:webHidden/>
              </w:rPr>
            </w:r>
            <w:r w:rsidR="008A3C38">
              <w:rPr>
                <w:noProof/>
                <w:webHidden/>
              </w:rPr>
              <w:fldChar w:fldCharType="separate"/>
            </w:r>
            <w:r w:rsidR="004C4B6C">
              <w:rPr>
                <w:noProof/>
                <w:webHidden/>
              </w:rPr>
              <w:t>97</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35" w:history="1">
            <w:r w:rsidR="004C4B6C" w:rsidRPr="000B5124">
              <w:rPr>
                <w:rStyle w:val="Hyperlink"/>
                <w:noProof/>
              </w:rPr>
              <w:t>7.4 Care and support of HIV exposed and infected children</w:t>
            </w:r>
            <w:r w:rsidR="004C4B6C">
              <w:rPr>
                <w:noProof/>
                <w:webHidden/>
              </w:rPr>
              <w:tab/>
            </w:r>
            <w:r w:rsidR="008A3C38">
              <w:rPr>
                <w:noProof/>
                <w:webHidden/>
              </w:rPr>
              <w:fldChar w:fldCharType="begin"/>
            </w:r>
            <w:r w:rsidR="004C4B6C">
              <w:rPr>
                <w:noProof/>
                <w:webHidden/>
              </w:rPr>
              <w:instrText xml:space="preserve"> PAGEREF _Toc382214035 \h </w:instrText>
            </w:r>
            <w:r w:rsidR="008A3C38">
              <w:rPr>
                <w:noProof/>
                <w:webHidden/>
              </w:rPr>
            </w:r>
            <w:r w:rsidR="008A3C38">
              <w:rPr>
                <w:noProof/>
                <w:webHidden/>
              </w:rPr>
              <w:fldChar w:fldCharType="separate"/>
            </w:r>
            <w:r w:rsidR="004C4B6C">
              <w:rPr>
                <w:noProof/>
                <w:webHidden/>
              </w:rPr>
              <w:t>101</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36" w:history="1">
            <w:r w:rsidR="004C4B6C" w:rsidRPr="000B5124">
              <w:rPr>
                <w:rStyle w:val="Hyperlink"/>
                <w:noProof/>
              </w:rPr>
              <w:t>7.4.1 Care of HIV infected children</w:t>
            </w:r>
            <w:r w:rsidR="004C4B6C">
              <w:rPr>
                <w:noProof/>
                <w:webHidden/>
              </w:rPr>
              <w:tab/>
            </w:r>
            <w:r w:rsidR="008A3C38">
              <w:rPr>
                <w:noProof/>
                <w:webHidden/>
              </w:rPr>
              <w:fldChar w:fldCharType="begin"/>
            </w:r>
            <w:r w:rsidR="004C4B6C">
              <w:rPr>
                <w:noProof/>
                <w:webHidden/>
              </w:rPr>
              <w:instrText xml:space="preserve"> PAGEREF _Toc382214036 \h </w:instrText>
            </w:r>
            <w:r w:rsidR="008A3C38">
              <w:rPr>
                <w:noProof/>
                <w:webHidden/>
              </w:rPr>
            </w:r>
            <w:r w:rsidR="008A3C38">
              <w:rPr>
                <w:noProof/>
                <w:webHidden/>
              </w:rPr>
              <w:fldChar w:fldCharType="separate"/>
            </w:r>
            <w:r w:rsidR="004C4B6C">
              <w:rPr>
                <w:noProof/>
                <w:webHidden/>
              </w:rPr>
              <w:t>101</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37" w:history="1">
            <w:r w:rsidR="004C4B6C" w:rsidRPr="000B5124">
              <w:rPr>
                <w:rStyle w:val="Hyperlink"/>
                <w:noProof/>
              </w:rPr>
              <w:t>7.4.2 Management of infants born to HIV positive women</w:t>
            </w:r>
            <w:r w:rsidR="004C4B6C">
              <w:rPr>
                <w:noProof/>
                <w:webHidden/>
              </w:rPr>
              <w:tab/>
            </w:r>
            <w:r w:rsidR="008A3C38">
              <w:rPr>
                <w:noProof/>
                <w:webHidden/>
              </w:rPr>
              <w:fldChar w:fldCharType="begin"/>
            </w:r>
            <w:r w:rsidR="004C4B6C">
              <w:rPr>
                <w:noProof/>
                <w:webHidden/>
              </w:rPr>
              <w:instrText xml:space="preserve"> PAGEREF _Toc382214037 \h </w:instrText>
            </w:r>
            <w:r w:rsidR="008A3C38">
              <w:rPr>
                <w:noProof/>
                <w:webHidden/>
              </w:rPr>
            </w:r>
            <w:r w:rsidR="008A3C38">
              <w:rPr>
                <w:noProof/>
                <w:webHidden/>
              </w:rPr>
              <w:fldChar w:fldCharType="separate"/>
            </w:r>
            <w:r w:rsidR="004C4B6C">
              <w:rPr>
                <w:noProof/>
                <w:webHidden/>
              </w:rPr>
              <w:t>101</w:t>
            </w:r>
            <w:r w:rsidR="008A3C38">
              <w:rPr>
                <w:noProof/>
                <w:webHidden/>
              </w:rPr>
              <w:fldChar w:fldCharType="end"/>
            </w:r>
          </w:hyperlink>
        </w:p>
        <w:p w:rsidR="004C4B6C" w:rsidRDefault="001D28FE">
          <w:pPr>
            <w:pStyle w:val="TOC2"/>
            <w:tabs>
              <w:tab w:val="left" w:pos="880"/>
              <w:tab w:val="right" w:leader="dot" w:pos="9350"/>
            </w:tabs>
            <w:rPr>
              <w:rFonts w:asciiTheme="minorHAnsi" w:eastAsiaTheme="minorEastAsia" w:hAnsiTheme="minorHAnsi" w:cstheme="minorBidi"/>
              <w:noProof/>
              <w:color w:val="auto"/>
            </w:rPr>
          </w:pPr>
          <w:hyperlink w:anchor="_Toc382214038" w:history="1">
            <w:r w:rsidR="004C4B6C" w:rsidRPr="000B5124">
              <w:rPr>
                <w:rStyle w:val="Hyperlink"/>
                <w:noProof/>
              </w:rPr>
              <w:t>7.5</w:t>
            </w:r>
            <w:r w:rsidR="004C4B6C">
              <w:rPr>
                <w:rFonts w:asciiTheme="minorHAnsi" w:eastAsiaTheme="minorEastAsia" w:hAnsiTheme="minorHAnsi" w:cstheme="minorBidi"/>
                <w:noProof/>
                <w:color w:val="auto"/>
              </w:rPr>
              <w:tab/>
            </w:r>
            <w:r w:rsidR="004C4B6C" w:rsidRPr="000B5124">
              <w:rPr>
                <w:rStyle w:val="Hyperlink"/>
                <w:noProof/>
              </w:rPr>
              <w:t>Clinical Manifestations of Pediatric HIV infection</w:t>
            </w:r>
            <w:r w:rsidR="004C4B6C">
              <w:rPr>
                <w:noProof/>
                <w:webHidden/>
              </w:rPr>
              <w:tab/>
            </w:r>
            <w:r w:rsidR="008A3C38">
              <w:rPr>
                <w:noProof/>
                <w:webHidden/>
              </w:rPr>
              <w:fldChar w:fldCharType="begin"/>
            </w:r>
            <w:r w:rsidR="004C4B6C">
              <w:rPr>
                <w:noProof/>
                <w:webHidden/>
              </w:rPr>
              <w:instrText xml:space="preserve"> PAGEREF _Toc382214038 \h </w:instrText>
            </w:r>
            <w:r w:rsidR="008A3C38">
              <w:rPr>
                <w:noProof/>
                <w:webHidden/>
              </w:rPr>
            </w:r>
            <w:r w:rsidR="008A3C38">
              <w:rPr>
                <w:noProof/>
                <w:webHidden/>
              </w:rPr>
              <w:fldChar w:fldCharType="separate"/>
            </w:r>
            <w:r w:rsidR="004C4B6C">
              <w:rPr>
                <w:noProof/>
                <w:webHidden/>
              </w:rPr>
              <w:t>102</w:t>
            </w:r>
            <w:r w:rsidR="008A3C38">
              <w:rPr>
                <w:noProof/>
                <w:webHidden/>
              </w:rPr>
              <w:fldChar w:fldCharType="end"/>
            </w:r>
          </w:hyperlink>
        </w:p>
        <w:p w:rsidR="004C4B6C" w:rsidRDefault="001D28FE">
          <w:pPr>
            <w:pStyle w:val="TOC3"/>
            <w:tabs>
              <w:tab w:val="left" w:pos="1320"/>
              <w:tab w:val="right" w:leader="dot" w:pos="9350"/>
            </w:tabs>
            <w:rPr>
              <w:rFonts w:asciiTheme="minorHAnsi" w:eastAsiaTheme="minorEastAsia" w:hAnsiTheme="minorHAnsi" w:cstheme="minorBidi"/>
              <w:noProof/>
              <w:color w:val="auto"/>
            </w:rPr>
          </w:pPr>
          <w:hyperlink w:anchor="_Toc382214039" w:history="1">
            <w:r w:rsidR="004C4B6C" w:rsidRPr="000B5124">
              <w:rPr>
                <w:rStyle w:val="Hyperlink"/>
                <w:noProof/>
              </w:rPr>
              <w:t>7.5.1</w:t>
            </w:r>
            <w:r w:rsidR="004C4B6C">
              <w:rPr>
                <w:rFonts w:asciiTheme="minorHAnsi" w:eastAsiaTheme="minorEastAsia" w:hAnsiTheme="minorHAnsi" w:cstheme="minorBidi"/>
                <w:noProof/>
                <w:color w:val="auto"/>
              </w:rPr>
              <w:tab/>
            </w:r>
            <w:r w:rsidR="004C4B6C" w:rsidRPr="000B5124">
              <w:rPr>
                <w:rStyle w:val="Hyperlink"/>
                <w:noProof/>
              </w:rPr>
              <w:t>Respiratory conditions in children with HIV infection</w:t>
            </w:r>
            <w:r w:rsidR="004C4B6C">
              <w:rPr>
                <w:noProof/>
                <w:webHidden/>
              </w:rPr>
              <w:tab/>
            </w:r>
            <w:r w:rsidR="008A3C38">
              <w:rPr>
                <w:noProof/>
                <w:webHidden/>
              </w:rPr>
              <w:fldChar w:fldCharType="begin"/>
            </w:r>
            <w:r w:rsidR="004C4B6C">
              <w:rPr>
                <w:noProof/>
                <w:webHidden/>
              </w:rPr>
              <w:instrText xml:space="preserve"> PAGEREF _Toc382214039 \h </w:instrText>
            </w:r>
            <w:r w:rsidR="008A3C38">
              <w:rPr>
                <w:noProof/>
                <w:webHidden/>
              </w:rPr>
            </w:r>
            <w:r w:rsidR="008A3C38">
              <w:rPr>
                <w:noProof/>
                <w:webHidden/>
              </w:rPr>
              <w:fldChar w:fldCharType="separate"/>
            </w:r>
            <w:r w:rsidR="004C4B6C">
              <w:rPr>
                <w:noProof/>
                <w:webHidden/>
              </w:rPr>
              <w:t>102</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40" w:history="1">
            <w:r w:rsidR="004C4B6C" w:rsidRPr="000B5124">
              <w:rPr>
                <w:rStyle w:val="Hyperlink"/>
                <w:noProof/>
              </w:rPr>
              <w:t>7.5.2. Tuberculosis in children</w:t>
            </w:r>
            <w:r w:rsidR="004C4B6C">
              <w:rPr>
                <w:noProof/>
                <w:webHidden/>
              </w:rPr>
              <w:tab/>
            </w:r>
            <w:r w:rsidR="008A3C38">
              <w:rPr>
                <w:noProof/>
                <w:webHidden/>
              </w:rPr>
              <w:fldChar w:fldCharType="begin"/>
            </w:r>
            <w:r w:rsidR="004C4B6C">
              <w:rPr>
                <w:noProof/>
                <w:webHidden/>
              </w:rPr>
              <w:instrText xml:space="preserve"> PAGEREF _Toc382214040 \h </w:instrText>
            </w:r>
            <w:r w:rsidR="008A3C38">
              <w:rPr>
                <w:noProof/>
                <w:webHidden/>
              </w:rPr>
            </w:r>
            <w:r w:rsidR="008A3C38">
              <w:rPr>
                <w:noProof/>
                <w:webHidden/>
              </w:rPr>
              <w:fldChar w:fldCharType="separate"/>
            </w:r>
            <w:r w:rsidR="004C4B6C">
              <w:rPr>
                <w:noProof/>
                <w:webHidden/>
              </w:rPr>
              <w:t>105</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41" w:history="1">
            <w:r w:rsidR="004C4B6C" w:rsidRPr="000B5124">
              <w:rPr>
                <w:rStyle w:val="Hyperlink"/>
                <w:noProof/>
              </w:rPr>
              <w:t>7.5.3 Diarrhea</w:t>
            </w:r>
            <w:r w:rsidR="004C4B6C">
              <w:rPr>
                <w:noProof/>
                <w:webHidden/>
              </w:rPr>
              <w:tab/>
            </w:r>
            <w:r w:rsidR="008A3C38">
              <w:rPr>
                <w:noProof/>
                <w:webHidden/>
              </w:rPr>
              <w:fldChar w:fldCharType="begin"/>
            </w:r>
            <w:r w:rsidR="004C4B6C">
              <w:rPr>
                <w:noProof/>
                <w:webHidden/>
              </w:rPr>
              <w:instrText xml:space="preserve"> PAGEREF _Toc382214041 \h </w:instrText>
            </w:r>
            <w:r w:rsidR="008A3C38">
              <w:rPr>
                <w:noProof/>
                <w:webHidden/>
              </w:rPr>
            </w:r>
            <w:r w:rsidR="008A3C38">
              <w:rPr>
                <w:noProof/>
                <w:webHidden/>
              </w:rPr>
              <w:fldChar w:fldCharType="separate"/>
            </w:r>
            <w:r w:rsidR="004C4B6C">
              <w:rPr>
                <w:noProof/>
                <w:webHidden/>
              </w:rPr>
              <w:t>106</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42" w:history="1">
            <w:r w:rsidR="004C4B6C" w:rsidRPr="000B5124">
              <w:rPr>
                <w:rStyle w:val="Hyperlink"/>
                <w:noProof/>
              </w:rPr>
              <w:t>7.5.4 Oral candidiasis</w:t>
            </w:r>
            <w:r w:rsidR="004C4B6C">
              <w:rPr>
                <w:noProof/>
                <w:webHidden/>
              </w:rPr>
              <w:tab/>
            </w:r>
            <w:r w:rsidR="008A3C38">
              <w:rPr>
                <w:noProof/>
                <w:webHidden/>
              </w:rPr>
              <w:fldChar w:fldCharType="begin"/>
            </w:r>
            <w:r w:rsidR="004C4B6C">
              <w:rPr>
                <w:noProof/>
                <w:webHidden/>
              </w:rPr>
              <w:instrText xml:space="preserve"> PAGEREF _Toc382214042 \h </w:instrText>
            </w:r>
            <w:r w:rsidR="008A3C38">
              <w:rPr>
                <w:noProof/>
                <w:webHidden/>
              </w:rPr>
            </w:r>
            <w:r w:rsidR="008A3C38">
              <w:rPr>
                <w:noProof/>
                <w:webHidden/>
              </w:rPr>
              <w:fldChar w:fldCharType="separate"/>
            </w:r>
            <w:r w:rsidR="004C4B6C">
              <w:rPr>
                <w:noProof/>
                <w:webHidden/>
              </w:rPr>
              <w:t>106</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43" w:history="1">
            <w:r w:rsidR="004C4B6C" w:rsidRPr="000B5124">
              <w:rPr>
                <w:rStyle w:val="Hyperlink"/>
                <w:noProof/>
              </w:rPr>
              <w:t>7.5.5 Esophageal candidiasis</w:t>
            </w:r>
            <w:r w:rsidR="004C4B6C">
              <w:rPr>
                <w:noProof/>
                <w:webHidden/>
              </w:rPr>
              <w:tab/>
            </w:r>
            <w:r w:rsidR="008A3C38">
              <w:rPr>
                <w:noProof/>
                <w:webHidden/>
              </w:rPr>
              <w:fldChar w:fldCharType="begin"/>
            </w:r>
            <w:r w:rsidR="004C4B6C">
              <w:rPr>
                <w:noProof/>
                <w:webHidden/>
              </w:rPr>
              <w:instrText xml:space="preserve"> PAGEREF _Toc382214043 \h </w:instrText>
            </w:r>
            <w:r w:rsidR="008A3C38">
              <w:rPr>
                <w:noProof/>
                <w:webHidden/>
              </w:rPr>
            </w:r>
            <w:r w:rsidR="008A3C38">
              <w:rPr>
                <w:noProof/>
                <w:webHidden/>
              </w:rPr>
              <w:fldChar w:fldCharType="separate"/>
            </w:r>
            <w:r w:rsidR="004C4B6C">
              <w:rPr>
                <w:noProof/>
                <w:webHidden/>
              </w:rPr>
              <w:t>107</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44" w:history="1">
            <w:r w:rsidR="004C4B6C" w:rsidRPr="000B5124">
              <w:rPr>
                <w:rStyle w:val="Hyperlink"/>
                <w:noProof/>
              </w:rPr>
              <w:t>7.5.7 Skin manifestations</w:t>
            </w:r>
            <w:r w:rsidR="004C4B6C">
              <w:rPr>
                <w:noProof/>
                <w:webHidden/>
              </w:rPr>
              <w:tab/>
            </w:r>
            <w:r w:rsidR="008A3C38">
              <w:rPr>
                <w:noProof/>
                <w:webHidden/>
              </w:rPr>
              <w:fldChar w:fldCharType="begin"/>
            </w:r>
            <w:r w:rsidR="004C4B6C">
              <w:rPr>
                <w:noProof/>
                <w:webHidden/>
              </w:rPr>
              <w:instrText xml:space="preserve"> PAGEREF _Toc382214044 \h </w:instrText>
            </w:r>
            <w:r w:rsidR="008A3C38">
              <w:rPr>
                <w:noProof/>
                <w:webHidden/>
              </w:rPr>
            </w:r>
            <w:r w:rsidR="008A3C38">
              <w:rPr>
                <w:noProof/>
                <w:webHidden/>
              </w:rPr>
              <w:fldChar w:fldCharType="separate"/>
            </w:r>
            <w:r w:rsidR="004C4B6C">
              <w:rPr>
                <w:noProof/>
                <w:webHidden/>
              </w:rPr>
              <w:t>107</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45" w:history="1">
            <w:r w:rsidR="004C4B6C" w:rsidRPr="000B5124">
              <w:rPr>
                <w:rStyle w:val="Hyperlink"/>
                <w:noProof/>
              </w:rPr>
              <w:t>7.5.8 Malnutrition</w:t>
            </w:r>
            <w:r w:rsidR="004C4B6C">
              <w:rPr>
                <w:noProof/>
                <w:webHidden/>
              </w:rPr>
              <w:tab/>
            </w:r>
            <w:r w:rsidR="008A3C38">
              <w:rPr>
                <w:noProof/>
                <w:webHidden/>
              </w:rPr>
              <w:fldChar w:fldCharType="begin"/>
            </w:r>
            <w:r w:rsidR="004C4B6C">
              <w:rPr>
                <w:noProof/>
                <w:webHidden/>
              </w:rPr>
              <w:instrText xml:space="preserve"> PAGEREF _Toc382214045 \h </w:instrText>
            </w:r>
            <w:r w:rsidR="008A3C38">
              <w:rPr>
                <w:noProof/>
                <w:webHidden/>
              </w:rPr>
            </w:r>
            <w:r w:rsidR="008A3C38">
              <w:rPr>
                <w:noProof/>
                <w:webHidden/>
              </w:rPr>
              <w:fldChar w:fldCharType="separate"/>
            </w:r>
            <w:r w:rsidR="004C4B6C">
              <w:rPr>
                <w:noProof/>
                <w:webHidden/>
              </w:rPr>
              <w:t>108</w:t>
            </w:r>
            <w:r w:rsidR="008A3C38">
              <w:rPr>
                <w:noProof/>
                <w:webHidden/>
              </w:rPr>
              <w:fldChar w:fldCharType="end"/>
            </w:r>
          </w:hyperlink>
        </w:p>
        <w:p w:rsidR="004C4B6C" w:rsidRDefault="001D28FE">
          <w:pPr>
            <w:pStyle w:val="TOC1"/>
            <w:tabs>
              <w:tab w:val="right" w:leader="dot" w:pos="9350"/>
            </w:tabs>
            <w:rPr>
              <w:rFonts w:asciiTheme="minorHAnsi" w:eastAsiaTheme="minorEastAsia" w:hAnsiTheme="minorHAnsi" w:cstheme="minorBidi"/>
              <w:noProof/>
              <w:color w:val="auto"/>
            </w:rPr>
          </w:pPr>
          <w:hyperlink w:anchor="_Toc382214046" w:history="1">
            <w:r w:rsidR="004C4B6C" w:rsidRPr="000B5124">
              <w:rPr>
                <w:rStyle w:val="Hyperlink"/>
                <w:noProof/>
              </w:rPr>
              <w:t>CHAPTER 8: HIV AND AIDS IN PREGNANCY</w:t>
            </w:r>
            <w:r w:rsidR="004C4B6C">
              <w:rPr>
                <w:noProof/>
                <w:webHidden/>
              </w:rPr>
              <w:tab/>
            </w:r>
            <w:r w:rsidR="008A3C38">
              <w:rPr>
                <w:noProof/>
                <w:webHidden/>
              </w:rPr>
              <w:fldChar w:fldCharType="begin"/>
            </w:r>
            <w:r w:rsidR="004C4B6C">
              <w:rPr>
                <w:noProof/>
                <w:webHidden/>
              </w:rPr>
              <w:instrText xml:space="preserve"> PAGEREF _Toc382214046 \h </w:instrText>
            </w:r>
            <w:r w:rsidR="008A3C38">
              <w:rPr>
                <w:noProof/>
                <w:webHidden/>
              </w:rPr>
            </w:r>
            <w:r w:rsidR="008A3C38">
              <w:rPr>
                <w:noProof/>
                <w:webHidden/>
              </w:rPr>
              <w:fldChar w:fldCharType="separate"/>
            </w:r>
            <w:r w:rsidR="004C4B6C">
              <w:rPr>
                <w:noProof/>
                <w:webHidden/>
              </w:rPr>
              <w:t>109</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47" w:history="1">
            <w:r w:rsidR="004C4B6C" w:rsidRPr="000B5124">
              <w:rPr>
                <w:rStyle w:val="Hyperlink"/>
                <w:noProof/>
              </w:rPr>
              <w:t>8.1 Introduction</w:t>
            </w:r>
            <w:r w:rsidR="004C4B6C">
              <w:rPr>
                <w:noProof/>
                <w:webHidden/>
              </w:rPr>
              <w:tab/>
            </w:r>
            <w:r w:rsidR="008A3C38">
              <w:rPr>
                <w:noProof/>
                <w:webHidden/>
              </w:rPr>
              <w:fldChar w:fldCharType="begin"/>
            </w:r>
            <w:r w:rsidR="004C4B6C">
              <w:rPr>
                <w:noProof/>
                <w:webHidden/>
              </w:rPr>
              <w:instrText xml:space="preserve"> PAGEREF _Toc382214047 \h </w:instrText>
            </w:r>
            <w:r w:rsidR="008A3C38">
              <w:rPr>
                <w:noProof/>
                <w:webHidden/>
              </w:rPr>
            </w:r>
            <w:r w:rsidR="008A3C38">
              <w:rPr>
                <w:noProof/>
                <w:webHidden/>
              </w:rPr>
              <w:fldChar w:fldCharType="separate"/>
            </w:r>
            <w:r w:rsidR="004C4B6C">
              <w:rPr>
                <w:noProof/>
                <w:webHidden/>
              </w:rPr>
              <w:t>109</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48" w:history="1">
            <w:r w:rsidR="004C4B6C" w:rsidRPr="000B5124">
              <w:rPr>
                <w:rStyle w:val="Hyperlink"/>
                <w:noProof/>
              </w:rPr>
              <w:t>8.2 Basic facts about mother-to-child transmission of HIV</w:t>
            </w:r>
            <w:r w:rsidR="004C4B6C">
              <w:rPr>
                <w:noProof/>
                <w:webHidden/>
              </w:rPr>
              <w:tab/>
            </w:r>
            <w:r w:rsidR="008A3C38">
              <w:rPr>
                <w:noProof/>
                <w:webHidden/>
              </w:rPr>
              <w:fldChar w:fldCharType="begin"/>
            </w:r>
            <w:r w:rsidR="004C4B6C">
              <w:rPr>
                <w:noProof/>
                <w:webHidden/>
              </w:rPr>
              <w:instrText xml:space="preserve"> PAGEREF _Toc382214048 \h </w:instrText>
            </w:r>
            <w:r w:rsidR="008A3C38">
              <w:rPr>
                <w:noProof/>
                <w:webHidden/>
              </w:rPr>
            </w:r>
            <w:r w:rsidR="008A3C38">
              <w:rPr>
                <w:noProof/>
                <w:webHidden/>
              </w:rPr>
              <w:fldChar w:fldCharType="separate"/>
            </w:r>
            <w:r w:rsidR="004C4B6C">
              <w:rPr>
                <w:noProof/>
                <w:webHidden/>
              </w:rPr>
              <w:t>109</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49" w:history="1">
            <w:r w:rsidR="004C4B6C" w:rsidRPr="000B5124">
              <w:rPr>
                <w:rStyle w:val="Hyperlink"/>
                <w:noProof/>
              </w:rPr>
              <w:t>8.3 Goal of Tanzania’s PMTCT programme</w:t>
            </w:r>
            <w:r w:rsidR="004C4B6C">
              <w:rPr>
                <w:noProof/>
                <w:webHidden/>
              </w:rPr>
              <w:tab/>
            </w:r>
            <w:r w:rsidR="008A3C38">
              <w:rPr>
                <w:noProof/>
                <w:webHidden/>
              </w:rPr>
              <w:fldChar w:fldCharType="begin"/>
            </w:r>
            <w:r w:rsidR="004C4B6C">
              <w:rPr>
                <w:noProof/>
                <w:webHidden/>
              </w:rPr>
              <w:instrText xml:space="preserve"> PAGEREF _Toc382214049 \h </w:instrText>
            </w:r>
            <w:r w:rsidR="008A3C38">
              <w:rPr>
                <w:noProof/>
                <w:webHidden/>
              </w:rPr>
            </w:r>
            <w:r w:rsidR="008A3C38">
              <w:rPr>
                <w:noProof/>
                <w:webHidden/>
              </w:rPr>
              <w:fldChar w:fldCharType="separate"/>
            </w:r>
            <w:r w:rsidR="004C4B6C">
              <w:rPr>
                <w:noProof/>
                <w:webHidden/>
              </w:rPr>
              <w:t>111</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50" w:history="1">
            <w:r w:rsidR="004C4B6C" w:rsidRPr="000B5124">
              <w:rPr>
                <w:rStyle w:val="Hyperlink"/>
                <w:noProof/>
              </w:rPr>
              <w:t>8.4. Four elements of a comprehensive approach to PMTCT</w:t>
            </w:r>
            <w:r w:rsidR="004C4B6C">
              <w:rPr>
                <w:noProof/>
                <w:webHidden/>
              </w:rPr>
              <w:tab/>
            </w:r>
            <w:r w:rsidR="008A3C38">
              <w:rPr>
                <w:noProof/>
                <w:webHidden/>
              </w:rPr>
              <w:fldChar w:fldCharType="begin"/>
            </w:r>
            <w:r w:rsidR="004C4B6C">
              <w:rPr>
                <w:noProof/>
                <w:webHidden/>
              </w:rPr>
              <w:instrText xml:space="preserve"> PAGEREF _Toc382214050 \h </w:instrText>
            </w:r>
            <w:r w:rsidR="008A3C38">
              <w:rPr>
                <w:noProof/>
                <w:webHidden/>
              </w:rPr>
            </w:r>
            <w:r w:rsidR="008A3C38">
              <w:rPr>
                <w:noProof/>
                <w:webHidden/>
              </w:rPr>
              <w:fldChar w:fldCharType="separate"/>
            </w:r>
            <w:r w:rsidR="004C4B6C">
              <w:rPr>
                <w:noProof/>
                <w:webHidden/>
              </w:rPr>
              <w:t>112</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51" w:history="1">
            <w:r w:rsidR="004C4B6C" w:rsidRPr="000B5124">
              <w:rPr>
                <w:rStyle w:val="Hyperlink"/>
                <w:noProof/>
              </w:rPr>
              <w:t>8.4.1. Primary prevention of HIV among women and their partners</w:t>
            </w:r>
            <w:r w:rsidR="004C4B6C">
              <w:rPr>
                <w:noProof/>
                <w:webHidden/>
              </w:rPr>
              <w:tab/>
            </w:r>
            <w:r w:rsidR="008A3C38">
              <w:rPr>
                <w:noProof/>
                <w:webHidden/>
              </w:rPr>
              <w:fldChar w:fldCharType="begin"/>
            </w:r>
            <w:r w:rsidR="004C4B6C">
              <w:rPr>
                <w:noProof/>
                <w:webHidden/>
              </w:rPr>
              <w:instrText xml:space="preserve"> PAGEREF _Toc382214051 \h </w:instrText>
            </w:r>
            <w:r w:rsidR="008A3C38">
              <w:rPr>
                <w:noProof/>
                <w:webHidden/>
              </w:rPr>
            </w:r>
            <w:r w:rsidR="008A3C38">
              <w:rPr>
                <w:noProof/>
                <w:webHidden/>
              </w:rPr>
              <w:fldChar w:fldCharType="separate"/>
            </w:r>
            <w:r w:rsidR="004C4B6C">
              <w:rPr>
                <w:noProof/>
                <w:webHidden/>
              </w:rPr>
              <w:t>112</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52" w:history="1">
            <w:r w:rsidR="004C4B6C" w:rsidRPr="000B5124">
              <w:rPr>
                <w:rStyle w:val="Hyperlink"/>
                <w:noProof/>
              </w:rPr>
              <w:t>8.4.2. Prevention of unintended pregnancies among women infected with HIV</w:t>
            </w:r>
            <w:r w:rsidR="004C4B6C">
              <w:rPr>
                <w:noProof/>
                <w:webHidden/>
              </w:rPr>
              <w:tab/>
            </w:r>
            <w:r w:rsidR="008A3C38">
              <w:rPr>
                <w:noProof/>
                <w:webHidden/>
              </w:rPr>
              <w:fldChar w:fldCharType="begin"/>
            </w:r>
            <w:r w:rsidR="004C4B6C">
              <w:rPr>
                <w:noProof/>
                <w:webHidden/>
              </w:rPr>
              <w:instrText xml:space="preserve"> PAGEREF _Toc382214052 \h </w:instrText>
            </w:r>
            <w:r w:rsidR="008A3C38">
              <w:rPr>
                <w:noProof/>
                <w:webHidden/>
              </w:rPr>
            </w:r>
            <w:r w:rsidR="008A3C38">
              <w:rPr>
                <w:noProof/>
                <w:webHidden/>
              </w:rPr>
              <w:fldChar w:fldCharType="separate"/>
            </w:r>
            <w:r w:rsidR="004C4B6C">
              <w:rPr>
                <w:noProof/>
                <w:webHidden/>
              </w:rPr>
              <w:t>113</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53" w:history="1">
            <w:r w:rsidR="004C4B6C" w:rsidRPr="000B5124">
              <w:rPr>
                <w:rStyle w:val="Hyperlink"/>
                <w:noProof/>
              </w:rPr>
              <w:t>8.4.3. Interventions to prevent HIV transmission from mothers to their Infants</w:t>
            </w:r>
            <w:r w:rsidR="004C4B6C">
              <w:rPr>
                <w:noProof/>
                <w:webHidden/>
              </w:rPr>
              <w:tab/>
            </w:r>
            <w:r w:rsidR="008A3C38">
              <w:rPr>
                <w:noProof/>
                <w:webHidden/>
              </w:rPr>
              <w:fldChar w:fldCharType="begin"/>
            </w:r>
            <w:r w:rsidR="004C4B6C">
              <w:rPr>
                <w:noProof/>
                <w:webHidden/>
              </w:rPr>
              <w:instrText xml:space="preserve"> PAGEREF _Toc382214053 \h </w:instrText>
            </w:r>
            <w:r w:rsidR="008A3C38">
              <w:rPr>
                <w:noProof/>
                <w:webHidden/>
              </w:rPr>
            </w:r>
            <w:r w:rsidR="008A3C38">
              <w:rPr>
                <w:noProof/>
                <w:webHidden/>
              </w:rPr>
              <w:fldChar w:fldCharType="separate"/>
            </w:r>
            <w:r w:rsidR="004C4B6C">
              <w:rPr>
                <w:noProof/>
                <w:webHidden/>
              </w:rPr>
              <w:t>113</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54" w:history="1">
            <w:r w:rsidR="004C4B6C" w:rsidRPr="000B5124">
              <w:rPr>
                <w:rStyle w:val="Hyperlink"/>
                <w:noProof/>
              </w:rPr>
              <w:t>8.4.4. Treatment, care and support for HIV-infected women and their Families</w:t>
            </w:r>
            <w:r w:rsidR="004C4B6C">
              <w:rPr>
                <w:noProof/>
                <w:webHidden/>
              </w:rPr>
              <w:tab/>
            </w:r>
            <w:r w:rsidR="008A3C38">
              <w:rPr>
                <w:noProof/>
                <w:webHidden/>
              </w:rPr>
              <w:fldChar w:fldCharType="begin"/>
            </w:r>
            <w:r w:rsidR="004C4B6C">
              <w:rPr>
                <w:noProof/>
                <w:webHidden/>
              </w:rPr>
              <w:instrText xml:space="preserve"> PAGEREF _Toc382214054 \h </w:instrText>
            </w:r>
            <w:r w:rsidR="008A3C38">
              <w:rPr>
                <w:noProof/>
                <w:webHidden/>
              </w:rPr>
            </w:r>
            <w:r w:rsidR="008A3C38">
              <w:rPr>
                <w:noProof/>
                <w:webHidden/>
              </w:rPr>
              <w:fldChar w:fldCharType="separate"/>
            </w:r>
            <w:r w:rsidR="004C4B6C">
              <w:rPr>
                <w:noProof/>
                <w:webHidden/>
              </w:rPr>
              <w:t>114</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55" w:history="1">
            <w:r w:rsidR="004C4B6C" w:rsidRPr="000B5124">
              <w:rPr>
                <w:rStyle w:val="Hyperlink"/>
                <w:noProof/>
              </w:rPr>
              <w:t>8.5 Integrating PMTCT into routine Reproductive and Child Health Services</w:t>
            </w:r>
            <w:r w:rsidR="004C4B6C">
              <w:rPr>
                <w:noProof/>
                <w:webHidden/>
              </w:rPr>
              <w:tab/>
            </w:r>
            <w:r w:rsidR="008A3C38">
              <w:rPr>
                <w:noProof/>
                <w:webHidden/>
              </w:rPr>
              <w:fldChar w:fldCharType="begin"/>
            </w:r>
            <w:r w:rsidR="004C4B6C">
              <w:rPr>
                <w:noProof/>
                <w:webHidden/>
              </w:rPr>
              <w:instrText xml:space="preserve"> PAGEREF _Toc382214055 \h </w:instrText>
            </w:r>
            <w:r w:rsidR="008A3C38">
              <w:rPr>
                <w:noProof/>
                <w:webHidden/>
              </w:rPr>
            </w:r>
            <w:r w:rsidR="008A3C38">
              <w:rPr>
                <w:noProof/>
                <w:webHidden/>
              </w:rPr>
              <w:fldChar w:fldCharType="separate"/>
            </w:r>
            <w:r w:rsidR="004C4B6C">
              <w:rPr>
                <w:noProof/>
                <w:webHidden/>
              </w:rPr>
              <w:t>116</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56" w:history="1">
            <w:r w:rsidR="004C4B6C" w:rsidRPr="000B5124">
              <w:rPr>
                <w:rStyle w:val="Hyperlink"/>
                <w:noProof/>
              </w:rPr>
              <w:t>8.5.1 Specific Interventions to Prevent MTCT services in the ANC setting</w:t>
            </w:r>
            <w:r w:rsidR="004C4B6C">
              <w:rPr>
                <w:noProof/>
                <w:webHidden/>
              </w:rPr>
              <w:tab/>
            </w:r>
            <w:r w:rsidR="008A3C38">
              <w:rPr>
                <w:noProof/>
                <w:webHidden/>
              </w:rPr>
              <w:fldChar w:fldCharType="begin"/>
            </w:r>
            <w:r w:rsidR="004C4B6C">
              <w:rPr>
                <w:noProof/>
                <w:webHidden/>
              </w:rPr>
              <w:instrText xml:space="preserve"> PAGEREF _Toc382214056 \h </w:instrText>
            </w:r>
            <w:r w:rsidR="008A3C38">
              <w:rPr>
                <w:noProof/>
                <w:webHidden/>
              </w:rPr>
            </w:r>
            <w:r w:rsidR="008A3C38">
              <w:rPr>
                <w:noProof/>
                <w:webHidden/>
              </w:rPr>
              <w:fldChar w:fldCharType="separate"/>
            </w:r>
            <w:r w:rsidR="004C4B6C">
              <w:rPr>
                <w:noProof/>
                <w:webHidden/>
              </w:rPr>
              <w:t>116</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57" w:history="1">
            <w:r w:rsidR="004C4B6C" w:rsidRPr="000B5124">
              <w:rPr>
                <w:rStyle w:val="Hyperlink"/>
                <w:noProof/>
              </w:rPr>
              <w:t>8.5.2. Cervical Cancer Screening</w:t>
            </w:r>
            <w:r w:rsidR="004C4B6C">
              <w:rPr>
                <w:noProof/>
                <w:webHidden/>
              </w:rPr>
              <w:tab/>
            </w:r>
            <w:r w:rsidR="008A3C38">
              <w:rPr>
                <w:noProof/>
                <w:webHidden/>
              </w:rPr>
              <w:fldChar w:fldCharType="begin"/>
            </w:r>
            <w:r w:rsidR="004C4B6C">
              <w:rPr>
                <w:noProof/>
                <w:webHidden/>
              </w:rPr>
              <w:instrText xml:space="preserve"> PAGEREF _Toc382214057 \h </w:instrText>
            </w:r>
            <w:r w:rsidR="008A3C38">
              <w:rPr>
                <w:noProof/>
                <w:webHidden/>
              </w:rPr>
            </w:r>
            <w:r w:rsidR="008A3C38">
              <w:rPr>
                <w:noProof/>
                <w:webHidden/>
              </w:rPr>
              <w:fldChar w:fldCharType="separate"/>
            </w:r>
            <w:r w:rsidR="004C4B6C">
              <w:rPr>
                <w:noProof/>
                <w:webHidden/>
              </w:rPr>
              <w:t>120</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58" w:history="1">
            <w:r w:rsidR="004C4B6C" w:rsidRPr="000B5124">
              <w:rPr>
                <w:rStyle w:val="Hyperlink"/>
                <w:noProof/>
              </w:rPr>
              <w:t>8.5.3 Care of HIV-infected women during labour and delivery</w:t>
            </w:r>
            <w:r w:rsidR="004C4B6C">
              <w:rPr>
                <w:noProof/>
                <w:webHidden/>
              </w:rPr>
              <w:tab/>
            </w:r>
            <w:r w:rsidR="008A3C38">
              <w:rPr>
                <w:noProof/>
                <w:webHidden/>
              </w:rPr>
              <w:fldChar w:fldCharType="begin"/>
            </w:r>
            <w:r w:rsidR="004C4B6C">
              <w:rPr>
                <w:noProof/>
                <w:webHidden/>
              </w:rPr>
              <w:instrText xml:space="preserve"> PAGEREF _Toc382214058 \h </w:instrText>
            </w:r>
            <w:r w:rsidR="008A3C38">
              <w:rPr>
                <w:noProof/>
                <w:webHidden/>
              </w:rPr>
            </w:r>
            <w:r w:rsidR="008A3C38">
              <w:rPr>
                <w:noProof/>
                <w:webHidden/>
              </w:rPr>
              <w:fldChar w:fldCharType="separate"/>
            </w:r>
            <w:r w:rsidR="004C4B6C">
              <w:rPr>
                <w:noProof/>
                <w:webHidden/>
              </w:rPr>
              <w:t>120</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59" w:history="1">
            <w:r w:rsidR="004C4B6C" w:rsidRPr="000B5124">
              <w:rPr>
                <w:rStyle w:val="Hyperlink"/>
                <w:noProof/>
              </w:rPr>
              <w:t>8.5.4 Special labour and delivery considerations</w:t>
            </w:r>
            <w:r w:rsidR="004C4B6C">
              <w:rPr>
                <w:noProof/>
                <w:webHidden/>
              </w:rPr>
              <w:tab/>
            </w:r>
            <w:r w:rsidR="008A3C38">
              <w:rPr>
                <w:noProof/>
                <w:webHidden/>
              </w:rPr>
              <w:fldChar w:fldCharType="begin"/>
            </w:r>
            <w:r w:rsidR="004C4B6C">
              <w:rPr>
                <w:noProof/>
                <w:webHidden/>
              </w:rPr>
              <w:instrText xml:space="preserve"> PAGEREF _Toc382214059 \h </w:instrText>
            </w:r>
            <w:r w:rsidR="008A3C38">
              <w:rPr>
                <w:noProof/>
                <w:webHidden/>
              </w:rPr>
            </w:r>
            <w:r w:rsidR="008A3C38">
              <w:rPr>
                <w:noProof/>
                <w:webHidden/>
              </w:rPr>
              <w:fldChar w:fldCharType="separate"/>
            </w:r>
            <w:r w:rsidR="004C4B6C">
              <w:rPr>
                <w:noProof/>
                <w:webHidden/>
              </w:rPr>
              <w:t>122</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60" w:history="1">
            <w:r w:rsidR="004C4B6C" w:rsidRPr="000B5124">
              <w:rPr>
                <w:rStyle w:val="Hyperlink"/>
                <w:noProof/>
              </w:rPr>
              <w:t>8.5.5. Care after a spontaneous abortion (miscarriage)</w:t>
            </w:r>
            <w:r w:rsidR="004C4B6C">
              <w:rPr>
                <w:noProof/>
                <w:webHidden/>
              </w:rPr>
              <w:tab/>
            </w:r>
            <w:r w:rsidR="008A3C38">
              <w:rPr>
                <w:noProof/>
                <w:webHidden/>
              </w:rPr>
              <w:fldChar w:fldCharType="begin"/>
            </w:r>
            <w:r w:rsidR="004C4B6C">
              <w:rPr>
                <w:noProof/>
                <w:webHidden/>
              </w:rPr>
              <w:instrText xml:space="preserve"> PAGEREF _Toc382214060 \h </w:instrText>
            </w:r>
            <w:r w:rsidR="008A3C38">
              <w:rPr>
                <w:noProof/>
                <w:webHidden/>
              </w:rPr>
            </w:r>
            <w:r w:rsidR="008A3C38">
              <w:rPr>
                <w:noProof/>
                <w:webHidden/>
              </w:rPr>
              <w:fldChar w:fldCharType="separate"/>
            </w:r>
            <w:r w:rsidR="004C4B6C">
              <w:rPr>
                <w:noProof/>
                <w:webHidden/>
              </w:rPr>
              <w:t>123</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61" w:history="1">
            <w:r w:rsidR="004C4B6C" w:rsidRPr="000B5124">
              <w:rPr>
                <w:rStyle w:val="Hyperlink"/>
                <w:noProof/>
              </w:rPr>
              <w:t>8.5.6. Immediate post-delivery care of HIV-exposed infants</w:t>
            </w:r>
            <w:r w:rsidR="004C4B6C">
              <w:rPr>
                <w:noProof/>
                <w:webHidden/>
              </w:rPr>
              <w:tab/>
            </w:r>
            <w:r w:rsidR="008A3C38">
              <w:rPr>
                <w:noProof/>
                <w:webHidden/>
              </w:rPr>
              <w:fldChar w:fldCharType="begin"/>
            </w:r>
            <w:r w:rsidR="004C4B6C">
              <w:rPr>
                <w:noProof/>
                <w:webHidden/>
              </w:rPr>
              <w:instrText xml:space="preserve"> PAGEREF _Toc382214061 \h </w:instrText>
            </w:r>
            <w:r w:rsidR="008A3C38">
              <w:rPr>
                <w:noProof/>
                <w:webHidden/>
              </w:rPr>
            </w:r>
            <w:r w:rsidR="008A3C38">
              <w:rPr>
                <w:noProof/>
                <w:webHidden/>
              </w:rPr>
              <w:fldChar w:fldCharType="separate"/>
            </w:r>
            <w:r w:rsidR="004C4B6C">
              <w:rPr>
                <w:noProof/>
                <w:webHidden/>
              </w:rPr>
              <w:t>123</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62" w:history="1">
            <w:r w:rsidR="004C4B6C" w:rsidRPr="000B5124">
              <w:rPr>
                <w:rStyle w:val="Hyperlink"/>
                <w:rFonts w:ascii="Arial Narrow" w:hAnsi="Arial Narrow"/>
                <w:noProof/>
              </w:rPr>
              <w:t>8.5.7. Management of HIV-infected women and their infants in the immediate postpartum period:</w:t>
            </w:r>
            <w:r w:rsidR="004C4B6C">
              <w:rPr>
                <w:noProof/>
                <w:webHidden/>
              </w:rPr>
              <w:tab/>
            </w:r>
            <w:r w:rsidR="008A3C38">
              <w:rPr>
                <w:noProof/>
                <w:webHidden/>
              </w:rPr>
              <w:fldChar w:fldCharType="begin"/>
            </w:r>
            <w:r w:rsidR="004C4B6C">
              <w:rPr>
                <w:noProof/>
                <w:webHidden/>
              </w:rPr>
              <w:instrText xml:space="preserve"> PAGEREF _Toc382214062 \h </w:instrText>
            </w:r>
            <w:r w:rsidR="008A3C38">
              <w:rPr>
                <w:noProof/>
                <w:webHidden/>
              </w:rPr>
            </w:r>
            <w:r w:rsidR="008A3C38">
              <w:rPr>
                <w:noProof/>
                <w:webHidden/>
              </w:rPr>
              <w:fldChar w:fldCharType="separate"/>
            </w:r>
            <w:r w:rsidR="004C4B6C">
              <w:rPr>
                <w:noProof/>
                <w:webHidden/>
              </w:rPr>
              <w:t>125</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63" w:history="1">
            <w:r w:rsidR="004C4B6C" w:rsidRPr="000B5124">
              <w:rPr>
                <w:rStyle w:val="Hyperlink"/>
                <w:noProof/>
              </w:rPr>
              <w:t>8.6. Use of antiretroviral (ARV) drugs during pregnancy and Lactating mothers.</w:t>
            </w:r>
            <w:r w:rsidR="004C4B6C">
              <w:rPr>
                <w:noProof/>
                <w:webHidden/>
              </w:rPr>
              <w:tab/>
            </w:r>
            <w:r w:rsidR="008A3C38">
              <w:rPr>
                <w:noProof/>
                <w:webHidden/>
              </w:rPr>
              <w:fldChar w:fldCharType="begin"/>
            </w:r>
            <w:r w:rsidR="004C4B6C">
              <w:rPr>
                <w:noProof/>
                <w:webHidden/>
              </w:rPr>
              <w:instrText xml:space="preserve"> PAGEREF _Toc382214063 \h </w:instrText>
            </w:r>
            <w:r w:rsidR="008A3C38">
              <w:rPr>
                <w:noProof/>
                <w:webHidden/>
              </w:rPr>
            </w:r>
            <w:r w:rsidR="008A3C38">
              <w:rPr>
                <w:noProof/>
                <w:webHidden/>
              </w:rPr>
              <w:fldChar w:fldCharType="separate"/>
            </w:r>
            <w:r w:rsidR="004C4B6C">
              <w:rPr>
                <w:noProof/>
                <w:webHidden/>
              </w:rPr>
              <w:t>127</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64" w:history="1">
            <w:r w:rsidR="004C4B6C" w:rsidRPr="000B5124">
              <w:rPr>
                <w:rStyle w:val="Hyperlink"/>
                <w:noProof/>
              </w:rPr>
              <w:t>8.6.1. Prevention of Mother to Child Transmission</w:t>
            </w:r>
            <w:r w:rsidR="004C4B6C">
              <w:rPr>
                <w:noProof/>
                <w:webHidden/>
              </w:rPr>
              <w:tab/>
            </w:r>
            <w:r w:rsidR="008A3C38">
              <w:rPr>
                <w:noProof/>
                <w:webHidden/>
              </w:rPr>
              <w:fldChar w:fldCharType="begin"/>
            </w:r>
            <w:r w:rsidR="004C4B6C">
              <w:rPr>
                <w:noProof/>
                <w:webHidden/>
              </w:rPr>
              <w:instrText xml:space="preserve"> PAGEREF _Toc382214064 \h </w:instrText>
            </w:r>
            <w:r w:rsidR="008A3C38">
              <w:rPr>
                <w:noProof/>
                <w:webHidden/>
              </w:rPr>
            </w:r>
            <w:r w:rsidR="008A3C38">
              <w:rPr>
                <w:noProof/>
                <w:webHidden/>
              </w:rPr>
              <w:fldChar w:fldCharType="separate"/>
            </w:r>
            <w:r w:rsidR="004C4B6C">
              <w:rPr>
                <w:noProof/>
                <w:webHidden/>
              </w:rPr>
              <w:t>127</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65" w:history="1">
            <w:r w:rsidR="004C4B6C" w:rsidRPr="000B5124">
              <w:rPr>
                <w:rStyle w:val="Hyperlink"/>
                <w:noProof/>
              </w:rPr>
              <w:t>8.6.2. Monitoring patients on ART</w:t>
            </w:r>
            <w:r w:rsidR="004C4B6C">
              <w:rPr>
                <w:noProof/>
                <w:webHidden/>
              </w:rPr>
              <w:tab/>
            </w:r>
            <w:r w:rsidR="008A3C38">
              <w:rPr>
                <w:noProof/>
                <w:webHidden/>
              </w:rPr>
              <w:fldChar w:fldCharType="begin"/>
            </w:r>
            <w:r w:rsidR="004C4B6C">
              <w:rPr>
                <w:noProof/>
                <w:webHidden/>
              </w:rPr>
              <w:instrText xml:space="preserve"> PAGEREF _Toc382214065 \h </w:instrText>
            </w:r>
            <w:r w:rsidR="008A3C38">
              <w:rPr>
                <w:noProof/>
                <w:webHidden/>
              </w:rPr>
            </w:r>
            <w:r w:rsidR="008A3C38">
              <w:rPr>
                <w:noProof/>
                <w:webHidden/>
              </w:rPr>
              <w:fldChar w:fldCharType="separate"/>
            </w:r>
            <w:r w:rsidR="004C4B6C">
              <w:rPr>
                <w:noProof/>
                <w:webHidden/>
              </w:rPr>
              <w:t>128</w:t>
            </w:r>
            <w:r w:rsidR="008A3C38">
              <w:rPr>
                <w:noProof/>
                <w:webHidden/>
              </w:rPr>
              <w:fldChar w:fldCharType="end"/>
            </w:r>
          </w:hyperlink>
        </w:p>
        <w:p w:rsidR="004C4B6C" w:rsidRDefault="001D28FE">
          <w:pPr>
            <w:pStyle w:val="TOC1"/>
            <w:tabs>
              <w:tab w:val="right" w:leader="dot" w:pos="9350"/>
            </w:tabs>
            <w:rPr>
              <w:rFonts w:asciiTheme="minorHAnsi" w:eastAsiaTheme="minorEastAsia" w:hAnsiTheme="minorHAnsi" w:cstheme="minorBidi"/>
              <w:noProof/>
              <w:color w:val="auto"/>
            </w:rPr>
          </w:pPr>
          <w:hyperlink w:anchor="_Toc382214066" w:history="1">
            <w:r w:rsidR="004C4B6C" w:rsidRPr="000B5124">
              <w:rPr>
                <w:rStyle w:val="Hyperlink"/>
                <w:noProof/>
              </w:rPr>
              <w:t>CHAPTER 9: ANTIRETROVIRAL THERAPY</w:t>
            </w:r>
            <w:r w:rsidR="004C4B6C">
              <w:rPr>
                <w:noProof/>
                <w:webHidden/>
              </w:rPr>
              <w:tab/>
            </w:r>
            <w:r w:rsidR="008A3C38">
              <w:rPr>
                <w:noProof/>
                <w:webHidden/>
              </w:rPr>
              <w:fldChar w:fldCharType="begin"/>
            </w:r>
            <w:r w:rsidR="004C4B6C">
              <w:rPr>
                <w:noProof/>
                <w:webHidden/>
              </w:rPr>
              <w:instrText xml:space="preserve"> PAGEREF _Toc382214066 \h </w:instrText>
            </w:r>
            <w:r w:rsidR="008A3C38">
              <w:rPr>
                <w:noProof/>
                <w:webHidden/>
              </w:rPr>
            </w:r>
            <w:r w:rsidR="008A3C38">
              <w:rPr>
                <w:noProof/>
                <w:webHidden/>
              </w:rPr>
              <w:fldChar w:fldCharType="separate"/>
            </w:r>
            <w:r w:rsidR="004C4B6C">
              <w:rPr>
                <w:noProof/>
                <w:webHidden/>
              </w:rPr>
              <w:t>130</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67" w:history="1">
            <w:r w:rsidR="004C4B6C" w:rsidRPr="000B5124">
              <w:rPr>
                <w:rStyle w:val="Hyperlink"/>
                <w:noProof/>
              </w:rPr>
              <w:t>9.1 TYPES OF ANTIRETROVIRAL DRUGS</w:t>
            </w:r>
            <w:r w:rsidR="004C4B6C">
              <w:rPr>
                <w:noProof/>
                <w:webHidden/>
              </w:rPr>
              <w:tab/>
            </w:r>
            <w:r w:rsidR="008A3C38">
              <w:rPr>
                <w:noProof/>
                <w:webHidden/>
              </w:rPr>
              <w:fldChar w:fldCharType="begin"/>
            </w:r>
            <w:r w:rsidR="004C4B6C">
              <w:rPr>
                <w:noProof/>
                <w:webHidden/>
              </w:rPr>
              <w:instrText xml:space="preserve"> PAGEREF _Toc382214067 \h </w:instrText>
            </w:r>
            <w:r w:rsidR="008A3C38">
              <w:rPr>
                <w:noProof/>
                <w:webHidden/>
              </w:rPr>
            </w:r>
            <w:r w:rsidR="008A3C38">
              <w:rPr>
                <w:noProof/>
                <w:webHidden/>
              </w:rPr>
              <w:fldChar w:fldCharType="separate"/>
            </w:r>
            <w:r w:rsidR="004C4B6C">
              <w:rPr>
                <w:noProof/>
                <w:webHidden/>
              </w:rPr>
              <w:t>130</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68" w:history="1">
            <w:r w:rsidR="004C4B6C" w:rsidRPr="000B5124">
              <w:rPr>
                <w:rStyle w:val="Hyperlink"/>
                <w:noProof/>
              </w:rPr>
              <w:t>9.1.1 Nucleoside Reverse Transcriptase Inhibitors (NRTIs)</w:t>
            </w:r>
            <w:r w:rsidR="004C4B6C">
              <w:rPr>
                <w:noProof/>
                <w:webHidden/>
              </w:rPr>
              <w:tab/>
            </w:r>
            <w:r w:rsidR="008A3C38">
              <w:rPr>
                <w:noProof/>
                <w:webHidden/>
              </w:rPr>
              <w:fldChar w:fldCharType="begin"/>
            </w:r>
            <w:r w:rsidR="004C4B6C">
              <w:rPr>
                <w:noProof/>
                <w:webHidden/>
              </w:rPr>
              <w:instrText xml:space="preserve"> PAGEREF _Toc382214068 \h </w:instrText>
            </w:r>
            <w:r w:rsidR="008A3C38">
              <w:rPr>
                <w:noProof/>
                <w:webHidden/>
              </w:rPr>
            </w:r>
            <w:r w:rsidR="008A3C38">
              <w:rPr>
                <w:noProof/>
                <w:webHidden/>
              </w:rPr>
              <w:fldChar w:fldCharType="separate"/>
            </w:r>
            <w:r w:rsidR="004C4B6C">
              <w:rPr>
                <w:noProof/>
                <w:webHidden/>
              </w:rPr>
              <w:t>131</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69" w:history="1">
            <w:r w:rsidR="004C4B6C" w:rsidRPr="000B5124">
              <w:rPr>
                <w:rStyle w:val="Hyperlink"/>
                <w:noProof/>
              </w:rPr>
              <w:t>9.1.3 Nucleotide Reverse Transcriptase Inhibitors (Nucleotide analogues)</w:t>
            </w:r>
            <w:r w:rsidR="004C4B6C">
              <w:rPr>
                <w:noProof/>
                <w:webHidden/>
              </w:rPr>
              <w:tab/>
            </w:r>
            <w:r w:rsidR="008A3C38">
              <w:rPr>
                <w:noProof/>
                <w:webHidden/>
              </w:rPr>
              <w:fldChar w:fldCharType="begin"/>
            </w:r>
            <w:r w:rsidR="004C4B6C">
              <w:rPr>
                <w:noProof/>
                <w:webHidden/>
              </w:rPr>
              <w:instrText xml:space="preserve"> PAGEREF _Toc382214069 \h </w:instrText>
            </w:r>
            <w:r w:rsidR="008A3C38">
              <w:rPr>
                <w:noProof/>
                <w:webHidden/>
              </w:rPr>
            </w:r>
            <w:r w:rsidR="008A3C38">
              <w:rPr>
                <w:noProof/>
                <w:webHidden/>
              </w:rPr>
              <w:fldChar w:fldCharType="separate"/>
            </w:r>
            <w:r w:rsidR="004C4B6C">
              <w:rPr>
                <w:noProof/>
                <w:webHidden/>
              </w:rPr>
              <w:t>131</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70" w:history="1">
            <w:r w:rsidR="004C4B6C" w:rsidRPr="000B5124">
              <w:rPr>
                <w:rStyle w:val="Hyperlink"/>
                <w:noProof/>
              </w:rPr>
              <w:t>9.1.4 Protease Inhibitors (PIs)</w:t>
            </w:r>
            <w:r w:rsidR="004C4B6C">
              <w:rPr>
                <w:noProof/>
                <w:webHidden/>
              </w:rPr>
              <w:tab/>
            </w:r>
            <w:r w:rsidR="008A3C38">
              <w:rPr>
                <w:noProof/>
                <w:webHidden/>
              </w:rPr>
              <w:fldChar w:fldCharType="begin"/>
            </w:r>
            <w:r w:rsidR="004C4B6C">
              <w:rPr>
                <w:noProof/>
                <w:webHidden/>
              </w:rPr>
              <w:instrText xml:space="preserve"> PAGEREF _Toc382214070 \h </w:instrText>
            </w:r>
            <w:r w:rsidR="008A3C38">
              <w:rPr>
                <w:noProof/>
                <w:webHidden/>
              </w:rPr>
            </w:r>
            <w:r w:rsidR="008A3C38">
              <w:rPr>
                <w:noProof/>
                <w:webHidden/>
              </w:rPr>
              <w:fldChar w:fldCharType="separate"/>
            </w:r>
            <w:r w:rsidR="004C4B6C">
              <w:rPr>
                <w:noProof/>
                <w:webHidden/>
              </w:rPr>
              <w:t>131</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71" w:history="1">
            <w:r w:rsidR="004C4B6C" w:rsidRPr="000B5124">
              <w:rPr>
                <w:rStyle w:val="Hyperlink"/>
                <w:noProof/>
              </w:rPr>
              <w:t>9.2 GOALS OF ANTIRETROVIRAL THERAPY</w:t>
            </w:r>
            <w:r w:rsidR="004C4B6C">
              <w:rPr>
                <w:noProof/>
                <w:webHidden/>
              </w:rPr>
              <w:tab/>
            </w:r>
            <w:r w:rsidR="008A3C38">
              <w:rPr>
                <w:noProof/>
                <w:webHidden/>
              </w:rPr>
              <w:fldChar w:fldCharType="begin"/>
            </w:r>
            <w:r w:rsidR="004C4B6C">
              <w:rPr>
                <w:noProof/>
                <w:webHidden/>
              </w:rPr>
              <w:instrText xml:space="preserve"> PAGEREF _Toc382214071 \h </w:instrText>
            </w:r>
            <w:r w:rsidR="008A3C38">
              <w:rPr>
                <w:noProof/>
                <w:webHidden/>
              </w:rPr>
            </w:r>
            <w:r w:rsidR="008A3C38">
              <w:rPr>
                <w:noProof/>
                <w:webHidden/>
              </w:rPr>
              <w:fldChar w:fldCharType="separate"/>
            </w:r>
            <w:r w:rsidR="004C4B6C">
              <w:rPr>
                <w:noProof/>
                <w:webHidden/>
              </w:rPr>
              <w:t>131</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72" w:history="1">
            <w:r w:rsidR="004C4B6C" w:rsidRPr="000B5124">
              <w:rPr>
                <w:rStyle w:val="Hyperlink"/>
                <w:noProof/>
              </w:rPr>
              <w:t>9.3 WHEN TO START ART</w:t>
            </w:r>
            <w:r w:rsidR="004C4B6C">
              <w:rPr>
                <w:noProof/>
                <w:webHidden/>
              </w:rPr>
              <w:tab/>
            </w:r>
            <w:r w:rsidR="008A3C38">
              <w:rPr>
                <w:noProof/>
                <w:webHidden/>
              </w:rPr>
              <w:fldChar w:fldCharType="begin"/>
            </w:r>
            <w:r w:rsidR="004C4B6C">
              <w:rPr>
                <w:noProof/>
                <w:webHidden/>
              </w:rPr>
              <w:instrText xml:space="preserve"> PAGEREF _Toc382214072 \h </w:instrText>
            </w:r>
            <w:r w:rsidR="008A3C38">
              <w:rPr>
                <w:noProof/>
                <w:webHidden/>
              </w:rPr>
            </w:r>
            <w:r w:rsidR="008A3C38">
              <w:rPr>
                <w:noProof/>
                <w:webHidden/>
              </w:rPr>
              <w:fldChar w:fldCharType="separate"/>
            </w:r>
            <w:r w:rsidR="004C4B6C">
              <w:rPr>
                <w:noProof/>
                <w:webHidden/>
              </w:rPr>
              <w:t>132</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73" w:history="1">
            <w:r w:rsidR="004C4B6C" w:rsidRPr="000B5124">
              <w:rPr>
                <w:rStyle w:val="Hyperlink"/>
                <w:noProof/>
              </w:rPr>
              <w:t>9.3.1 Evaluation to be done Before Initiating ART</w:t>
            </w:r>
            <w:r w:rsidR="004C4B6C">
              <w:rPr>
                <w:noProof/>
                <w:webHidden/>
              </w:rPr>
              <w:tab/>
            </w:r>
            <w:r w:rsidR="008A3C38">
              <w:rPr>
                <w:noProof/>
                <w:webHidden/>
              </w:rPr>
              <w:fldChar w:fldCharType="begin"/>
            </w:r>
            <w:r w:rsidR="004C4B6C">
              <w:rPr>
                <w:noProof/>
                <w:webHidden/>
              </w:rPr>
              <w:instrText xml:space="preserve"> PAGEREF _Toc382214073 \h </w:instrText>
            </w:r>
            <w:r w:rsidR="008A3C38">
              <w:rPr>
                <w:noProof/>
                <w:webHidden/>
              </w:rPr>
            </w:r>
            <w:r w:rsidR="008A3C38">
              <w:rPr>
                <w:noProof/>
                <w:webHidden/>
              </w:rPr>
              <w:fldChar w:fldCharType="separate"/>
            </w:r>
            <w:r w:rsidR="004C4B6C">
              <w:rPr>
                <w:noProof/>
                <w:webHidden/>
              </w:rPr>
              <w:t>132</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74" w:history="1">
            <w:r w:rsidR="004C4B6C" w:rsidRPr="000B5124">
              <w:rPr>
                <w:rStyle w:val="Hyperlink"/>
                <w:noProof/>
              </w:rPr>
              <w:t>9.3.2 When to start ART in Adults and Adolescents</w:t>
            </w:r>
            <w:r w:rsidR="004C4B6C">
              <w:rPr>
                <w:noProof/>
                <w:webHidden/>
              </w:rPr>
              <w:tab/>
            </w:r>
            <w:r w:rsidR="008A3C38">
              <w:rPr>
                <w:noProof/>
                <w:webHidden/>
              </w:rPr>
              <w:fldChar w:fldCharType="begin"/>
            </w:r>
            <w:r w:rsidR="004C4B6C">
              <w:rPr>
                <w:noProof/>
                <w:webHidden/>
              </w:rPr>
              <w:instrText xml:space="preserve"> PAGEREF _Toc382214074 \h </w:instrText>
            </w:r>
            <w:r w:rsidR="008A3C38">
              <w:rPr>
                <w:noProof/>
                <w:webHidden/>
              </w:rPr>
            </w:r>
            <w:r w:rsidR="008A3C38">
              <w:rPr>
                <w:noProof/>
                <w:webHidden/>
              </w:rPr>
              <w:fldChar w:fldCharType="separate"/>
            </w:r>
            <w:r w:rsidR="004C4B6C">
              <w:rPr>
                <w:noProof/>
                <w:webHidden/>
              </w:rPr>
              <w:t>133</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75" w:history="1">
            <w:r w:rsidR="004C4B6C" w:rsidRPr="000B5124">
              <w:rPr>
                <w:rStyle w:val="Hyperlink"/>
                <w:noProof/>
              </w:rPr>
              <w:t>9.3.3 When to start ART in pregnant and breastfeeding women</w:t>
            </w:r>
            <w:r w:rsidR="004C4B6C">
              <w:rPr>
                <w:noProof/>
                <w:webHidden/>
              </w:rPr>
              <w:tab/>
            </w:r>
            <w:r w:rsidR="008A3C38">
              <w:rPr>
                <w:noProof/>
                <w:webHidden/>
              </w:rPr>
              <w:fldChar w:fldCharType="begin"/>
            </w:r>
            <w:r w:rsidR="004C4B6C">
              <w:rPr>
                <w:noProof/>
                <w:webHidden/>
              </w:rPr>
              <w:instrText xml:space="preserve"> PAGEREF _Toc382214075 \h </w:instrText>
            </w:r>
            <w:r w:rsidR="008A3C38">
              <w:rPr>
                <w:noProof/>
                <w:webHidden/>
              </w:rPr>
            </w:r>
            <w:r w:rsidR="008A3C38">
              <w:rPr>
                <w:noProof/>
                <w:webHidden/>
              </w:rPr>
              <w:fldChar w:fldCharType="separate"/>
            </w:r>
            <w:r w:rsidR="004C4B6C">
              <w:rPr>
                <w:noProof/>
                <w:webHidden/>
              </w:rPr>
              <w:t>135</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76" w:history="1">
            <w:r w:rsidR="004C4B6C" w:rsidRPr="000B5124">
              <w:rPr>
                <w:rStyle w:val="Hyperlink"/>
                <w:noProof/>
              </w:rPr>
              <w:t>9.3.4 Considerations before starting ART</w:t>
            </w:r>
            <w:r w:rsidR="004C4B6C">
              <w:rPr>
                <w:noProof/>
                <w:webHidden/>
              </w:rPr>
              <w:tab/>
            </w:r>
            <w:r w:rsidR="008A3C38">
              <w:rPr>
                <w:noProof/>
                <w:webHidden/>
              </w:rPr>
              <w:fldChar w:fldCharType="begin"/>
            </w:r>
            <w:r w:rsidR="004C4B6C">
              <w:rPr>
                <w:noProof/>
                <w:webHidden/>
              </w:rPr>
              <w:instrText xml:space="preserve"> PAGEREF _Toc382214076 \h </w:instrText>
            </w:r>
            <w:r w:rsidR="008A3C38">
              <w:rPr>
                <w:noProof/>
                <w:webHidden/>
              </w:rPr>
            </w:r>
            <w:r w:rsidR="008A3C38">
              <w:rPr>
                <w:noProof/>
                <w:webHidden/>
              </w:rPr>
              <w:fldChar w:fldCharType="separate"/>
            </w:r>
            <w:r w:rsidR="004C4B6C">
              <w:rPr>
                <w:noProof/>
                <w:webHidden/>
              </w:rPr>
              <w:t>135</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77" w:history="1">
            <w:r w:rsidR="004C4B6C" w:rsidRPr="000B5124">
              <w:rPr>
                <w:rStyle w:val="Hyperlink"/>
                <w:noProof/>
              </w:rPr>
              <w:t>9.4 WHAT ART REGIMEN TO START WITH (FIRST-LINE ART)</w:t>
            </w:r>
            <w:r w:rsidR="004C4B6C">
              <w:rPr>
                <w:noProof/>
                <w:webHidden/>
              </w:rPr>
              <w:tab/>
            </w:r>
            <w:r w:rsidR="008A3C38">
              <w:rPr>
                <w:noProof/>
                <w:webHidden/>
              </w:rPr>
              <w:fldChar w:fldCharType="begin"/>
            </w:r>
            <w:r w:rsidR="004C4B6C">
              <w:rPr>
                <w:noProof/>
                <w:webHidden/>
              </w:rPr>
              <w:instrText xml:space="preserve"> PAGEREF _Toc382214077 \h </w:instrText>
            </w:r>
            <w:r w:rsidR="008A3C38">
              <w:rPr>
                <w:noProof/>
                <w:webHidden/>
              </w:rPr>
            </w:r>
            <w:r w:rsidR="008A3C38">
              <w:rPr>
                <w:noProof/>
                <w:webHidden/>
              </w:rPr>
              <w:fldChar w:fldCharType="separate"/>
            </w:r>
            <w:r w:rsidR="004C4B6C">
              <w:rPr>
                <w:noProof/>
                <w:webHidden/>
              </w:rPr>
              <w:t>135</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78" w:history="1">
            <w:r w:rsidR="004C4B6C" w:rsidRPr="000B5124">
              <w:rPr>
                <w:rStyle w:val="Hyperlink"/>
                <w:noProof/>
              </w:rPr>
              <w:t>9.4.1 Introduction</w:t>
            </w:r>
            <w:r w:rsidR="004C4B6C">
              <w:rPr>
                <w:noProof/>
                <w:webHidden/>
              </w:rPr>
              <w:tab/>
            </w:r>
            <w:r w:rsidR="008A3C38">
              <w:rPr>
                <w:noProof/>
                <w:webHidden/>
              </w:rPr>
              <w:fldChar w:fldCharType="begin"/>
            </w:r>
            <w:r w:rsidR="004C4B6C">
              <w:rPr>
                <w:noProof/>
                <w:webHidden/>
              </w:rPr>
              <w:instrText xml:space="preserve"> PAGEREF _Toc382214078 \h </w:instrText>
            </w:r>
            <w:r w:rsidR="008A3C38">
              <w:rPr>
                <w:noProof/>
                <w:webHidden/>
              </w:rPr>
            </w:r>
            <w:r w:rsidR="008A3C38">
              <w:rPr>
                <w:noProof/>
                <w:webHidden/>
              </w:rPr>
              <w:fldChar w:fldCharType="separate"/>
            </w:r>
            <w:r w:rsidR="004C4B6C">
              <w:rPr>
                <w:noProof/>
                <w:webHidden/>
              </w:rPr>
              <w:t>135</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79" w:history="1">
            <w:r w:rsidR="004C4B6C" w:rsidRPr="000B5124">
              <w:rPr>
                <w:rStyle w:val="Hyperlink"/>
                <w:noProof/>
              </w:rPr>
              <w:t>9.4.2 First line ARV combination regimen for adults and adolescent ART naive patients</w:t>
            </w:r>
            <w:r w:rsidR="004C4B6C">
              <w:rPr>
                <w:noProof/>
                <w:webHidden/>
              </w:rPr>
              <w:tab/>
            </w:r>
            <w:r w:rsidR="008A3C38">
              <w:rPr>
                <w:noProof/>
                <w:webHidden/>
              </w:rPr>
              <w:fldChar w:fldCharType="begin"/>
            </w:r>
            <w:r w:rsidR="004C4B6C">
              <w:rPr>
                <w:noProof/>
                <w:webHidden/>
              </w:rPr>
              <w:instrText xml:space="preserve"> PAGEREF _Toc382214079 \h </w:instrText>
            </w:r>
            <w:r w:rsidR="008A3C38">
              <w:rPr>
                <w:noProof/>
                <w:webHidden/>
              </w:rPr>
            </w:r>
            <w:r w:rsidR="008A3C38">
              <w:rPr>
                <w:noProof/>
                <w:webHidden/>
              </w:rPr>
              <w:fldChar w:fldCharType="separate"/>
            </w:r>
            <w:r w:rsidR="004C4B6C">
              <w:rPr>
                <w:noProof/>
                <w:webHidden/>
              </w:rPr>
              <w:t>136</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80" w:history="1">
            <w:r w:rsidR="004C4B6C" w:rsidRPr="000B5124">
              <w:rPr>
                <w:rStyle w:val="Hyperlink"/>
                <w:noProof/>
              </w:rPr>
              <w:t>9.4.3 ART in Women of Childbearing Potential or Pregnant Women</w:t>
            </w:r>
            <w:r w:rsidR="004C4B6C">
              <w:rPr>
                <w:noProof/>
                <w:webHidden/>
              </w:rPr>
              <w:tab/>
            </w:r>
            <w:r w:rsidR="008A3C38">
              <w:rPr>
                <w:noProof/>
                <w:webHidden/>
              </w:rPr>
              <w:fldChar w:fldCharType="begin"/>
            </w:r>
            <w:r w:rsidR="004C4B6C">
              <w:rPr>
                <w:noProof/>
                <w:webHidden/>
              </w:rPr>
              <w:instrText xml:space="preserve"> PAGEREF _Toc382214080 \h </w:instrText>
            </w:r>
            <w:r w:rsidR="008A3C38">
              <w:rPr>
                <w:noProof/>
                <w:webHidden/>
              </w:rPr>
            </w:r>
            <w:r w:rsidR="008A3C38">
              <w:rPr>
                <w:noProof/>
                <w:webHidden/>
              </w:rPr>
              <w:fldChar w:fldCharType="separate"/>
            </w:r>
            <w:r w:rsidR="004C4B6C">
              <w:rPr>
                <w:noProof/>
                <w:webHidden/>
              </w:rPr>
              <w:t>137</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81" w:history="1">
            <w:r w:rsidR="004C4B6C" w:rsidRPr="000B5124">
              <w:rPr>
                <w:rStyle w:val="Hyperlink"/>
                <w:noProof/>
              </w:rPr>
              <w:t>9.4.4 Antiretroviral drugs for People who Inject Drugs (PWID) on Medical Assisted Therapy</w:t>
            </w:r>
            <w:r w:rsidR="004C4B6C">
              <w:rPr>
                <w:noProof/>
                <w:webHidden/>
              </w:rPr>
              <w:tab/>
            </w:r>
            <w:r w:rsidR="008A3C38">
              <w:rPr>
                <w:noProof/>
                <w:webHidden/>
              </w:rPr>
              <w:fldChar w:fldCharType="begin"/>
            </w:r>
            <w:r w:rsidR="004C4B6C">
              <w:rPr>
                <w:noProof/>
                <w:webHidden/>
              </w:rPr>
              <w:instrText xml:space="preserve"> PAGEREF _Toc382214081 \h </w:instrText>
            </w:r>
            <w:r w:rsidR="008A3C38">
              <w:rPr>
                <w:noProof/>
                <w:webHidden/>
              </w:rPr>
            </w:r>
            <w:r w:rsidR="008A3C38">
              <w:rPr>
                <w:noProof/>
                <w:webHidden/>
              </w:rPr>
              <w:fldChar w:fldCharType="separate"/>
            </w:r>
            <w:r w:rsidR="004C4B6C">
              <w:rPr>
                <w:noProof/>
                <w:webHidden/>
              </w:rPr>
              <w:t>137</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82" w:history="1">
            <w:r w:rsidR="004C4B6C" w:rsidRPr="000B5124">
              <w:rPr>
                <w:rStyle w:val="Hyperlink"/>
                <w:noProof/>
              </w:rPr>
              <w:t>9.5 CHANGING ANTIRETROVIRAL THERAPY</w:t>
            </w:r>
            <w:r w:rsidR="004C4B6C">
              <w:rPr>
                <w:noProof/>
                <w:webHidden/>
              </w:rPr>
              <w:tab/>
            </w:r>
            <w:r w:rsidR="008A3C38">
              <w:rPr>
                <w:noProof/>
                <w:webHidden/>
              </w:rPr>
              <w:fldChar w:fldCharType="begin"/>
            </w:r>
            <w:r w:rsidR="004C4B6C">
              <w:rPr>
                <w:noProof/>
                <w:webHidden/>
              </w:rPr>
              <w:instrText xml:space="preserve"> PAGEREF _Toc382214082 \h </w:instrText>
            </w:r>
            <w:r w:rsidR="008A3C38">
              <w:rPr>
                <w:noProof/>
                <w:webHidden/>
              </w:rPr>
            </w:r>
            <w:r w:rsidR="008A3C38">
              <w:rPr>
                <w:noProof/>
                <w:webHidden/>
              </w:rPr>
              <w:fldChar w:fldCharType="separate"/>
            </w:r>
            <w:r w:rsidR="004C4B6C">
              <w:rPr>
                <w:noProof/>
                <w:webHidden/>
              </w:rPr>
              <w:t>138</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83" w:history="1">
            <w:r w:rsidR="004C4B6C" w:rsidRPr="000B5124">
              <w:rPr>
                <w:rStyle w:val="Hyperlink"/>
                <w:noProof/>
              </w:rPr>
              <w:t>9.5.1 Changing antiretroviral therapy due to toxicity</w:t>
            </w:r>
            <w:r w:rsidR="004C4B6C">
              <w:rPr>
                <w:noProof/>
                <w:webHidden/>
              </w:rPr>
              <w:tab/>
            </w:r>
            <w:r w:rsidR="008A3C38">
              <w:rPr>
                <w:noProof/>
                <w:webHidden/>
              </w:rPr>
              <w:fldChar w:fldCharType="begin"/>
            </w:r>
            <w:r w:rsidR="004C4B6C">
              <w:rPr>
                <w:noProof/>
                <w:webHidden/>
              </w:rPr>
              <w:instrText xml:space="preserve"> PAGEREF _Toc382214083 \h </w:instrText>
            </w:r>
            <w:r w:rsidR="008A3C38">
              <w:rPr>
                <w:noProof/>
                <w:webHidden/>
              </w:rPr>
            </w:r>
            <w:r w:rsidR="008A3C38">
              <w:rPr>
                <w:noProof/>
                <w:webHidden/>
              </w:rPr>
              <w:fldChar w:fldCharType="separate"/>
            </w:r>
            <w:r w:rsidR="004C4B6C">
              <w:rPr>
                <w:noProof/>
                <w:webHidden/>
              </w:rPr>
              <w:t>138</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84" w:history="1">
            <w:r w:rsidR="004C4B6C" w:rsidRPr="000B5124">
              <w:rPr>
                <w:rStyle w:val="Hyperlink"/>
                <w:noProof/>
              </w:rPr>
              <w:t>9.5.2 Changing antiretroviral therapy due to treatment failure</w:t>
            </w:r>
            <w:r w:rsidR="004C4B6C">
              <w:rPr>
                <w:noProof/>
                <w:webHidden/>
              </w:rPr>
              <w:tab/>
            </w:r>
            <w:r w:rsidR="008A3C38">
              <w:rPr>
                <w:noProof/>
                <w:webHidden/>
              </w:rPr>
              <w:fldChar w:fldCharType="begin"/>
            </w:r>
            <w:r w:rsidR="004C4B6C">
              <w:rPr>
                <w:noProof/>
                <w:webHidden/>
              </w:rPr>
              <w:instrText xml:space="preserve"> PAGEREF _Toc382214084 \h </w:instrText>
            </w:r>
            <w:r w:rsidR="008A3C38">
              <w:rPr>
                <w:noProof/>
                <w:webHidden/>
              </w:rPr>
            </w:r>
            <w:r w:rsidR="008A3C38">
              <w:rPr>
                <w:noProof/>
                <w:webHidden/>
              </w:rPr>
              <w:fldChar w:fldCharType="separate"/>
            </w:r>
            <w:r w:rsidR="004C4B6C">
              <w:rPr>
                <w:noProof/>
                <w:webHidden/>
              </w:rPr>
              <w:t>144</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85" w:history="1">
            <w:r w:rsidR="004C4B6C" w:rsidRPr="000B5124">
              <w:rPr>
                <w:rStyle w:val="Hyperlink"/>
                <w:noProof/>
              </w:rPr>
              <w:t>9.6 MONITORING PATIENTS ON ARV THERAPY</w:t>
            </w:r>
            <w:r w:rsidR="004C4B6C">
              <w:rPr>
                <w:noProof/>
                <w:webHidden/>
              </w:rPr>
              <w:tab/>
            </w:r>
            <w:r w:rsidR="008A3C38">
              <w:rPr>
                <w:noProof/>
                <w:webHidden/>
              </w:rPr>
              <w:fldChar w:fldCharType="begin"/>
            </w:r>
            <w:r w:rsidR="004C4B6C">
              <w:rPr>
                <w:noProof/>
                <w:webHidden/>
              </w:rPr>
              <w:instrText xml:space="preserve"> PAGEREF _Toc382214085 \h </w:instrText>
            </w:r>
            <w:r w:rsidR="008A3C38">
              <w:rPr>
                <w:noProof/>
                <w:webHidden/>
              </w:rPr>
            </w:r>
            <w:r w:rsidR="008A3C38">
              <w:rPr>
                <w:noProof/>
                <w:webHidden/>
              </w:rPr>
              <w:fldChar w:fldCharType="separate"/>
            </w:r>
            <w:r w:rsidR="004C4B6C">
              <w:rPr>
                <w:noProof/>
                <w:webHidden/>
              </w:rPr>
              <w:t>145</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86" w:history="1">
            <w:r w:rsidR="004C4B6C" w:rsidRPr="000B5124">
              <w:rPr>
                <w:rStyle w:val="Hyperlink"/>
                <w:noProof/>
              </w:rPr>
              <w:t>9.6.1 Clinical and laboratory monitoring of patients on first line drug regimen</w:t>
            </w:r>
            <w:r w:rsidR="004C4B6C">
              <w:rPr>
                <w:noProof/>
                <w:webHidden/>
              </w:rPr>
              <w:tab/>
            </w:r>
            <w:r w:rsidR="008A3C38">
              <w:rPr>
                <w:noProof/>
                <w:webHidden/>
              </w:rPr>
              <w:fldChar w:fldCharType="begin"/>
            </w:r>
            <w:r w:rsidR="004C4B6C">
              <w:rPr>
                <w:noProof/>
                <w:webHidden/>
              </w:rPr>
              <w:instrText xml:space="preserve"> PAGEREF _Toc382214086 \h </w:instrText>
            </w:r>
            <w:r w:rsidR="008A3C38">
              <w:rPr>
                <w:noProof/>
                <w:webHidden/>
              </w:rPr>
            </w:r>
            <w:r w:rsidR="008A3C38">
              <w:rPr>
                <w:noProof/>
                <w:webHidden/>
              </w:rPr>
              <w:fldChar w:fldCharType="separate"/>
            </w:r>
            <w:r w:rsidR="004C4B6C">
              <w:rPr>
                <w:noProof/>
                <w:webHidden/>
              </w:rPr>
              <w:t>145</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87" w:history="1">
            <w:r w:rsidR="004C4B6C" w:rsidRPr="000B5124">
              <w:rPr>
                <w:rStyle w:val="Hyperlink"/>
                <w:noProof/>
              </w:rPr>
              <w:t>9.7 Immune Reconstitution Inflammatory Syndrome (IRIS)</w:t>
            </w:r>
            <w:r w:rsidR="004C4B6C">
              <w:rPr>
                <w:noProof/>
                <w:webHidden/>
              </w:rPr>
              <w:tab/>
            </w:r>
            <w:r w:rsidR="008A3C38">
              <w:rPr>
                <w:noProof/>
                <w:webHidden/>
              </w:rPr>
              <w:fldChar w:fldCharType="begin"/>
            </w:r>
            <w:r w:rsidR="004C4B6C">
              <w:rPr>
                <w:noProof/>
                <w:webHidden/>
              </w:rPr>
              <w:instrText xml:space="preserve"> PAGEREF _Toc382214087 \h </w:instrText>
            </w:r>
            <w:r w:rsidR="008A3C38">
              <w:rPr>
                <w:noProof/>
                <w:webHidden/>
              </w:rPr>
            </w:r>
            <w:r w:rsidR="008A3C38">
              <w:rPr>
                <w:noProof/>
                <w:webHidden/>
              </w:rPr>
              <w:fldChar w:fldCharType="separate"/>
            </w:r>
            <w:r w:rsidR="004C4B6C">
              <w:rPr>
                <w:noProof/>
                <w:webHidden/>
              </w:rPr>
              <w:t>147</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88" w:history="1">
            <w:r w:rsidR="004C4B6C" w:rsidRPr="000B5124">
              <w:rPr>
                <w:rStyle w:val="Hyperlink"/>
                <w:noProof/>
              </w:rPr>
              <w:t>9.8 SECOND-LINE ARV REGIMEN</w:t>
            </w:r>
            <w:r w:rsidR="004C4B6C">
              <w:rPr>
                <w:noProof/>
                <w:webHidden/>
              </w:rPr>
              <w:tab/>
            </w:r>
            <w:r w:rsidR="008A3C38">
              <w:rPr>
                <w:noProof/>
                <w:webHidden/>
              </w:rPr>
              <w:fldChar w:fldCharType="begin"/>
            </w:r>
            <w:r w:rsidR="004C4B6C">
              <w:rPr>
                <w:noProof/>
                <w:webHidden/>
              </w:rPr>
              <w:instrText xml:space="preserve"> PAGEREF _Toc382214088 \h </w:instrText>
            </w:r>
            <w:r w:rsidR="008A3C38">
              <w:rPr>
                <w:noProof/>
                <w:webHidden/>
              </w:rPr>
            </w:r>
            <w:r w:rsidR="008A3C38">
              <w:rPr>
                <w:noProof/>
                <w:webHidden/>
              </w:rPr>
              <w:fldChar w:fldCharType="separate"/>
            </w:r>
            <w:r w:rsidR="004C4B6C">
              <w:rPr>
                <w:noProof/>
                <w:webHidden/>
              </w:rPr>
              <w:t>149</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89" w:history="1">
            <w:r w:rsidR="004C4B6C" w:rsidRPr="000B5124">
              <w:rPr>
                <w:rStyle w:val="Hyperlink"/>
                <w:noProof/>
              </w:rPr>
              <w:t>9.8.1 Second-line antiretroviral therapy in adults and adolescents</w:t>
            </w:r>
            <w:r w:rsidR="004C4B6C">
              <w:rPr>
                <w:noProof/>
                <w:webHidden/>
              </w:rPr>
              <w:tab/>
            </w:r>
            <w:r w:rsidR="008A3C38">
              <w:rPr>
                <w:noProof/>
                <w:webHidden/>
              </w:rPr>
              <w:fldChar w:fldCharType="begin"/>
            </w:r>
            <w:r w:rsidR="004C4B6C">
              <w:rPr>
                <w:noProof/>
                <w:webHidden/>
              </w:rPr>
              <w:instrText xml:space="preserve"> PAGEREF _Toc382214089 \h </w:instrText>
            </w:r>
            <w:r w:rsidR="008A3C38">
              <w:rPr>
                <w:noProof/>
                <w:webHidden/>
              </w:rPr>
            </w:r>
            <w:r w:rsidR="008A3C38">
              <w:rPr>
                <w:noProof/>
                <w:webHidden/>
              </w:rPr>
              <w:fldChar w:fldCharType="separate"/>
            </w:r>
            <w:r w:rsidR="004C4B6C">
              <w:rPr>
                <w:noProof/>
                <w:webHidden/>
              </w:rPr>
              <w:t>149</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90" w:history="1">
            <w:r w:rsidR="004C4B6C" w:rsidRPr="000B5124">
              <w:rPr>
                <w:rStyle w:val="Hyperlink"/>
                <w:noProof/>
              </w:rPr>
              <w:t>9.8.2 Laboratory Monitoring of patients on second line drugs</w:t>
            </w:r>
            <w:r w:rsidR="004C4B6C">
              <w:rPr>
                <w:noProof/>
                <w:webHidden/>
              </w:rPr>
              <w:tab/>
            </w:r>
            <w:r w:rsidR="008A3C38">
              <w:rPr>
                <w:noProof/>
                <w:webHidden/>
              </w:rPr>
              <w:fldChar w:fldCharType="begin"/>
            </w:r>
            <w:r w:rsidR="004C4B6C">
              <w:rPr>
                <w:noProof/>
                <w:webHidden/>
              </w:rPr>
              <w:instrText xml:space="preserve"> PAGEREF _Toc382214090 \h </w:instrText>
            </w:r>
            <w:r w:rsidR="008A3C38">
              <w:rPr>
                <w:noProof/>
                <w:webHidden/>
              </w:rPr>
            </w:r>
            <w:r w:rsidR="008A3C38">
              <w:rPr>
                <w:noProof/>
                <w:webHidden/>
              </w:rPr>
              <w:fldChar w:fldCharType="separate"/>
            </w:r>
            <w:r w:rsidR="004C4B6C">
              <w:rPr>
                <w:noProof/>
                <w:webHidden/>
              </w:rPr>
              <w:t>150</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91" w:history="1">
            <w:r w:rsidR="004C4B6C" w:rsidRPr="000B5124">
              <w:rPr>
                <w:rStyle w:val="Hyperlink"/>
                <w:noProof/>
              </w:rPr>
              <w:t>9.8.3 Treatment failure with second line regimens</w:t>
            </w:r>
            <w:r w:rsidR="004C4B6C">
              <w:rPr>
                <w:noProof/>
                <w:webHidden/>
              </w:rPr>
              <w:tab/>
            </w:r>
            <w:r w:rsidR="008A3C38">
              <w:rPr>
                <w:noProof/>
                <w:webHidden/>
              </w:rPr>
              <w:fldChar w:fldCharType="begin"/>
            </w:r>
            <w:r w:rsidR="004C4B6C">
              <w:rPr>
                <w:noProof/>
                <w:webHidden/>
              </w:rPr>
              <w:instrText xml:space="preserve"> PAGEREF _Toc382214091 \h </w:instrText>
            </w:r>
            <w:r w:rsidR="008A3C38">
              <w:rPr>
                <w:noProof/>
                <w:webHidden/>
              </w:rPr>
            </w:r>
            <w:r w:rsidR="008A3C38">
              <w:rPr>
                <w:noProof/>
                <w:webHidden/>
              </w:rPr>
              <w:fldChar w:fldCharType="separate"/>
            </w:r>
            <w:r w:rsidR="004C4B6C">
              <w:rPr>
                <w:noProof/>
                <w:webHidden/>
              </w:rPr>
              <w:t>151</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092" w:history="1">
            <w:r w:rsidR="004C4B6C" w:rsidRPr="000B5124">
              <w:rPr>
                <w:rStyle w:val="Hyperlink"/>
                <w:noProof/>
              </w:rPr>
              <w:t>9.9 Antiretroviral Therapy in Children</w:t>
            </w:r>
            <w:r w:rsidR="004C4B6C">
              <w:rPr>
                <w:noProof/>
                <w:webHidden/>
              </w:rPr>
              <w:tab/>
            </w:r>
            <w:r w:rsidR="008A3C38">
              <w:rPr>
                <w:noProof/>
                <w:webHidden/>
              </w:rPr>
              <w:fldChar w:fldCharType="begin"/>
            </w:r>
            <w:r w:rsidR="004C4B6C">
              <w:rPr>
                <w:noProof/>
                <w:webHidden/>
              </w:rPr>
              <w:instrText xml:space="preserve"> PAGEREF _Toc382214092 \h </w:instrText>
            </w:r>
            <w:r w:rsidR="008A3C38">
              <w:rPr>
                <w:noProof/>
                <w:webHidden/>
              </w:rPr>
            </w:r>
            <w:r w:rsidR="008A3C38">
              <w:rPr>
                <w:noProof/>
                <w:webHidden/>
              </w:rPr>
              <w:fldChar w:fldCharType="separate"/>
            </w:r>
            <w:r w:rsidR="004C4B6C">
              <w:rPr>
                <w:noProof/>
                <w:webHidden/>
              </w:rPr>
              <w:t>151</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93" w:history="1">
            <w:r w:rsidR="004C4B6C" w:rsidRPr="000B5124">
              <w:rPr>
                <w:rStyle w:val="Hyperlink"/>
                <w:noProof/>
              </w:rPr>
              <w:t>9.9.1 Goals of Antiretroviral Therapy in Children</w:t>
            </w:r>
            <w:r w:rsidR="004C4B6C">
              <w:rPr>
                <w:noProof/>
                <w:webHidden/>
              </w:rPr>
              <w:tab/>
            </w:r>
            <w:r w:rsidR="008A3C38">
              <w:rPr>
                <w:noProof/>
                <w:webHidden/>
              </w:rPr>
              <w:fldChar w:fldCharType="begin"/>
            </w:r>
            <w:r w:rsidR="004C4B6C">
              <w:rPr>
                <w:noProof/>
                <w:webHidden/>
              </w:rPr>
              <w:instrText xml:space="preserve"> PAGEREF _Toc382214093 \h </w:instrText>
            </w:r>
            <w:r w:rsidR="008A3C38">
              <w:rPr>
                <w:noProof/>
                <w:webHidden/>
              </w:rPr>
            </w:r>
            <w:r w:rsidR="008A3C38">
              <w:rPr>
                <w:noProof/>
                <w:webHidden/>
              </w:rPr>
              <w:fldChar w:fldCharType="separate"/>
            </w:r>
            <w:r w:rsidR="004C4B6C">
              <w:rPr>
                <w:noProof/>
                <w:webHidden/>
              </w:rPr>
              <w:t>151</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94" w:history="1">
            <w:r w:rsidR="004C4B6C" w:rsidRPr="000B5124">
              <w:rPr>
                <w:rStyle w:val="Hyperlink"/>
                <w:noProof/>
              </w:rPr>
              <w:t>9.9.2 When to start ART in children</w:t>
            </w:r>
            <w:r w:rsidR="004C4B6C">
              <w:rPr>
                <w:noProof/>
                <w:webHidden/>
              </w:rPr>
              <w:tab/>
            </w:r>
            <w:r w:rsidR="008A3C38">
              <w:rPr>
                <w:noProof/>
                <w:webHidden/>
              </w:rPr>
              <w:fldChar w:fldCharType="begin"/>
            </w:r>
            <w:r w:rsidR="004C4B6C">
              <w:rPr>
                <w:noProof/>
                <w:webHidden/>
              </w:rPr>
              <w:instrText xml:space="preserve"> PAGEREF _Toc382214094 \h </w:instrText>
            </w:r>
            <w:r w:rsidR="008A3C38">
              <w:rPr>
                <w:noProof/>
                <w:webHidden/>
              </w:rPr>
            </w:r>
            <w:r w:rsidR="008A3C38">
              <w:rPr>
                <w:noProof/>
                <w:webHidden/>
              </w:rPr>
              <w:fldChar w:fldCharType="separate"/>
            </w:r>
            <w:r w:rsidR="004C4B6C">
              <w:rPr>
                <w:noProof/>
                <w:webHidden/>
              </w:rPr>
              <w:t>152</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95" w:history="1">
            <w:r w:rsidR="004C4B6C" w:rsidRPr="000B5124">
              <w:rPr>
                <w:rStyle w:val="Hyperlink"/>
                <w:noProof/>
              </w:rPr>
              <w:t>9.9.3 First-Line ARV Regimens in Infants and Children</w:t>
            </w:r>
            <w:r w:rsidR="004C4B6C">
              <w:rPr>
                <w:noProof/>
                <w:webHidden/>
              </w:rPr>
              <w:tab/>
            </w:r>
            <w:r w:rsidR="008A3C38">
              <w:rPr>
                <w:noProof/>
                <w:webHidden/>
              </w:rPr>
              <w:fldChar w:fldCharType="begin"/>
            </w:r>
            <w:r w:rsidR="004C4B6C">
              <w:rPr>
                <w:noProof/>
                <w:webHidden/>
              </w:rPr>
              <w:instrText xml:space="preserve"> PAGEREF _Toc382214095 \h </w:instrText>
            </w:r>
            <w:r w:rsidR="008A3C38">
              <w:rPr>
                <w:noProof/>
                <w:webHidden/>
              </w:rPr>
            </w:r>
            <w:r w:rsidR="008A3C38">
              <w:rPr>
                <w:noProof/>
                <w:webHidden/>
              </w:rPr>
              <w:fldChar w:fldCharType="separate"/>
            </w:r>
            <w:r w:rsidR="004C4B6C">
              <w:rPr>
                <w:noProof/>
                <w:webHidden/>
              </w:rPr>
              <w:t>153</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96" w:history="1">
            <w:r w:rsidR="004C4B6C" w:rsidRPr="000B5124">
              <w:rPr>
                <w:rStyle w:val="Hyperlink"/>
                <w:noProof/>
              </w:rPr>
              <w:t>9.9.4 Reasons for Changing ARV Therapy in Infants and Children</w:t>
            </w:r>
            <w:r w:rsidR="004C4B6C">
              <w:rPr>
                <w:noProof/>
                <w:webHidden/>
              </w:rPr>
              <w:tab/>
            </w:r>
            <w:r w:rsidR="008A3C38">
              <w:rPr>
                <w:noProof/>
                <w:webHidden/>
              </w:rPr>
              <w:fldChar w:fldCharType="begin"/>
            </w:r>
            <w:r w:rsidR="004C4B6C">
              <w:rPr>
                <w:noProof/>
                <w:webHidden/>
              </w:rPr>
              <w:instrText xml:space="preserve"> PAGEREF _Toc382214096 \h </w:instrText>
            </w:r>
            <w:r w:rsidR="008A3C38">
              <w:rPr>
                <w:noProof/>
                <w:webHidden/>
              </w:rPr>
            </w:r>
            <w:r w:rsidR="008A3C38">
              <w:rPr>
                <w:noProof/>
                <w:webHidden/>
              </w:rPr>
              <w:fldChar w:fldCharType="separate"/>
            </w:r>
            <w:r w:rsidR="004C4B6C">
              <w:rPr>
                <w:noProof/>
                <w:webHidden/>
              </w:rPr>
              <w:t>154</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97" w:history="1">
            <w:r w:rsidR="004C4B6C" w:rsidRPr="000B5124">
              <w:rPr>
                <w:rStyle w:val="Hyperlink"/>
                <w:noProof/>
              </w:rPr>
              <w:t>9.9.5 Clinical Assessment of Infants and Children Receiving ARV Therapy</w:t>
            </w:r>
            <w:r w:rsidR="004C4B6C">
              <w:rPr>
                <w:noProof/>
                <w:webHidden/>
              </w:rPr>
              <w:tab/>
            </w:r>
            <w:r w:rsidR="008A3C38">
              <w:rPr>
                <w:noProof/>
                <w:webHidden/>
              </w:rPr>
              <w:fldChar w:fldCharType="begin"/>
            </w:r>
            <w:r w:rsidR="004C4B6C">
              <w:rPr>
                <w:noProof/>
                <w:webHidden/>
              </w:rPr>
              <w:instrText xml:space="preserve"> PAGEREF _Toc382214097 \h </w:instrText>
            </w:r>
            <w:r w:rsidR="008A3C38">
              <w:rPr>
                <w:noProof/>
                <w:webHidden/>
              </w:rPr>
            </w:r>
            <w:r w:rsidR="008A3C38">
              <w:rPr>
                <w:noProof/>
                <w:webHidden/>
              </w:rPr>
              <w:fldChar w:fldCharType="separate"/>
            </w:r>
            <w:r w:rsidR="004C4B6C">
              <w:rPr>
                <w:noProof/>
                <w:webHidden/>
              </w:rPr>
              <w:t>156</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98" w:history="1">
            <w:r w:rsidR="004C4B6C" w:rsidRPr="000B5124">
              <w:rPr>
                <w:rStyle w:val="Hyperlink"/>
                <w:noProof/>
              </w:rPr>
              <w:t>9.9.6 Recommended Second-Line ARV Therapy for Infants and Children</w:t>
            </w:r>
            <w:r w:rsidR="004C4B6C">
              <w:rPr>
                <w:noProof/>
                <w:webHidden/>
              </w:rPr>
              <w:tab/>
            </w:r>
            <w:r w:rsidR="008A3C38">
              <w:rPr>
                <w:noProof/>
                <w:webHidden/>
              </w:rPr>
              <w:fldChar w:fldCharType="begin"/>
            </w:r>
            <w:r w:rsidR="004C4B6C">
              <w:rPr>
                <w:noProof/>
                <w:webHidden/>
              </w:rPr>
              <w:instrText xml:space="preserve"> PAGEREF _Toc382214098 \h </w:instrText>
            </w:r>
            <w:r w:rsidR="008A3C38">
              <w:rPr>
                <w:noProof/>
                <w:webHidden/>
              </w:rPr>
            </w:r>
            <w:r w:rsidR="008A3C38">
              <w:rPr>
                <w:noProof/>
                <w:webHidden/>
              </w:rPr>
              <w:fldChar w:fldCharType="separate"/>
            </w:r>
            <w:r w:rsidR="004C4B6C">
              <w:rPr>
                <w:noProof/>
                <w:webHidden/>
              </w:rPr>
              <w:t>156</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099" w:history="1">
            <w:r w:rsidR="004C4B6C" w:rsidRPr="000B5124">
              <w:rPr>
                <w:rStyle w:val="Hyperlink"/>
                <w:rFonts w:eastAsia="CronosPro-SemiboldCapt"/>
                <w:noProof/>
              </w:rPr>
              <w:t>9.9.7 Adverse reactions in children</w:t>
            </w:r>
            <w:r w:rsidR="004C4B6C">
              <w:rPr>
                <w:noProof/>
                <w:webHidden/>
              </w:rPr>
              <w:tab/>
            </w:r>
            <w:r w:rsidR="008A3C38">
              <w:rPr>
                <w:noProof/>
                <w:webHidden/>
              </w:rPr>
              <w:fldChar w:fldCharType="begin"/>
            </w:r>
            <w:r w:rsidR="004C4B6C">
              <w:rPr>
                <w:noProof/>
                <w:webHidden/>
              </w:rPr>
              <w:instrText xml:space="preserve"> PAGEREF _Toc382214099 \h </w:instrText>
            </w:r>
            <w:r w:rsidR="008A3C38">
              <w:rPr>
                <w:noProof/>
                <w:webHidden/>
              </w:rPr>
            </w:r>
            <w:r w:rsidR="008A3C38">
              <w:rPr>
                <w:noProof/>
                <w:webHidden/>
              </w:rPr>
              <w:fldChar w:fldCharType="separate"/>
            </w:r>
            <w:r w:rsidR="004C4B6C">
              <w:rPr>
                <w:noProof/>
                <w:webHidden/>
              </w:rPr>
              <w:t>158</w:t>
            </w:r>
            <w:r w:rsidR="008A3C38">
              <w:rPr>
                <w:noProof/>
                <w:webHidden/>
              </w:rPr>
              <w:fldChar w:fldCharType="end"/>
            </w:r>
          </w:hyperlink>
        </w:p>
        <w:p w:rsidR="004C4B6C" w:rsidRDefault="001D28FE">
          <w:pPr>
            <w:pStyle w:val="TOC1"/>
            <w:tabs>
              <w:tab w:val="right" w:leader="dot" w:pos="9350"/>
            </w:tabs>
            <w:rPr>
              <w:rFonts w:asciiTheme="minorHAnsi" w:eastAsiaTheme="minorEastAsia" w:hAnsiTheme="minorHAnsi" w:cstheme="minorBidi"/>
              <w:noProof/>
              <w:color w:val="auto"/>
            </w:rPr>
          </w:pPr>
          <w:hyperlink w:anchor="_Toc382214100" w:history="1">
            <w:r w:rsidR="004C4B6C" w:rsidRPr="000B5124">
              <w:rPr>
                <w:rStyle w:val="Hyperlink"/>
                <w:noProof/>
              </w:rPr>
              <w:t>CHAPTER 10: TB AND HIV CO-INFECTION</w:t>
            </w:r>
            <w:r w:rsidR="004C4B6C">
              <w:rPr>
                <w:noProof/>
                <w:webHidden/>
              </w:rPr>
              <w:tab/>
            </w:r>
            <w:r w:rsidR="008A3C38">
              <w:rPr>
                <w:noProof/>
                <w:webHidden/>
              </w:rPr>
              <w:fldChar w:fldCharType="begin"/>
            </w:r>
            <w:r w:rsidR="004C4B6C">
              <w:rPr>
                <w:noProof/>
                <w:webHidden/>
              </w:rPr>
              <w:instrText xml:space="preserve"> PAGEREF _Toc382214100 \h </w:instrText>
            </w:r>
            <w:r w:rsidR="008A3C38">
              <w:rPr>
                <w:noProof/>
                <w:webHidden/>
              </w:rPr>
            </w:r>
            <w:r w:rsidR="008A3C38">
              <w:rPr>
                <w:noProof/>
                <w:webHidden/>
              </w:rPr>
              <w:fldChar w:fldCharType="separate"/>
            </w:r>
            <w:r w:rsidR="004C4B6C">
              <w:rPr>
                <w:noProof/>
                <w:webHidden/>
              </w:rPr>
              <w:t>162</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01" w:history="1">
            <w:r w:rsidR="004C4B6C" w:rsidRPr="000B5124">
              <w:rPr>
                <w:rStyle w:val="Hyperlink"/>
                <w:noProof/>
              </w:rPr>
              <w:t>10.1. Introduction</w:t>
            </w:r>
            <w:r w:rsidR="004C4B6C">
              <w:rPr>
                <w:noProof/>
                <w:webHidden/>
              </w:rPr>
              <w:tab/>
            </w:r>
            <w:r w:rsidR="008A3C38">
              <w:rPr>
                <w:noProof/>
                <w:webHidden/>
              </w:rPr>
              <w:fldChar w:fldCharType="begin"/>
            </w:r>
            <w:r w:rsidR="004C4B6C">
              <w:rPr>
                <w:noProof/>
                <w:webHidden/>
              </w:rPr>
              <w:instrText xml:space="preserve"> PAGEREF _Toc382214101 \h </w:instrText>
            </w:r>
            <w:r w:rsidR="008A3C38">
              <w:rPr>
                <w:noProof/>
                <w:webHidden/>
              </w:rPr>
            </w:r>
            <w:r w:rsidR="008A3C38">
              <w:rPr>
                <w:noProof/>
                <w:webHidden/>
              </w:rPr>
              <w:fldChar w:fldCharType="separate"/>
            </w:r>
            <w:r w:rsidR="004C4B6C">
              <w:rPr>
                <w:noProof/>
                <w:webHidden/>
              </w:rPr>
              <w:t>162</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02" w:history="1">
            <w:r w:rsidR="004C4B6C" w:rsidRPr="000B5124">
              <w:rPr>
                <w:rStyle w:val="Hyperlink"/>
                <w:noProof/>
              </w:rPr>
              <w:t>10.2. TB Management in HIV and AIDS Patients</w:t>
            </w:r>
            <w:r w:rsidR="004C4B6C">
              <w:rPr>
                <w:noProof/>
                <w:webHidden/>
              </w:rPr>
              <w:tab/>
            </w:r>
            <w:r w:rsidR="008A3C38">
              <w:rPr>
                <w:noProof/>
                <w:webHidden/>
              </w:rPr>
              <w:fldChar w:fldCharType="begin"/>
            </w:r>
            <w:r w:rsidR="004C4B6C">
              <w:rPr>
                <w:noProof/>
                <w:webHidden/>
              </w:rPr>
              <w:instrText xml:space="preserve"> PAGEREF _Toc382214102 \h </w:instrText>
            </w:r>
            <w:r w:rsidR="008A3C38">
              <w:rPr>
                <w:noProof/>
                <w:webHidden/>
              </w:rPr>
            </w:r>
            <w:r w:rsidR="008A3C38">
              <w:rPr>
                <w:noProof/>
                <w:webHidden/>
              </w:rPr>
              <w:fldChar w:fldCharType="separate"/>
            </w:r>
            <w:r w:rsidR="004C4B6C">
              <w:rPr>
                <w:noProof/>
                <w:webHidden/>
              </w:rPr>
              <w:t>162</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03" w:history="1">
            <w:r w:rsidR="004C4B6C" w:rsidRPr="000B5124">
              <w:rPr>
                <w:rStyle w:val="Hyperlink"/>
                <w:noProof/>
              </w:rPr>
              <w:t>10.2.1. Pattern of HIV-related TB</w:t>
            </w:r>
            <w:r w:rsidR="004C4B6C">
              <w:rPr>
                <w:noProof/>
                <w:webHidden/>
              </w:rPr>
              <w:tab/>
            </w:r>
            <w:r w:rsidR="008A3C38">
              <w:rPr>
                <w:noProof/>
                <w:webHidden/>
              </w:rPr>
              <w:fldChar w:fldCharType="begin"/>
            </w:r>
            <w:r w:rsidR="004C4B6C">
              <w:rPr>
                <w:noProof/>
                <w:webHidden/>
              </w:rPr>
              <w:instrText xml:space="preserve"> PAGEREF _Toc382214103 \h </w:instrText>
            </w:r>
            <w:r w:rsidR="008A3C38">
              <w:rPr>
                <w:noProof/>
                <w:webHidden/>
              </w:rPr>
            </w:r>
            <w:r w:rsidR="008A3C38">
              <w:rPr>
                <w:noProof/>
                <w:webHidden/>
              </w:rPr>
              <w:fldChar w:fldCharType="separate"/>
            </w:r>
            <w:r w:rsidR="004C4B6C">
              <w:rPr>
                <w:noProof/>
                <w:webHidden/>
              </w:rPr>
              <w:t>162</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04" w:history="1">
            <w:r w:rsidR="004C4B6C" w:rsidRPr="000B5124">
              <w:rPr>
                <w:rStyle w:val="Hyperlink"/>
                <w:noProof/>
              </w:rPr>
              <w:t>10.2.2. Pulmonary TB</w:t>
            </w:r>
            <w:r w:rsidR="004C4B6C">
              <w:rPr>
                <w:noProof/>
                <w:webHidden/>
              </w:rPr>
              <w:tab/>
            </w:r>
            <w:r w:rsidR="008A3C38">
              <w:rPr>
                <w:noProof/>
                <w:webHidden/>
              </w:rPr>
              <w:fldChar w:fldCharType="begin"/>
            </w:r>
            <w:r w:rsidR="004C4B6C">
              <w:rPr>
                <w:noProof/>
                <w:webHidden/>
              </w:rPr>
              <w:instrText xml:space="preserve"> PAGEREF _Toc382214104 \h </w:instrText>
            </w:r>
            <w:r w:rsidR="008A3C38">
              <w:rPr>
                <w:noProof/>
                <w:webHidden/>
              </w:rPr>
            </w:r>
            <w:r w:rsidR="008A3C38">
              <w:rPr>
                <w:noProof/>
                <w:webHidden/>
              </w:rPr>
              <w:fldChar w:fldCharType="separate"/>
            </w:r>
            <w:r w:rsidR="004C4B6C">
              <w:rPr>
                <w:noProof/>
                <w:webHidden/>
              </w:rPr>
              <w:t>162</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05" w:history="1">
            <w:r w:rsidR="004C4B6C" w:rsidRPr="000B5124">
              <w:rPr>
                <w:rStyle w:val="Hyperlink"/>
                <w:noProof/>
              </w:rPr>
              <w:t>10.2.3. Extra-pulmonary tuberculosis (EPTB)</w:t>
            </w:r>
            <w:r w:rsidR="004C4B6C">
              <w:rPr>
                <w:noProof/>
                <w:webHidden/>
              </w:rPr>
              <w:tab/>
            </w:r>
            <w:r w:rsidR="008A3C38">
              <w:rPr>
                <w:noProof/>
                <w:webHidden/>
              </w:rPr>
              <w:fldChar w:fldCharType="begin"/>
            </w:r>
            <w:r w:rsidR="004C4B6C">
              <w:rPr>
                <w:noProof/>
                <w:webHidden/>
              </w:rPr>
              <w:instrText xml:space="preserve"> PAGEREF _Toc382214105 \h </w:instrText>
            </w:r>
            <w:r w:rsidR="008A3C38">
              <w:rPr>
                <w:noProof/>
                <w:webHidden/>
              </w:rPr>
            </w:r>
            <w:r w:rsidR="008A3C38">
              <w:rPr>
                <w:noProof/>
                <w:webHidden/>
              </w:rPr>
              <w:fldChar w:fldCharType="separate"/>
            </w:r>
            <w:r w:rsidR="004C4B6C">
              <w:rPr>
                <w:noProof/>
                <w:webHidden/>
              </w:rPr>
              <w:t>162</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06" w:history="1">
            <w:r w:rsidR="004C4B6C" w:rsidRPr="000B5124">
              <w:rPr>
                <w:rStyle w:val="Hyperlink"/>
                <w:noProof/>
              </w:rPr>
              <w:t>10.2.4 Tuberculosis diagnostic approaches</w:t>
            </w:r>
            <w:r w:rsidR="004C4B6C">
              <w:rPr>
                <w:noProof/>
                <w:webHidden/>
              </w:rPr>
              <w:tab/>
            </w:r>
            <w:r w:rsidR="008A3C38">
              <w:rPr>
                <w:noProof/>
                <w:webHidden/>
              </w:rPr>
              <w:fldChar w:fldCharType="begin"/>
            </w:r>
            <w:r w:rsidR="004C4B6C">
              <w:rPr>
                <w:noProof/>
                <w:webHidden/>
              </w:rPr>
              <w:instrText xml:space="preserve"> PAGEREF _Toc382214106 \h </w:instrText>
            </w:r>
            <w:r w:rsidR="008A3C38">
              <w:rPr>
                <w:noProof/>
                <w:webHidden/>
              </w:rPr>
            </w:r>
            <w:r w:rsidR="008A3C38">
              <w:rPr>
                <w:noProof/>
                <w:webHidden/>
              </w:rPr>
              <w:fldChar w:fldCharType="separate"/>
            </w:r>
            <w:r w:rsidR="004C4B6C">
              <w:rPr>
                <w:noProof/>
                <w:webHidden/>
              </w:rPr>
              <w:t>163</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07" w:history="1">
            <w:r w:rsidR="004C4B6C" w:rsidRPr="000B5124">
              <w:rPr>
                <w:rStyle w:val="Hyperlink"/>
                <w:rFonts w:ascii="Arial" w:hAnsi="Arial" w:cs="Arial"/>
                <w:noProof/>
              </w:rPr>
              <w:t xml:space="preserve">10.2.5 </w:t>
            </w:r>
            <w:r w:rsidR="004C4B6C" w:rsidRPr="000B5124">
              <w:rPr>
                <w:rStyle w:val="Hyperlink"/>
                <w:noProof/>
              </w:rPr>
              <w:t>Standard regimen for new adult TB patients</w:t>
            </w:r>
            <w:r w:rsidR="004C4B6C">
              <w:rPr>
                <w:noProof/>
                <w:webHidden/>
              </w:rPr>
              <w:tab/>
            </w:r>
            <w:r w:rsidR="008A3C38">
              <w:rPr>
                <w:noProof/>
                <w:webHidden/>
              </w:rPr>
              <w:fldChar w:fldCharType="begin"/>
            </w:r>
            <w:r w:rsidR="004C4B6C">
              <w:rPr>
                <w:noProof/>
                <w:webHidden/>
              </w:rPr>
              <w:instrText xml:space="preserve"> PAGEREF _Toc382214107 \h </w:instrText>
            </w:r>
            <w:r w:rsidR="008A3C38">
              <w:rPr>
                <w:noProof/>
                <w:webHidden/>
              </w:rPr>
            </w:r>
            <w:r w:rsidR="008A3C38">
              <w:rPr>
                <w:noProof/>
                <w:webHidden/>
              </w:rPr>
              <w:fldChar w:fldCharType="separate"/>
            </w:r>
            <w:r w:rsidR="004C4B6C">
              <w:rPr>
                <w:noProof/>
                <w:webHidden/>
              </w:rPr>
              <w:t>165</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08" w:history="1">
            <w:r w:rsidR="004C4B6C" w:rsidRPr="000B5124">
              <w:rPr>
                <w:rStyle w:val="Hyperlink"/>
                <w:noProof/>
              </w:rPr>
              <w:t>10.3. Collaborative TB/HIV activities</w:t>
            </w:r>
            <w:r w:rsidR="004C4B6C">
              <w:rPr>
                <w:noProof/>
                <w:webHidden/>
              </w:rPr>
              <w:tab/>
            </w:r>
            <w:r w:rsidR="008A3C38">
              <w:rPr>
                <w:noProof/>
                <w:webHidden/>
              </w:rPr>
              <w:fldChar w:fldCharType="begin"/>
            </w:r>
            <w:r w:rsidR="004C4B6C">
              <w:rPr>
                <w:noProof/>
                <w:webHidden/>
              </w:rPr>
              <w:instrText xml:space="preserve"> PAGEREF _Toc382214108 \h </w:instrText>
            </w:r>
            <w:r w:rsidR="008A3C38">
              <w:rPr>
                <w:noProof/>
                <w:webHidden/>
              </w:rPr>
            </w:r>
            <w:r w:rsidR="008A3C38">
              <w:rPr>
                <w:noProof/>
                <w:webHidden/>
              </w:rPr>
              <w:fldChar w:fldCharType="separate"/>
            </w:r>
            <w:r w:rsidR="004C4B6C">
              <w:rPr>
                <w:noProof/>
                <w:webHidden/>
              </w:rPr>
              <w:t>165</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09" w:history="1">
            <w:r w:rsidR="004C4B6C" w:rsidRPr="000B5124">
              <w:rPr>
                <w:rStyle w:val="Hyperlink"/>
                <w:noProof/>
              </w:rPr>
              <w:t>10.3.1 Intensify TB case-finding and ensure high quality anti TB treatment</w:t>
            </w:r>
            <w:r w:rsidR="004C4B6C">
              <w:rPr>
                <w:noProof/>
                <w:webHidden/>
              </w:rPr>
              <w:tab/>
            </w:r>
            <w:r w:rsidR="008A3C38">
              <w:rPr>
                <w:noProof/>
                <w:webHidden/>
              </w:rPr>
              <w:fldChar w:fldCharType="begin"/>
            </w:r>
            <w:r w:rsidR="004C4B6C">
              <w:rPr>
                <w:noProof/>
                <w:webHidden/>
              </w:rPr>
              <w:instrText xml:space="preserve"> PAGEREF _Toc382214109 \h </w:instrText>
            </w:r>
            <w:r w:rsidR="008A3C38">
              <w:rPr>
                <w:noProof/>
                <w:webHidden/>
              </w:rPr>
            </w:r>
            <w:r w:rsidR="008A3C38">
              <w:rPr>
                <w:noProof/>
                <w:webHidden/>
              </w:rPr>
              <w:fldChar w:fldCharType="separate"/>
            </w:r>
            <w:r w:rsidR="004C4B6C">
              <w:rPr>
                <w:noProof/>
                <w:webHidden/>
              </w:rPr>
              <w:t>166</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10" w:history="1">
            <w:r w:rsidR="004C4B6C" w:rsidRPr="000B5124">
              <w:rPr>
                <w:rStyle w:val="Hyperlink"/>
                <w:noProof/>
              </w:rPr>
              <w:t>10.3.2 Isoniazid Preventive Therapy (IPT) and early Antiretroviral Therapy (ART)</w:t>
            </w:r>
            <w:r w:rsidR="004C4B6C">
              <w:rPr>
                <w:noProof/>
                <w:webHidden/>
              </w:rPr>
              <w:tab/>
            </w:r>
            <w:r w:rsidR="008A3C38">
              <w:rPr>
                <w:noProof/>
                <w:webHidden/>
              </w:rPr>
              <w:fldChar w:fldCharType="begin"/>
            </w:r>
            <w:r w:rsidR="004C4B6C">
              <w:rPr>
                <w:noProof/>
                <w:webHidden/>
              </w:rPr>
              <w:instrText xml:space="preserve"> PAGEREF _Toc382214110 \h </w:instrText>
            </w:r>
            <w:r w:rsidR="008A3C38">
              <w:rPr>
                <w:noProof/>
                <w:webHidden/>
              </w:rPr>
            </w:r>
            <w:r w:rsidR="008A3C38">
              <w:rPr>
                <w:noProof/>
                <w:webHidden/>
              </w:rPr>
              <w:fldChar w:fldCharType="separate"/>
            </w:r>
            <w:r w:rsidR="004C4B6C">
              <w:rPr>
                <w:noProof/>
                <w:webHidden/>
              </w:rPr>
              <w:t>166</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11" w:history="1">
            <w:r w:rsidR="004C4B6C" w:rsidRPr="000B5124">
              <w:rPr>
                <w:rStyle w:val="Hyperlink"/>
                <w:noProof/>
              </w:rPr>
              <w:t>10.3.3 TB Infection in health-care facilities and congregate settings</w:t>
            </w:r>
            <w:r w:rsidR="004C4B6C">
              <w:rPr>
                <w:noProof/>
                <w:webHidden/>
              </w:rPr>
              <w:tab/>
            </w:r>
            <w:r w:rsidR="008A3C38">
              <w:rPr>
                <w:noProof/>
                <w:webHidden/>
              </w:rPr>
              <w:fldChar w:fldCharType="begin"/>
            </w:r>
            <w:r w:rsidR="004C4B6C">
              <w:rPr>
                <w:noProof/>
                <w:webHidden/>
              </w:rPr>
              <w:instrText xml:space="preserve"> PAGEREF _Toc382214111 \h </w:instrText>
            </w:r>
            <w:r w:rsidR="008A3C38">
              <w:rPr>
                <w:noProof/>
                <w:webHidden/>
              </w:rPr>
            </w:r>
            <w:r w:rsidR="008A3C38">
              <w:rPr>
                <w:noProof/>
                <w:webHidden/>
              </w:rPr>
              <w:fldChar w:fldCharType="separate"/>
            </w:r>
            <w:r w:rsidR="004C4B6C">
              <w:rPr>
                <w:noProof/>
                <w:webHidden/>
              </w:rPr>
              <w:t>169</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12" w:history="1">
            <w:r w:rsidR="004C4B6C" w:rsidRPr="000B5124">
              <w:rPr>
                <w:rStyle w:val="Hyperlink"/>
                <w:noProof/>
              </w:rPr>
              <w:t>10.4 HIV-related TB in Children</w:t>
            </w:r>
            <w:r w:rsidR="004C4B6C">
              <w:rPr>
                <w:noProof/>
                <w:webHidden/>
              </w:rPr>
              <w:tab/>
            </w:r>
            <w:r w:rsidR="008A3C38">
              <w:rPr>
                <w:noProof/>
                <w:webHidden/>
              </w:rPr>
              <w:fldChar w:fldCharType="begin"/>
            </w:r>
            <w:r w:rsidR="004C4B6C">
              <w:rPr>
                <w:noProof/>
                <w:webHidden/>
              </w:rPr>
              <w:instrText xml:space="preserve"> PAGEREF _Toc382214112 \h </w:instrText>
            </w:r>
            <w:r w:rsidR="008A3C38">
              <w:rPr>
                <w:noProof/>
                <w:webHidden/>
              </w:rPr>
            </w:r>
            <w:r w:rsidR="008A3C38">
              <w:rPr>
                <w:noProof/>
                <w:webHidden/>
              </w:rPr>
              <w:fldChar w:fldCharType="separate"/>
            </w:r>
            <w:r w:rsidR="004C4B6C">
              <w:rPr>
                <w:noProof/>
                <w:webHidden/>
              </w:rPr>
              <w:t>170</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13" w:history="1">
            <w:r w:rsidR="004C4B6C" w:rsidRPr="000B5124">
              <w:rPr>
                <w:rStyle w:val="Hyperlink"/>
                <w:noProof/>
              </w:rPr>
              <w:t>10.4.1 The Diagnosis of Tuberculosis in Children</w:t>
            </w:r>
            <w:r w:rsidR="004C4B6C">
              <w:rPr>
                <w:noProof/>
                <w:webHidden/>
              </w:rPr>
              <w:tab/>
            </w:r>
            <w:r w:rsidR="008A3C38">
              <w:rPr>
                <w:noProof/>
                <w:webHidden/>
              </w:rPr>
              <w:fldChar w:fldCharType="begin"/>
            </w:r>
            <w:r w:rsidR="004C4B6C">
              <w:rPr>
                <w:noProof/>
                <w:webHidden/>
              </w:rPr>
              <w:instrText xml:space="preserve"> PAGEREF _Toc382214113 \h </w:instrText>
            </w:r>
            <w:r w:rsidR="008A3C38">
              <w:rPr>
                <w:noProof/>
                <w:webHidden/>
              </w:rPr>
            </w:r>
            <w:r w:rsidR="008A3C38">
              <w:rPr>
                <w:noProof/>
                <w:webHidden/>
              </w:rPr>
              <w:fldChar w:fldCharType="separate"/>
            </w:r>
            <w:r w:rsidR="004C4B6C">
              <w:rPr>
                <w:noProof/>
                <w:webHidden/>
              </w:rPr>
              <w:t>171</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14" w:history="1">
            <w:r w:rsidR="004C4B6C" w:rsidRPr="000B5124">
              <w:rPr>
                <w:rStyle w:val="Hyperlink"/>
                <w:noProof/>
              </w:rPr>
              <w:t>10.4.2 Treatment of TB in children</w:t>
            </w:r>
            <w:r w:rsidR="004C4B6C">
              <w:rPr>
                <w:noProof/>
                <w:webHidden/>
              </w:rPr>
              <w:tab/>
            </w:r>
            <w:r w:rsidR="008A3C38">
              <w:rPr>
                <w:noProof/>
                <w:webHidden/>
              </w:rPr>
              <w:fldChar w:fldCharType="begin"/>
            </w:r>
            <w:r w:rsidR="004C4B6C">
              <w:rPr>
                <w:noProof/>
                <w:webHidden/>
              </w:rPr>
              <w:instrText xml:space="preserve"> PAGEREF _Toc382214114 \h </w:instrText>
            </w:r>
            <w:r w:rsidR="008A3C38">
              <w:rPr>
                <w:noProof/>
                <w:webHidden/>
              </w:rPr>
            </w:r>
            <w:r w:rsidR="008A3C38">
              <w:rPr>
                <w:noProof/>
                <w:webHidden/>
              </w:rPr>
              <w:fldChar w:fldCharType="separate"/>
            </w:r>
            <w:r w:rsidR="004C4B6C">
              <w:rPr>
                <w:noProof/>
                <w:webHidden/>
              </w:rPr>
              <w:t>171</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15" w:history="1">
            <w:r w:rsidR="004C4B6C" w:rsidRPr="000B5124">
              <w:rPr>
                <w:rStyle w:val="Hyperlink"/>
                <w:noProof/>
              </w:rPr>
              <w:t>10.4.3 BCG vaccination</w:t>
            </w:r>
            <w:r w:rsidR="004C4B6C">
              <w:rPr>
                <w:noProof/>
                <w:webHidden/>
              </w:rPr>
              <w:tab/>
            </w:r>
            <w:r w:rsidR="008A3C38">
              <w:rPr>
                <w:noProof/>
                <w:webHidden/>
              </w:rPr>
              <w:fldChar w:fldCharType="begin"/>
            </w:r>
            <w:r w:rsidR="004C4B6C">
              <w:rPr>
                <w:noProof/>
                <w:webHidden/>
              </w:rPr>
              <w:instrText xml:space="preserve"> PAGEREF _Toc382214115 \h </w:instrText>
            </w:r>
            <w:r w:rsidR="008A3C38">
              <w:rPr>
                <w:noProof/>
                <w:webHidden/>
              </w:rPr>
            </w:r>
            <w:r w:rsidR="008A3C38">
              <w:rPr>
                <w:noProof/>
                <w:webHidden/>
              </w:rPr>
              <w:fldChar w:fldCharType="separate"/>
            </w:r>
            <w:r w:rsidR="004C4B6C">
              <w:rPr>
                <w:noProof/>
                <w:webHidden/>
              </w:rPr>
              <w:t>171</w:t>
            </w:r>
            <w:r w:rsidR="008A3C38">
              <w:rPr>
                <w:noProof/>
                <w:webHidden/>
              </w:rPr>
              <w:fldChar w:fldCharType="end"/>
            </w:r>
          </w:hyperlink>
        </w:p>
        <w:p w:rsidR="004C4B6C" w:rsidRDefault="001D28FE">
          <w:pPr>
            <w:pStyle w:val="TOC1"/>
            <w:tabs>
              <w:tab w:val="right" w:leader="dot" w:pos="9350"/>
            </w:tabs>
            <w:rPr>
              <w:rFonts w:asciiTheme="minorHAnsi" w:eastAsiaTheme="minorEastAsia" w:hAnsiTheme="minorHAnsi" w:cstheme="minorBidi"/>
              <w:noProof/>
              <w:color w:val="auto"/>
            </w:rPr>
          </w:pPr>
          <w:hyperlink w:anchor="_Toc382214116" w:history="1">
            <w:r w:rsidR="004C4B6C" w:rsidRPr="000B5124">
              <w:rPr>
                <w:rStyle w:val="Hyperlink"/>
                <w:rFonts w:eastAsia="Times New Roman"/>
                <w:noProof/>
              </w:rPr>
              <w:t>CHAPTER 11: ADHERENCE TO ART AND RETENTION ACROSS THE CONTINUUM OF CARE</w:t>
            </w:r>
            <w:r w:rsidR="004C4B6C">
              <w:rPr>
                <w:noProof/>
                <w:webHidden/>
              </w:rPr>
              <w:tab/>
            </w:r>
            <w:r w:rsidR="008A3C38">
              <w:rPr>
                <w:noProof/>
                <w:webHidden/>
              </w:rPr>
              <w:fldChar w:fldCharType="begin"/>
            </w:r>
            <w:r w:rsidR="004C4B6C">
              <w:rPr>
                <w:noProof/>
                <w:webHidden/>
              </w:rPr>
              <w:instrText xml:space="preserve"> PAGEREF _Toc382214116 \h </w:instrText>
            </w:r>
            <w:r w:rsidR="008A3C38">
              <w:rPr>
                <w:noProof/>
                <w:webHidden/>
              </w:rPr>
            </w:r>
            <w:r w:rsidR="008A3C38">
              <w:rPr>
                <w:noProof/>
                <w:webHidden/>
              </w:rPr>
              <w:fldChar w:fldCharType="separate"/>
            </w:r>
            <w:r w:rsidR="004C4B6C">
              <w:rPr>
                <w:noProof/>
                <w:webHidden/>
              </w:rPr>
              <w:t>172</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17" w:history="1">
            <w:r w:rsidR="004C4B6C" w:rsidRPr="000B5124">
              <w:rPr>
                <w:rStyle w:val="Hyperlink"/>
                <w:rFonts w:eastAsia="Times New Roman"/>
                <w:noProof/>
              </w:rPr>
              <w:t>11.1 Introduction</w:t>
            </w:r>
            <w:r w:rsidR="004C4B6C">
              <w:rPr>
                <w:noProof/>
                <w:webHidden/>
              </w:rPr>
              <w:tab/>
            </w:r>
            <w:r w:rsidR="008A3C38">
              <w:rPr>
                <w:noProof/>
                <w:webHidden/>
              </w:rPr>
              <w:fldChar w:fldCharType="begin"/>
            </w:r>
            <w:r w:rsidR="004C4B6C">
              <w:rPr>
                <w:noProof/>
                <w:webHidden/>
              </w:rPr>
              <w:instrText xml:space="preserve"> PAGEREF _Toc382214117 \h </w:instrText>
            </w:r>
            <w:r w:rsidR="008A3C38">
              <w:rPr>
                <w:noProof/>
                <w:webHidden/>
              </w:rPr>
            </w:r>
            <w:r w:rsidR="008A3C38">
              <w:rPr>
                <w:noProof/>
                <w:webHidden/>
              </w:rPr>
              <w:fldChar w:fldCharType="separate"/>
            </w:r>
            <w:r w:rsidR="004C4B6C">
              <w:rPr>
                <w:noProof/>
                <w:webHidden/>
              </w:rPr>
              <w:t>172</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18" w:history="1">
            <w:r w:rsidR="004C4B6C" w:rsidRPr="000B5124">
              <w:rPr>
                <w:rStyle w:val="Hyperlink"/>
                <w:rFonts w:eastAsia="Times New Roman"/>
                <w:noProof/>
              </w:rPr>
              <w:t>11.1.1 Factors that influence adherence</w:t>
            </w:r>
            <w:r w:rsidR="004C4B6C">
              <w:rPr>
                <w:noProof/>
                <w:webHidden/>
              </w:rPr>
              <w:tab/>
            </w:r>
            <w:r w:rsidR="008A3C38">
              <w:rPr>
                <w:noProof/>
                <w:webHidden/>
              </w:rPr>
              <w:fldChar w:fldCharType="begin"/>
            </w:r>
            <w:r w:rsidR="004C4B6C">
              <w:rPr>
                <w:noProof/>
                <w:webHidden/>
              </w:rPr>
              <w:instrText xml:space="preserve"> PAGEREF _Toc382214118 \h </w:instrText>
            </w:r>
            <w:r w:rsidR="008A3C38">
              <w:rPr>
                <w:noProof/>
                <w:webHidden/>
              </w:rPr>
            </w:r>
            <w:r w:rsidR="008A3C38">
              <w:rPr>
                <w:noProof/>
                <w:webHidden/>
              </w:rPr>
              <w:fldChar w:fldCharType="separate"/>
            </w:r>
            <w:r w:rsidR="004C4B6C">
              <w:rPr>
                <w:noProof/>
                <w:webHidden/>
              </w:rPr>
              <w:t>172</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19" w:history="1">
            <w:r w:rsidR="004C4B6C" w:rsidRPr="000B5124">
              <w:rPr>
                <w:rStyle w:val="Hyperlink"/>
                <w:rFonts w:eastAsia="Times New Roman"/>
                <w:noProof/>
              </w:rPr>
              <w:t>11.1.2 Strategies that enhance adherence</w:t>
            </w:r>
            <w:r w:rsidR="004C4B6C">
              <w:rPr>
                <w:noProof/>
                <w:webHidden/>
              </w:rPr>
              <w:tab/>
            </w:r>
            <w:r w:rsidR="008A3C38">
              <w:rPr>
                <w:noProof/>
                <w:webHidden/>
              </w:rPr>
              <w:fldChar w:fldCharType="begin"/>
            </w:r>
            <w:r w:rsidR="004C4B6C">
              <w:rPr>
                <w:noProof/>
                <w:webHidden/>
              </w:rPr>
              <w:instrText xml:space="preserve"> PAGEREF _Toc382214119 \h </w:instrText>
            </w:r>
            <w:r w:rsidR="008A3C38">
              <w:rPr>
                <w:noProof/>
                <w:webHidden/>
              </w:rPr>
            </w:r>
            <w:r w:rsidR="008A3C38">
              <w:rPr>
                <w:noProof/>
                <w:webHidden/>
              </w:rPr>
              <w:fldChar w:fldCharType="separate"/>
            </w:r>
            <w:r w:rsidR="004C4B6C">
              <w:rPr>
                <w:noProof/>
                <w:webHidden/>
              </w:rPr>
              <w:t>172</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20" w:history="1">
            <w:r w:rsidR="004C4B6C" w:rsidRPr="000B5124">
              <w:rPr>
                <w:rStyle w:val="Hyperlink"/>
                <w:rFonts w:eastAsia="Times New Roman"/>
                <w:noProof/>
              </w:rPr>
              <w:t>11.2 Adherence Monitoring and Evaluation</w:t>
            </w:r>
            <w:r w:rsidR="004C4B6C">
              <w:rPr>
                <w:noProof/>
                <w:webHidden/>
              </w:rPr>
              <w:tab/>
            </w:r>
            <w:r w:rsidR="008A3C38">
              <w:rPr>
                <w:noProof/>
                <w:webHidden/>
              </w:rPr>
              <w:fldChar w:fldCharType="begin"/>
            </w:r>
            <w:r w:rsidR="004C4B6C">
              <w:rPr>
                <w:noProof/>
                <w:webHidden/>
              </w:rPr>
              <w:instrText xml:space="preserve"> PAGEREF _Toc382214120 \h </w:instrText>
            </w:r>
            <w:r w:rsidR="008A3C38">
              <w:rPr>
                <w:noProof/>
                <w:webHidden/>
              </w:rPr>
            </w:r>
            <w:r w:rsidR="008A3C38">
              <w:rPr>
                <w:noProof/>
                <w:webHidden/>
              </w:rPr>
              <w:fldChar w:fldCharType="separate"/>
            </w:r>
            <w:r w:rsidR="004C4B6C">
              <w:rPr>
                <w:noProof/>
                <w:webHidden/>
              </w:rPr>
              <w:t>173</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21" w:history="1">
            <w:r w:rsidR="004C4B6C" w:rsidRPr="000B5124">
              <w:rPr>
                <w:rStyle w:val="Hyperlink"/>
                <w:rFonts w:eastAsia="Times New Roman"/>
                <w:noProof/>
              </w:rPr>
              <w:t>11.2.1 The role of the Care and treatment team</w:t>
            </w:r>
            <w:r w:rsidR="004C4B6C">
              <w:rPr>
                <w:noProof/>
                <w:webHidden/>
              </w:rPr>
              <w:tab/>
            </w:r>
            <w:r w:rsidR="008A3C38">
              <w:rPr>
                <w:noProof/>
                <w:webHidden/>
              </w:rPr>
              <w:fldChar w:fldCharType="begin"/>
            </w:r>
            <w:r w:rsidR="004C4B6C">
              <w:rPr>
                <w:noProof/>
                <w:webHidden/>
              </w:rPr>
              <w:instrText xml:space="preserve"> PAGEREF _Toc382214121 \h </w:instrText>
            </w:r>
            <w:r w:rsidR="008A3C38">
              <w:rPr>
                <w:noProof/>
                <w:webHidden/>
              </w:rPr>
            </w:r>
            <w:r w:rsidR="008A3C38">
              <w:rPr>
                <w:noProof/>
                <w:webHidden/>
              </w:rPr>
              <w:fldChar w:fldCharType="separate"/>
            </w:r>
            <w:r w:rsidR="004C4B6C">
              <w:rPr>
                <w:noProof/>
                <w:webHidden/>
              </w:rPr>
              <w:t>173</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22" w:history="1">
            <w:r w:rsidR="004C4B6C" w:rsidRPr="000B5124">
              <w:rPr>
                <w:rStyle w:val="Hyperlink"/>
                <w:rFonts w:eastAsia="Times New Roman"/>
                <w:noProof/>
              </w:rPr>
              <w:t>11.3 ART Adherence Counselling</w:t>
            </w:r>
            <w:r w:rsidR="004C4B6C">
              <w:rPr>
                <w:noProof/>
                <w:webHidden/>
              </w:rPr>
              <w:tab/>
            </w:r>
            <w:r w:rsidR="008A3C38">
              <w:rPr>
                <w:noProof/>
                <w:webHidden/>
              </w:rPr>
              <w:fldChar w:fldCharType="begin"/>
            </w:r>
            <w:r w:rsidR="004C4B6C">
              <w:rPr>
                <w:noProof/>
                <w:webHidden/>
              </w:rPr>
              <w:instrText xml:space="preserve"> PAGEREF _Toc382214122 \h </w:instrText>
            </w:r>
            <w:r w:rsidR="008A3C38">
              <w:rPr>
                <w:noProof/>
                <w:webHidden/>
              </w:rPr>
            </w:r>
            <w:r w:rsidR="008A3C38">
              <w:rPr>
                <w:noProof/>
                <w:webHidden/>
              </w:rPr>
              <w:fldChar w:fldCharType="separate"/>
            </w:r>
            <w:r w:rsidR="004C4B6C">
              <w:rPr>
                <w:noProof/>
                <w:webHidden/>
              </w:rPr>
              <w:t>174</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23" w:history="1">
            <w:r w:rsidR="004C4B6C" w:rsidRPr="000B5124">
              <w:rPr>
                <w:rStyle w:val="Hyperlink"/>
                <w:rFonts w:eastAsia="Times New Roman"/>
                <w:noProof/>
              </w:rPr>
              <w:t>11.3.1 First Visit</w:t>
            </w:r>
            <w:r w:rsidR="004C4B6C">
              <w:rPr>
                <w:noProof/>
                <w:webHidden/>
              </w:rPr>
              <w:tab/>
            </w:r>
            <w:r w:rsidR="008A3C38">
              <w:rPr>
                <w:noProof/>
                <w:webHidden/>
              </w:rPr>
              <w:fldChar w:fldCharType="begin"/>
            </w:r>
            <w:r w:rsidR="004C4B6C">
              <w:rPr>
                <w:noProof/>
                <w:webHidden/>
              </w:rPr>
              <w:instrText xml:space="preserve"> PAGEREF _Toc382214123 \h </w:instrText>
            </w:r>
            <w:r w:rsidR="008A3C38">
              <w:rPr>
                <w:noProof/>
                <w:webHidden/>
              </w:rPr>
            </w:r>
            <w:r w:rsidR="008A3C38">
              <w:rPr>
                <w:noProof/>
                <w:webHidden/>
              </w:rPr>
              <w:fldChar w:fldCharType="separate"/>
            </w:r>
            <w:r w:rsidR="004C4B6C">
              <w:rPr>
                <w:noProof/>
                <w:webHidden/>
              </w:rPr>
              <w:t>175</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24" w:history="1">
            <w:r w:rsidR="004C4B6C" w:rsidRPr="000B5124">
              <w:rPr>
                <w:rStyle w:val="Hyperlink"/>
                <w:rFonts w:eastAsia="Times New Roman"/>
                <w:noProof/>
              </w:rPr>
              <w:t>11.3.2 Second Visit</w:t>
            </w:r>
            <w:r w:rsidR="004C4B6C">
              <w:rPr>
                <w:noProof/>
                <w:webHidden/>
              </w:rPr>
              <w:tab/>
            </w:r>
            <w:r w:rsidR="008A3C38">
              <w:rPr>
                <w:noProof/>
                <w:webHidden/>
              </w:rPr>
              <w:fldChar w:fldCharType="begin"/>
            </w:r>
            <w:r w:rsidR="004C4B6C">
              <w:rPr>
                <w:noProof/>
                <w:webHidden/>
              </w:rPr>
              <w:instrText xml:space="preserve"> PAGEREF _Toc382214124 \h </w:instrText>
            </w:r>
            <w:r w:rsidR="008A3C38">
              <w:rPr>
                <w:noProof/>
                <w:webHidden/>
              </w:rPr>
            </w:r>
            <w:r w:rsidR="008A3C38">
              <w:rPr>
                <w:noProof/>
                <w:webHidden/>
              </w:rPr>
              <w:fldChar w:fldCharType="separate"/>
            </w:r>
            <w:r w:rsidR="004C4B6C">
              <w:rPr>
                <w:noProof/>
                <w:webHidden/>
              </w:rPr>
              <w:t>176</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25" w:history="1">
            <w:r w:rsidR="004C4B6C" w:rsidRPr="000B5124">
              <w:rPr>
                <w:rStyle w:val="Hyperlink"/>
                <w:rFonts w:eastAsia="Times New Roman"/>
                <w:noProof/>
              </w:rPr>
              <w:t>11.3.3 Third Visit</w:t>
            </w:r>
            <w:r w:rsidR="004C4B6C">
              <w:rPr>
                <w:noProof/>
                <w:webHidden/>
              </w:rPr>
              <w:tab/>
            </w:r>
            <w:r w:rsidR="008A3C38">
              <w:rPr>
                <w:noProof/>
                <w:webHidden/>
              </w:rPr>
              <w:fldChar w:fldCharType="begin"/>
            </w:r>
            <w:r w:rsidR="004C4B6C">
              <w:rPr>
                <w:noProof/>
                <w:webHidden/>
              </w:rPr>
              <w:instrText xml:space="preserve"> PAGEREF _Toc382214125 \h </w:instrText>
            </w:r>
            <w:r w:rsidR="008A3C38">
              <w:rPr>
                <w:noProof/>
                <w:webHidden/>
              </w:rPr>
            </w:r>
            <w:r w:rsidR="008A3C38">
              <w:rPr>
                <w:noProof/>
                <w:webHidden/>
              </w:rPr>
              <w:fldChar w:fldCharType="separate"/>
            </w:r>
            <w:r w:rsidR="004C4B6C">
              <w:rPr>
                <w:noProof/>
                <w:webHidden/>
              </w:rPr>
              <w:t>177</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26" w:history="1">
            <w:r w:rsidR="004C4B6C" w:rsidRPr="000B5124">
              <w:rPr>
                <w:rStyle w:val="Hyperlink"/>
                <w:rFonts w:eastAsia="Times New Roman"/>
                <w:noProof/>
              </w:rPr>
              <w:t>11.3.4 Management of previously ARV exposed   patients</w:t>
            </w:r>
            <w:r w:rsidR="004C4B6C">
              <w:rPr>
                <w:noProof/>
                <w:webHidden/>
              </w:rPr>
              <w:tab/>
            </w:r>
            <w:r w:rsidR="008A3C38">
              <w:rPr>
                <w:noProof/>
                <w:webHidden/>
              </w:rPr>
              <w:fldChar w:fldCharType="begin"/>
            </w:r>
            <w:r w:rsidR="004C4B6C">
              <w:rPr>
                <w:noProof/>
                <w:webHidden/>
              </w:rPr>
              <w:instrText xml:space="preserve"> PAGEREF _Toc382214126 \h </w:instrText>
            </w:r>
            <w:r w:rsidR="008A3C38">
              <w:rPr>
                <w:noProof/>
                <w:webHidden/>
              </w:rPr>
            </w:r>
            <w:r w:rsidR="008A3C38">
              <w:rPr>
                <w:noProof/>
                <w:webHidden/>
              </w:rPr>
              <w:fldChar w:fldCharType="separate"/>
            </w:r>
            <w:r w:rsidR="004C4B6C">
              <w:rPr>
                <w:noProof/>
                <w:webHidden/>
              </w:rPr>
              <w:t>179</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27" w:history="1">
            <w:r w:rsidR="004C4B6C" w:rsidRPr="000B5124">
              <w:rPr>
                <w:rStyle w:val="Hyperlink"/>
                <w:rFonts w:eastAsia="Times New Roman"/>
                <w:noProof/>
              </w:rPr>
              <w:t>11.4 Adherence Management and Lifestyle Counseling</w:t>
            </w:r>
            <w:r w:rsidR="004C4B6C">
              <w:rPr>
                <w:noProof/>
                <w:webHidden/>
              </w:rPr>
              <w:tab/>
            </w:r>
            <w:r w:rsidR="008A3C38">
              <w:rPr>
                <w:noProof/>
                <w:webHidden/>
              </w:rPr>
              <w:fldChar w:fldCharType="begin"/>
            </w:r>
            <w:r w:rsidR="004C4B6C">
              <w:rPr>
                <w:noProof/>
                <w:webHidden/>
              </w:rPr>
              <w:instrText xml:space="preserve"> PAGEREF _Toc382214127 \h </w:instrText>
            </w:r>
            <w:r w:rsidR="008A3C38">
              <w:rPr>
                <w:noProof/>
                <w:webHidden/>
              </w:rPr>
            </w:r>
            <w:r w:rsidR="008A3C38">
              <w:rPr>
                <w:noProof/>
                <w:webHidden/>
              </w:rPr>
              <w:fldChar w:fldCharType="separate"/>
            </w:r>
            <w:r w:rsidR="004C4B6C">
              <w:rPr>
                <w:noProof/>
                <w:webHidden/>
              </w:rPr>
              <w:t>179</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28" w:history="1">
            <w:r w:rsidR="004C4B6C" w:rsidRPr="000B5124">
              <w:rPr>
                <w:rStyle w:val="Hyperlink"/>
                <w:rFonts w:eastAsia="Times New Roman"/>
                <w:noProof/>
              </w:rPr>
              <w:t>11.5 Adherence Issues in Adolescents and Youths</w:t>
            </w:r>
            <w:r w:rsidR="004C4B6C">
              <w:rPr>
                <w:noProof/>
                <w:webHidden/>
              </w:rPr>
              <w:tab/>
            </w:r>
            <w:r w:rsidR="008A3C38">
              <w:rPr>
                <w:noProof/>
                <w:webHidden/>
              </w:rPr>
              <w:fldChar w:fldCharType="begin"/>
            </w:r>
            <w:r w:rsidR="004C4B6C">
              <w:rPr>
                <w:noProof/>
                <w:webHidden/>
              </w:rPr>
              <w:instrText xml:space="preserve"> PAGEREF _Toc382214128 \h </w:instrText>
            </w:r>
            <w:r w:rsidR="008A3C38">
              <w:rPr>
                <w:noProof/>
                <w:webHidden/>
              </w:rPr>
            </w:r>
            <w:r w:rsidR="008A3C38">
              <w:rPr>
                <w:noProof/>
                <w:webHidden/>
              </w:rPr>
              <w:fldChar w:fldCharType="separate"/>
            </w:r>
            <w:r w:rsidR="004C4B6C">
              <w:rPr>
                <w:noProof/>
                <w:webHidden/>
              </w:rPr>
              <w:t>179</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29" w:history="1">
            <w:r w:rsidR="004C4B6C" w:rsidRPr="000B5124">
              <w:rPr>
                <w:rStyle w:val="Hyperlink"/>
                <w:rFonts w:eastAsia="Times New Roman"/>
                <w:noProof/>
              </w:rPr>
              <w:t>11.6 Adherence Issues in Children</w:t>
            </w:r>
            <w:r w:rsidR="004C4B6C">
              <w:rPr>
                <w:noProof/>
                <w:webHidden/>
              </w:rPr>
              <w:tab/>
            </w:r>
            <w:r w:rsidR="008A3C38">
              <w:rPr>
                <w:noProof/>
                <w:webHidden/>
              </w:rPr>
              <w:fldChar w:fldCharType="begin"/>
            </w:r>
            <w:r w:rsidR="004C4B6C">
              <w:rPr>
                <w:noProof/>
                <w:webHidden/>
              </w:rPr>
              <w:instrText xml:space="preserve"> PAGEREF _Toc382214129 \h </w:instrText>
            </w:r>
            <w:r w:rsidR="008A3C38">
              <w:rPr>
                <w:noProof/>
                <w:webHidden/>
              </w:rPr>
            </w:r>
            <w:r w:rsidR="008A3C38">
              <w:rPr>
                <w:noProof/>
                <w:webHidden/>
              </w:rPr>
              <w:fldChar w:fldCharType="separate"/>
            </w:r>
            <w:r w:rsidR="004C4B6C">
              <w:rPr>
                <w:noProof/>
                <w:webHidden/>
              </w:rPr>
              <w:t>181</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30" w:history="1">
            <w:r w:rsidR="004C4B6C" w:rsidRPr="000B5124">
              <w:rPr>
                <w:rStyle w:val="Hyperlink"/>
                <w:rFonts w:eastAsia="Times New Roman"/>
                <w:noProof/>
              </w:rPr>
              <w:t>11.6.1 Factors That Influence Adherence in children</w:t>
            </w:r>
            <w:r w:rsidR="004C4B6C">
              <w:rPr>
                <w:noProof/>
                <w:webHidden/>
              </w:rPr>
              <w:tab/>
            </w:r>
            <w:r w:rsidR="008A3C38">
              <w:rPr>
                <w:noProof/>
                <w:webHidden/>
              </w:rPr>
              <w:fldChar w:fldCharType="begin"/>
            </w:r>
            <w:r w:rsidR="004C4B6C">
              <w:rPr>
                <w:noProof/>
                <w:webHidden/>
              </w:rPr>
              <w:instrText xml:space="preserve"> PAGEREF _Toc382214130 \h </w:instrText>
            </w:r>
            <w:r w:rsidR="008A3C38">
              <w:rPr>
                <w:noProof/>
                <w:webHidden/>
              </w:rPr>
            </w:r>
            <w:r w:rsidR="008A3C38">
              <w:rPr>
                <w:noProof/>
                <w:webHidden/>
              </w:rPr>
              <w:fldChar w:fldCharType="separate"/>
            </w:r>
            <w:r w:rsidR="004C4B6C">
              <w:rPr>
                <w:noProof/>
                <w:webHidden/>
              </w:rPr>
              <w:t>181</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31" w:history="1">
            <w:r w:rsidR="004C4B6C" w:rsidRPr="000B5124">
              <w:rPr>
                <w:rStyle w:val="Hyperlink"/>
                <w:rFonts w:eastAsia="Times New Roman"/>
                <w:noProof/>
              </w:rPr>
              <w:t>11.6.2 How to prepare for adherence in children</w:t>
            </w:r>
            <w:r w:rsidR="004C4B6C">
              <w:rPr>
                <w:noProof/>
                <w:webHidden/>
              </w:rPr>
              <w:tab/>
            </w:r>
            <w:r w:rsidR="008A3C38">
              <w:rPr>
                <w:noProof/>
                <w:webHidden/>
              </w:rPr>
              <w:fldChar w:fldCharType="begin"/>
            </w:r>
            <w:r w:rsidR="004C4B6C">
              <w:rPr>
                <w:noProof/>
                <w:webHidden/>
              </w:rPr>
              <w:instrText xml:space="preserve"> PAGEREF _Toc382214131 \h </w:instrText>
            </w:r>
            <w:r w:rsidR="008A3C38">
              <w:rPr>
                <w:noProof/>
                <w:webHidden/>
              </w:rPr>
            </w:r>
            <w:r w:rsidR="008A3C38">
              <w:rPr>
                <w:noProof/>
                <w:webHidden/>
              </w:rPr>
              <w:fldChar w:fldCharType="separate"/>
            </w:r>
            <w:r w:rsidR="004C4B6C">
              <w:rPr>
                <w:noProof/>
                <w:webHidden/>
              </w:rPr>
              <w:t>182</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32" w:history="1">
            <w:r w:rsidR="004C4B6C" w:rsidRPr="000B5124">
              <w:rPr>
                <w:rStyle w:val="Hyperlink"/>
                <w:rFonts w:eastAsia="Times New Roman"/>
                <w:noProof/>
              </w:rPr>
              <w:t>11.6.3 Considerations for readiness to start treatment for children</w:t>
            </w:r>
            <w:r w:rsidR="004C4B6C">
              <w:rPr>
                <w:noProof/>
                <w:webHidden/>
              </w:rPr>
              <w:tab/>
            </w:r>
            <w:r w:rsidR="008A3C38">
              <w:rPr>
                <w:noProof/>
                <w:webHidden/>
              </w:rPr>
              <w:fldChar w:fldCharType="begin"/>
            </w:r>
            <w:r w:rsidR="004C4B6C">
              <w:rPr>
                <w:noProof/>
                <w:webHidden/>
              </w:rPr>
              <w:instrText xml:space="preserve"> PAGEREF _Toc382214132 \h </w:instrText>
            </w:r>
            <w:r w:rsidR="008A3C38">
              <w:rPr>
                <w:noProof/>
                <w:webHidden/>
              </w:rPr>
            </w:r>
            <w:r w:rsidR="008A3C38">
              <w:rPr>
                <w:noProof/>
                <w:webHidden/>
              </w:rPr>
              <w:fldChar w:fldCharType="separate"/>
            </w:r>
            <w:r w:rsidR="004C4B6C">
              <w:rPr>
                <w:noProof/>
                <w:webHidden/>
              </w:rPr>
              <w:t>182</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33" w:history="1">
            <w:r w:rsidR="004C4B6C" w:rsidRPr="000B5124">
              <w:rPr>
                <w:rStyle w:val="Hyperlink"/>
                <w:rFonts w:eastAsia="Times New Roman"/>
                <w:noProof/>
              </w:rPr>
              <w:t>11.6.4 Strategies for Successful Adherence among children</w:t>
            </w:r>
            <w:r w:rsidR="004C4B6C">
              <w:rPr>
                <w:noProof/>
                <w:webHidden/>
              </w:rPr>
              <w:tab/>
            </w:r>
            <w:r w:rsidR="008A3C38">
              <w:rPr>
                <w:noProof/>
                <w:webHidden/>
              </w:rPr>
              <w:fldChar w:fldCharType="begin"/>
            </w:r>
            <w:r w:rsidR="004C4B6C">
              <w:rPr>
                <w:noProof/>
                <w:webHidden/>
              </w:rPr>
              <w:instrText xml:space="preserve"> PAGEREF _Toc382214133 \h </w:instrText>
            </w:r>
            <w:r w:rsidR="008A3C38">
              <w:rPr>
                <w:noProof/>
                <w:webHidden/>
              </w:rPr>
            </w:r>
            <w:r w:rsidR="008A3C38">
              <w:rPr>
                <w:noProof/>
                <w:webHidden/>
              </w:rPr>
              <w:fldChar w:fldCharType="separate"/>
            </w:r>
            <w:r w:rsidR="004C4B6C">
              <w:rPr>
                <w:noProof/>
                <w:webHidden/>
              </w:rPr>
              <w:t>182</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34" w:history="1">
            <w:r w:rsidR="004C4B6C" w:rsidRPr="000B5124">
              <w:rPr>
                <w:rStyle w:val="Hyperlink"/>
                <w:rFonts w:eastAsia="Times New Roman"/>
                <w:noProof/>
              </w:rPr>
              <w:t>11.6.5 Common challenges and strategies to improve adherence in children</w:t>
            </w:r>
            <w:r w:rsidR="004C4B6C">
              <w:rPr>
                <w:noProof/>
                <w:webHidden/>
              </w:rPr>
              <w:tab/>
            </w:r>
            <w:r w:rsidR="008A3C38">
              <w:rPr>
                <w:noProof/>
                <w:webHidden/>
              </w:rPr>
              <w:fldChar w:fldCharType="begin"/>
            </w:r>
            <w:r w:rsidR="004C4B6C">
              <w:rPr>
                <w:noProof/>
                <w:webHidden/>
              </w:rPr>
              <w:instrText xml:space="preserve"> PAGEREF _Toc382214134 \h </w:instrText>
            </w:r>
            <w:r w:rsidR="008A3C38">
              <w:rPr>
                <w:noProof/>
                <w:webHidden/>
              </w:rPr>
            </w:r>
            <w:r w:rsidR="008A3C38">
              <w:rPr>
                <w:noProof/>
                <w:webHidden/>
              </w:rPr>
              <w:fldChar w:fldCharType="separate"/>
            </w:r>
            <w:r w:rsidR="004C4B6C">
              <w:rPr>
                <w:noProof/>
                <w:webHidden/>
              </w:rPr>
              <w:t>182</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35" w:history="1">
            <w:r w:rsidR="004C4B6C" w:rsidRPr="000B5124">
              <w:rPr>
                <w:rStyle w:val="Hyperlink"/>
                <w:rFonts w:eastAsia="Times New Roman"/>
                <w:noProof/>
              </w:rPr>
              <w:t>11.6.6 Consequences of poor adherence in children</w:t>
            </w:r>
            <w:r w:rsidR="004C4B6C">
              <w:rPr>
                <w:noProof/>
                <w:webHidden/>
              </w:rPr>
              <w:tab/>
            </w:r>
            <w:r w:rsidR="008A3C38">
              <w:rPr>
                <w:noProof/>
                <w:webHidden/>
              </w:rPr>
              <w:fldChar w:fldCharType="begin"/>
            </w:r>
            <w:r w:rsidR="004C4B6C">
              <w:rPr>
                <w:noProof/>
                <w:webHidden/>
              </w:rPr>
              <w:instrText xml:space="preserve"> PAGEREF _Toc382214135 \h </w:instrText>
            </w:r>
            <w:r w:rsidR="008A3C38">
              <w:rPr>
                <w:noProof/>
                <w:webHidden/>
              </w:rPr>
            </w:r>
            <w:r w:rsidR="008A3C38">
              <w:rPr>
                <w:noProof/>
                <w:webHidden/>
              </w:rPr>
              <w:fldChar w:fldCharType="separate"/>
            </w:r>
            <w:r w:rsidR="004C4B6C">
              <w:rPr>
                <w:noProof/>
                <w:webHidden/>
              </w:rPr>
              <w:t>183</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36" w:history="1">
            <w:r w:rsidR="004C4B6C" w:rsidRPr="000B5124">
              <w:rPr>
                <w:rStyle w:val="Hyperlink"/>
                <w:rFonts w:eastAsia="Times New Roman"/>
                <w:noProof/>
              </w:rPr>
              <w:t>11.7 What Happens to Adherence Over Time?</w:t>
            </w:r>
            <w:r w:rsidR="004C4B6C">
              <w:rPr>
                <w:noProof/>
                <w:webHidden/>
              </w:rPr>
              <w:tab/>
            </w:r>
            <w:r w:rsidR="008A3C38">
              <w:rPr>
                <w:noProof/>
                <w:webHidden/>
              </w:rPr>
              <w:fldChar w:fldCharType="begin"/>
            </w:r>
            <w:r w:rsidR="004C4B6C">
              <w:rPr>
                <w:noProof/>
                <w:webHidden/>
              </w:rPr>
              <w:instrText xml:space="preserve"> PAGEREF _Toc382214136 \h </w:instrText>
            </w:r>
            <w:r w:rsidR="008A3C38">
              <w:rPr>
                <w:noProof/>
                <w:webHidden/>
              </w:rPr>
            </w:r>
            <w:r w:rsidR="008A3C38">
              <w:rPr>
                <w:noProof/>
                <w:webHidden/>
              </w:rPr>
              <w:fldChar w:fldCharType="separate"/>
            </w:r>
            <w:r w:rsidR="004C4B6C">
              <w:rPr>
                <w:noProof/>
                <w:webHidden/>
              </w:rPr>
              <w:t>184</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37" w:history="1">
            <w:r w:rsidR="004C4B6C" w:rsidRPr="000B5124">
              <w:rPr>
                <w:rStyle w:val="Hyperlink"/>
                <w:rFonts w:eastAsia="Times New Roman"/>
                <w:noProof/>
              </w:rPr>
              <w:t>11.8 What Needs to Happen to Ensure ART Success?</w:t>
            </w:r>
            <w:r w:rsidR="004C4B6C">
              <w:rPr>
                <w:noProof/>
                <w:webHidden/>
              </w:rPr>
              <w:tab/>
            </w:r>
            <w:r w:rsidR="008A3C38">
              <w:rPr>
                <w:noProof/>
                <w:webHidden/>
              </w:rPr>
              <w:fldChar w:fldCharType="begin"/>
            </w:r>
            <w:r w:rsidR="004C4B6C">
              <w:rPr>
                <w:noProof/>
                <w:webHidden/>
              </w:rPr>
              <w:instrText xml:space="preserve"> PAGEREF _Toc382214137 \h </w:instrText>
            </w:r>
            <w:r w:rsidR="008A3C38">
              <w:rPr>
                <w:noProof/>
                <w:webHidden/>
              </w:rPr>
            </w:r>
            <w:r w:rsidR="008A3C38">
              <w:rPr>
                <w:noProof/>
                <w:webHidden/>
              </w:rPr>
              <w:fldChar w:fldCharType="separate"/>
            </w:r>
            <w:r w:rsidR="004C4B6C">
              <w:rPr>
                <w:noProof/>
                <w:webHidden/>
              </w:rPr>
              <w:t>184</w:t>
            </w:r>
            <w:r w:rsidR="008A3C38">
              <w:rPr>
                <w:noProof/>
                <w:webHidden/>
              </w:rPr>
              <w:fldChar w:fldCharType="end"/>
            </w:r>
          </w:hyperlink>
        </w:p>
        <w:p w:rsidR="004C4B6C" w:rsidRDefault="001D28FE">
          <w:pPr>
            <w:pStyle w:val="TOC1"/>
            <w:tabs>
              <w:tab w:val="right" w:leader="dot" w:pos="9350"/>
            </w:tabs>
            <w:rPr>
              <w:rFonts w:asciiTheme="minorHAnsi" w:eastAsiaTheme="minorEastAsia" w:hAnsiTheme="minorHAnsi" w:cstheme="minorBidi"/>
              <w:noProof/>
              <w:color w:val="auto"/>
            </w:rPr>
          </w:pPr>
          <w:hyperlink w:anchor="_Toc382214138" w:history="1">
            <w:r w:rsidR="004C4B6C" w:rsidRPr="000B5124">
              <w:rPr>
                <w:rStyle w:val="Hyperlink"/>
                <w:noProof/>
              </w:rPr>
              <w:t>CHAPTER 12: MANAGEMENT OF MENTAL HEALTH CONDITIONS/DISORDERS IN HIV AND AIDS</w:t>
            </w:r>
            <w:r w:rsidR="004C4B6C">
              <w:rPr>
                <w:noProof/>
                <w:webHidden/>
              </w:rPr>
              <w:tab/>
            </w:r>
            <w:r w:rsidR="008A3C38">
              <w:rPr>
                <w:noProof/>
                <w:webHidden/>
              </w:rPr>
              <w:fldChar w:fldCharType="begin"/>
            </w:r>
            <w:r w:rsidR="004C4B6C">
              <w:rPr>
                <w:noProof/>
                <w:webHidden/>
              </w:rPr>
              <w:instrText xml:space="preserve"> PAGEREF _Toc382214138 \h </w:instrText>
            </w:r>
            <w:r w:rsidR="008A3C38">
              <w:rPr>
                <w:noProof/>
                <w:webHidden/>
              </w:rPr>
            </w:r>
            <w:r w:rsidR="008A3C38">
              <w:rPr>
                <w:noProof/>
                <w:webHidden/>
              </w:rPr>
              <w:fldChar w:fldCharType="separate"/>
            </w:r>
            <w:r w:rsidR="004C4B6C">
              <w:rPr>
                <w:noProof/>
                <w:webHidden/>
              </w:rPr>
              <w:t>185</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39" w:history="1">
            <w:r w:rsidR="004C4B6C" w:rsidRPr="000B5124">
              <w:rPr>
                <w:rStyle w:val="Hyperlink"/>
                <w:noProof/>
              </w:rPr>
              <w:t>12.1. Introduction</w:t>
            </w:r>
            <w:r w:rsidR="004C4B6C">
              <w:rPr>
                <w:noProof/>
                <w:webHidden/>
              </w:rPr>
              <w:tab/>
            </w:r>
            <w:r w:rsidR="008A3C38">
              <w:rPr>
                <w:noProof/>
                <w:webHidden/>
              </w:rPr>
              <w:fldChar w:fldCharType="begin"/>
            </w:r>
            <w:r w:rsidR="004C4B6C">
              <w:rPr>
                <w:noProof/>
                <w:webHidden/>
              </w:rPr>
              <w:instrText xml:space="preserve"> PAGEREF _Toc382214139 \h </w:instrText>
            </w:r>
            <w:r w:rsidR="008A3C38">
              <w:rPr>
                <w:noProof/>
                <w:webHidden/>
              </w:rPr>
            </w:r>
            <w:r w:rsidR="008A3C38">
              <w:rPr>
                <w:noProof/>
                <w:webHidden/>
              </w:rPr>
              <w:fldChar w:fldCharType="separate"/>
            </w:r>
            <w:r w:rsidR="004C4B6C">
              <w:rPr>
                <w:noProof/>
                <w:webHidden/>
              </w:rPr>
              <w:t>185</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40" w:history="1">
            <w:r w:rsidR="004C4B6C" w:rsidRPr="000B5124">
              <w:rPr>
                <w:rStyle w:val="Hyperlink"/>
                <w:noProof/>
              </w:rPr>
              <w:t>12.2. Primary Neurological Complications that have Secondary Mental health Manifestations</w:t>
            </w:r>
            <w:r w:rsidR="004C4B6C">
              <w:rPr>
                <w:noProof/>
                <w:webHidden/>
              </w:rPr>
              <w:tab/>
            </w:r>
            <w:r w:rsidR="008A3C38">
              <w:rPr>
                <w:noProof/>
                <w:webHidden/>
              </w:rPr>
              <w:fldChar w:fldCharType="begin"/>
            </w:r>
            <w:r w:rsidR="004C4B6C">
              <w:rPr>
                <w:noProof/>
                <w:webHidden/>
              </w:rPr>
              <w:instrText xml:space="preserve"> PAGEREF _Toc382214140 \h </w:instrText>
            </w:r>
            <w:r w:rsidR="008A3C38">
              <w:rPr>
                <w:noProof/>
                <w:webHidden/>
              </w:rPr>
            </w:r>
            <w:r w:rsidR="008A3C38">
              <w:rPr>
                <w:noProof/>
                <w:webHidden/>
              </w:rPr>
              <w:fldChar w:fldCharType="separate"/>
            </w:r>
            <w:r w:rsidR="004C4B6C">
              <w:rPr>
                <w:noProof/>
                <w:webHidden/>
              </w:rPr>
              <w:t>185</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41" w:history="1">
            <w:r w:rsidR="004C4B6C" w:rsidRPr="000B5124">
              <w:rPr>
                <w:rStyle w:val="Hyperlink"/>
                <w:noProof/>
              </w:rPr>
              <w:t>12.2.1 Delirium</w:t>
            </w:r>
            <w:r w:rsidR="004C4B6C">
              <w:rPr>
                <w:noProof/>
                <w:webHidden/>
              </w:rPr>
              <w:tab/>
            </w:r>
            <w:r w:rsidR="008A3C38">
              <w:rPr>
                <w:noProof/>
                <w:webHidden/>
              </w:rPr>
              <w:fldChar w:fldCharType="begin"/>
            </w:r>
            <w:r w:rsidR="004C4B6C">
              <w:rPr>
                <w:noProof/>
                <w:webHidden/>
              </w:rPr>
              <w:instrText xml:space="preserve"> PAGEREF _Toc382214141 \h </w:instrText>
            </w:r>
            <w:r w:rsidR="008A3C38">
              <w:rPr>
                <w:noProof/>
                <w:webHidden/>
              </w:rPr>
            </w:r>
            <w:r w:rsidR="008A3C38">
              <w:rPr>
                <w:noProof/>
                <w:webHidden/>
              </w:rPr>
              <w:fldChar w:fldCharType="separate"/>
            </w:r>
            <w:r w:rsidR="004C4B6C">
              <w:rPr>
                <w:noProof/>
                <w:webHidden/>
              </w:rPr>
              <w:t>185</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42" w:history="1">
            <w:r w:rsidR="004C4B6C" w:rsidRPr="000B5124">
              <w:rPr>
                <w:rStyle w:val="Hyperlink"/>
                <w:noProof/>
              </w:rPr>
              <w:t>12.2.2. HIV Associated Dementia (HAD)</w:t>
            </w:r>
            <w:r w:rsidR="004C4B6C">
              <w:rPr>
                <w:noProof/>
                <w:webHidden/>
              </w:rPr>
              <w:tab/>
            </w:r>
            <w:r w:rsidR="008A3C38">
              <w:rPr>
                <w:noProof/>
                <w:webHidden/>
              </w:rPr>
              <w:fldChar w:fldCharType="begin"/>
            </w:r>
            <w:r w:rsidR="004C4B6C">
              <w:rPr>
                <w:noProof/>
                <w:webHidden/>
              </w:rPr>
              <w:instrText xml:space="preserve"> PAGEREF _Toc382214142 \h </w:instrText>
            </w:r>
            <w:r w:rsidR="008A3C38">
              <w:rPr>
                <w:noProof/>
                <w:webHidden/>
              </w:rPr>
            </w:r>
            <w:r w:rsidR="008A3C38">
              <w:rPr>
                <w:noProof/>
                <w:webHidden/>
              </w:rPr>
              <w:fldChar w:fldCharType="separate"/>
            </w:r>
            <w:r w:rsidR="004C4B6C">
              <w:rPr>
                <w:noProof/>
                <w:webHidden/>
              </w:rPr>
              <w:t>187</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43" w:history="1">
            <w:r w:rsidR="004C4B6C" w:rsidRPr="000B5124">
              <w:rPr>
                <w:rStyle w:val="Hyperlink"/>
                <w:noProof/>
              </w:rPr>
              <w:t>12.2.3. HIV-Related Mania</w:t>
            </w:r>
            <w:r w:rsidR="004C4B6C">
              <w:rPr>
                <w:noProof/>
                <w:webHidden/>
              </w:rPr>
              <w:tab/>
            </w:r>
            <w:r w:rsidR="008A3C38">
              <w:rPr>
                <w:noProof/>
                <w:webHidden/>
              </w:rPr>
              <w:fldChar w:fldCharType="begin"/>
            </w:r>
            <w:r w:rsidR="004C4B6C">
              <w:rPr>
                <w:noProof/>
                <w:webHidden/>
              </w:rPr>
              <w:instrText xml:space="preserve"> PAGEREF _Toc382214143 \h </w:instrText>
            </w:r>
            <w:r w:rsidR="008A3C38">
              <w:rPr>
                <w:noProof/>
                <w:webHidden/>
              </w:rPr>
            </w:r>
            <w:r w:rsidR="008A3C38">
              <w:rPr>
                <w:noProof/>
                <w:webHidden/>
              </w:rPr>
              <w:fldChar w:fldCharType="separate"/>
            </w:r>
            <w:r w:rsidR="004C4B6C">
              <w:rPr>
                <w:noProof/>
                <w:webHidden/>
              </w:rPr>
              <w:t>189</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44" w:history="1">
            <w:r w:rsidR="004C4B6C" w:rsidRPr="000B5124">
              <w:rPr>
                <w:rStyle w:val="Hyperlink"/>
                <w:rFonts w:ascii="Arial Narrow" w:hAnsi="Arial Narrow"/>
                <w:noProof/>
              </w:rPr>
              <w:t>12.3. Addressing Loss and Crisis amongst PLHIV</w:t>
            </w:r>
            <w:r w:rsidR="004C4B6C">
              <w:rPr>
                <w:noProof/>
                <w:webHidden/>
              </w:rPr>
              <w:tab/>
            </w:r>
            <w:r w:rsidR="008A3C38">
              <w:rPr>
                <w:noProof/>
                <w:webHidden/>
              </w:rPr>
              <w:fldChar w:fldCharType="begin"/>
            </w:r>
            <w:r w:rsidR="004C4B6C">
              <w:rPr>
                <w:noProof/>
                <w:webHidden/>
              </w:rPr>
              <w:instrText xml:space="preserve"> PAGEREF _Toc382214144 \h </w:instrText>
            </w:r>
            <w:r w:rsidR="008A3C38">
              <w:rPr>
                <w:noProof/>
                <w:webHidden/>
              </w:rPr>
            </w:r>
            <w:r w:rsidR="008A3C38">
              <w:rPr>
                <w:noProof/>
                <w:webHidden/>
              </w:rPr>
              <w:fldChar w:fldCharType="separate"/>
            </w:r>
            <w:r w:rsidR="004C4B6C">
              <w:rPr>
                <w:noProof/>
                <w:webHidden/>
              </w:rPr>
              <w:t>190</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45" w:history="1">
            <w:r w:rsidR="004C4B6C" w:rsidRPr="000B5124">
              <w:rPr>
                <w:rStyle w:val="Hyperlink"/>
                <w:rFonts w:ascii="Arial Narrow" w:hAnsi="Arial Narrow"/>
                <w:noProof/>
              </w:rPr>
              <w:t>12.4. Anxiety Disorders</w:t>
            </w:r>
            <w:r w:rsidR="004C4B6C">
              <w:rPr>
                <w:noProof/>
                <w:webHidden/>
              </w:rPr>
              <w:tab/>
            </w:r>
            <w:r w:rsidR="008A3C38">
              <w:rPr>
                <w:noProof/>
                <w:webHidden/>
              </w:rPr>
              <w:fldChar w:fldCharType="begin"/>
            </w:r>
            <w:r w:rsidR="004C4B6C">
              <w:rPr>
                <w:noProof/>
                <w:webHidden/>
              </w:rPr>
              <w:instrText xml:space="preserve"> PAGEREF _Toc382214145 \h </w:instrText>
            </w:r>
            <w:r w:rsidR="008A3C38">
              <w:rPr>
                <w:noProof/>
                <w:webHidden/>
              </w:rPr>
            </w:r>
            <w:r w:rsidR="008A3C38">
              <w:rPr>
                <w:noProof/>
                <w:webHidden/>
              </w:rPr>
              <w:fldChar w:fldCharType="separate"/>
            </w:r>
            <w:r w:rsidR="004C4B6C">
              <w:rPr>
                <w:noProof/>
                <w:webHidden/>
              </w:rPr>
              <w:t>191</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46" w:history="1">
            <w:r w:rsidR="004C4B6C" w:rsidRPr="000B5124">
              <w:rPr>
                <w:rStyle w:val="Hyperlink"/>
                <w:rFonts w:ascii="Arial Narrow" w:hAnsi="Arial Narrow"/>
                <w:noProof/>
              </w:rPr>
              <w:t>12.5. Major Depressive Disorder</w:t>
            </w:r>
            <w:r w:rsidR="004C4B6C">
              <w:rPr>
                <w:noProof/>
                <w:webHidden/>
              </w:rPr>
              <w:tab/>
            </w:r>
            <w:r w:rsidR="008A3C38">
              <w:rPr>
                <w:noProof/>
                <w:webHidden/>
              </w:rPr>
              <w:fldChar w:fldCharType="begin"/>
            </w:r>
            <w:r w:rsidR="004C4B6C">
              <w:rPr>
                <w:noProof/>
                <w:webHidden/>
              </w:rPr>
              <w:instrText xml:space="preserve"> PAGEREF _Toc382214146 \h </w:instrText>
            </w:r>
            <w:r w:rsidR="008A3C38">
              <w:rPr>
                <w:noProof/>
                <w:webHidden/>
              </w:rPr>
            </w:r>
            <w:r w:rsidR="008A3C38">
              <w:rPr>
                <w:noProof/>
                <w:webHidden/>
              </w:rPr>
              <w:fldChar w:fldCharType="separate"/>
            </w:r>
            <w:r w:rsidR="004C4B6C">
              <w:rPr>
                <w:noProof/>
                <w:webHidden/>
              </w:rPr>
              <w:t>192</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47" w:history="1">
            <w:r w:rsidR="004C4B6C" w:rsidRPr="000B5124">
              <w:rPr>
                <w:rStyle w:val="Hyperlink"/>
                <w:rFonts w:ascii="Arial Narrow" w:hAnsi="Arial Narrow"/>
                <w:noProof/>
              </w:rPr>
              <w:t>12.6 .Alcohol and Substance Use Disorders</w:t>
            </w:r>
            <w:r w:rsidR="004C4B6C">
              <w:rPr>
                <w:noProof/>
                <w:webHidden/>
              </w:rPr>
              <w:tab/>
            </w:r>
            <w:r w:rsidR="008A3C38">
              <w:rPr>
                <w:noProof/>
                <w:webHidden/>
              </w:rPr>
              <w:fldChar w:fldCharType="begin"/>
            </w:r>
            <w:r w:rsidR="004C4B6C">
              <w:rPr>
                <w:noProof/>
                <w:webHidden/>
              </w:rPr>
              <w:instrText xml:space="preserve"> PAGEREF _Toc382214147 \h </w:instrText>
            </w:r>
            <w:r w:rsidR="008A3C38">
              <w:rPr>
                <w:noProof/>
                <w:webHidden/>
              </w:rPr>
            </w:r>
            <w:r w:rsidR="008A3C38">
              <w:rPr>
                <w:noProof/>
                <w:webHidden/>
              </w:rPr>
              <w:fldChar w:fldCharType="separate"/>
            </w:r>
            <w:r w:rsidR="004C4B6C">
              <w:rPr>
                <w:noProof/>
                <w:webHidden/>
              </w:rPr>
              <w:t>194</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48" w:history="1">
            <w:r w:rsidR="004C4B6C" w:rsidRPr="000B5124">
              <w:rPr>
                <w:rStyle w:val="Hyperlink"/>
                <w:noProof/>
              </w:rPr>
              <w:t>12.6.1 Alcohol Dependence</w:t>
            </w:r>
            <w:r w:rsidR="004C4B6C">
              <w:rPr>
                <w:noProof/>
                <w:webHidden/>
              </w:rPr>
              <w:tab/>
            </w:r>
            <w:r w:rsidR="008A3C38">
              <w:rPr>
                <w:noProof/>
                <w:webHidden/>
              </w:rPr>
              <w:fldChar w:fldCharType="begin"/>
            </w:r>
            <w:r w:rsidR="004C4B6C">
              <w:rPr>
                <w:noProof/>
                <w:webHidden/>
              </w:rPr>
              <w:instrText xml:space="preserve"> PAGEREF _Toc382214148 \h </w:instrText>
            </w:r>
            <w:r w:rsidR="008A3C38">
              <w:rPr>
                <w:noProof/>
                <w:webHidden/>
              </w:rPr>
            </w:r>
            <w:r w:rsidR="008A3C38">
              <w:rPr>
                <w:noProof/>
                <w:webHidden/>
              </w:rPr>
              <w:fldChar w:fldCharType="separate"/>
            </w:r>
            <w:r w:rsidR="004C4B6C">
              <w:rPr>
                <w:noProof/>
                <w:webHidden/>
              </w:rPr>
              <w:t>194</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49" w:history="1">
            <w:r w:rsidR="004C4B6C" w:rsidRPr="000B5124">
              <w:rPr>
                <w:rStyle w:val="Hyperlink"/>
                <w:noProof/>
              </w:rPr>
              <w:t>12.6.2 Alcohol, Substance Use and HIV</w:t>
            </w:r>
            <w:r w:rsidR="004C4B6C">
              <w:rPr>
                <w:noProof/>
                <w:webHidden/>
              </w:rPr>
              <w:tab/>
            </w:r>
            <w:r w:rsidR="008A3C38">
              <w:rPr>
                <w:noProof/>
                <w:webHidden/>
              </w:rPr>
              <w:fldChar w:fldCharType="begin"/>
            </w:r>
            <w:r w:rsidR="004C4B6C">
              <w:rPr>
                <w:noProof/>
                <w:webHidden/>
              </w:rPr>
              <w:instrText xml:space="preserve"> PAGEREF _Toc382214149 \h </w:instrText>
            </w:r>
            <w:r w:rsidR="008A3C38">
              <w:rPr>
                <w:noProof/>
                <w:webHidden/>
              </w:rPr>
            </w:r>
            <w:r w:rsidR="008A3C38">
              <w:rPr>
                <w:noProof/>
                <w:webHidden/>
              </w:rPr>
              <w:fldChar w:fldCharType="separate"/>
            </w:r>
            <w:r w:rsidR="004C4B6C">
              <w:rPr>
                <w:noProof/>
                <w:webHidden/>
              </w:rPr>
              <w:t>195</w:t>
            </w:r>
            <w:r w:rsidR="008A3C38">
              <w:rPr>
                <w:noProof/>
                <w:webHidden/>
              </w:rPr>
              <w:fldChar w:fldCharType="end"/>
            </w:r>
          </w:hyperlink>
        </w:p>
        <w:p w:rsidR="004C4B6C" w:rsidRDefault="001D28FE">
          <w:pPr>
            <w:pStyle w:val="TOC1"/>
            <w:tabs>
              <w:tab w:val="right" w:leader="dot" w:pos="9350"/>
            </w:tabs>
            <w:rPr>
              <w:rFonts w:asciiTheme="minorHAnsi" w:eastAsiaTheme="minorEastAsia" w:hAnsiTheme="minorHAnsi" w:cstheme="minorBidi"/>
              <w:noProof/>
              <w:color w:val="auto"/>
            </w:rPr>
          </w:pPr>
          <w:hyperlink w:anchor="_Toc382214150" w:history="1">
            <w:r w:rsidR="004C4B6C" w:rsidRPr="000B5124">
              <w:rPr>
                <w:rStyle w:val="Hyperlink"/>
                <w:rFonts w:ascii="Arial" w:hAnsi="Arial" w:cs="Arial"/>
                <w:i/>
                <w:iCs/>
                <w:noProof/>
              </w:rPr>
              <w:t>Adopted from American Psychiatric Association</w:t>
            </w:r>
            <w:r w:rsidR="004C4B6C" w:rsidRPr="000B5124">
              <w:rPr>
                <w:rStyle w:val="Hyperlink"/>
                <w:rFonts w:ascii="Arial" w:hAnsi="Arial" w:cs="Arial"/>
                <w:iCs/>
                <w:noProof/>
              </w:rPr>
              <w:t>:</w:t>
            </w:r>
            <w:r w:rsidR="004C4B6C" w:rsidRPr="000B5124">
              <w:rPr>
                <w:rStyle w:val="Hyperlink"/>
                <w:rFonts w:ascii="Arial" w:eastAsia="Times New Roman" w:hAnsi="Arial" w:cs="Arial"/>
                <w:i/>
                <w:noProof/>
                <w:kern w:val="36"/>
              </w:rPr>
              <w:t xml:space="preserve"> Goldman’s Cecil Medicine </w:t>
            </w:r>
            <w:r w:rsidR="004C4B6C" w:rsidRPr="000B5124">
              <w:rPr>
                <w:rStyle w:val="Hyperlink"/>
                <w:rFonts w:ascii="Arial" w:eastAsia="Times New Roman" w:hAnsi="Arial" w:cs="Arial"/>
                <w:bCs/>
                <w:i/>
                <w:noProof/>
              </w:rPr>
              <w:t>by Lee Goldman and Andrew I. Schafer 24th edition published by Els.</w:t>
            </w:r>
            <w:r w:rsidR="004C4B6C">
              <w:rPr>
                <w:noProof/>
                <w:webHidden/>
              </w:rPr>
              <w:tab/>
            </w:r>
            <w:r w:rsidR="008A3C38">
              <w:rPr>
                <w:noProof/>
                <w:webHidden/>
              </w:rPr>
              <w:fldChar w:fldCharType="begin"/>
            </w:r>
            <w:r w:rsidR="004C4B6C">
              <w:rPr>
                <w:noProof/>
                <w:webHidden/>
              </w:rPr>
              <w:instrText xml:space="preserve"> PAGEREF _Toc382214150 \h </w:instrText>
            </w:r>
            <w:r w:rsidR="008A3C38">
              <w:rPr>
                <w:noProof/>
                <w:webHidden/>
              </w:rPr>
            </w:r>
            <w:r w:rsidR="008A3C38">
              <w:rPr>
                <w:noProof/>
                <w:webHidden/>
              </w:rPr>
              <w:fldChar w:fldCharType="separate"/>
            </w:r>
            <w:r w:rsidR="004C4B6C">
              <w:rPr>
                <w:noProof/>
                <w:webHidden/>
              </w:rPr>
              <w:t>197</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51" w:history="1">
            <w:r w:rsidR="004C4B6C" w:rsidRPr="000B5124">
              <w:rPr>
                <w:rStyle w:val="Hyperlink"/>
                <w:noProof/>
              </w:rPr>
              <w:t>12.7 Primary Psychosis</w:t>
            </w:r>
            <w:r w:rsidR="004C4B6C">
              <w:rPr>
                <w:noProof/>
                <w:webHidden/>
              </w:rPr>
              <w:tab/>
            </w:r>
            <w:r w:rsidR="008A3C38">
              <w:rPr>
                <w:noProof/>
                <w:webHidden/>
              </w:rPr>
              <w:fldChar w:fldCharType="begin"/>
            </w:r>
            <w:r w:rsidR="004C4B6C">
              <w:rPr>
                <w:noProof/>
                <w:webHidden/>
              </w:rPr>
              <w:instrText xml:space="preserve"> PAGEREF _Toc382214151 \h </w:instrText>
            </w:r>
            <w:r w:rsidR="008A3C38">
              <w:rPr>
                <w:noProof/>
                <w:webHidden/>
              </w:rPr>
            </w:r>
            <w:r w:rsidR="008A3C38">
              <w:rPr>
                <w:noProof/>
                <w:webHidden/>
              </w:rPr>
              <w:fldChar w:fldCharType="separate"/>
            </w:r>
            <w:r w:rsidR="004C4B6C">
              <w:rPr>
                <w:noProof/>
                <w:webHidden/>
              </w:rPr>
              <w:t>198</w:t>
            </w:r>
            <w:r w:rsidR="008A3C38">
              <w:rPr>
                <w:noProof/>
                <w:webHidden/>
              </w:rPr>
              <w:fldChar w:fldCharType="end"/>
            </w:r>
          </w:hyperlink>
        </w:p>
        <w:p w:rsidR="004C4B6C" w:rsidRDefault="001D28FE">
          <w:pPr>
            <w:pStyle w:val="TOC1"/>
            <w:tabs>
              <w:tab w:val="right" w:leader="dot" w:pos="9350"/>
            </w:tabs>
            <w:rPr>
              <w:rFonts w:asciiTheme="minorHAnsi" w:eastAsiaTheme="minorEastAsia" w:hAnsiTheme="minorHAnsi" w:cstheme="minorBidi"/>
              <w:noProof/>
              <w:color w:val="auto"/>
            </w:rPr>
          </w:pPr>
          <w:hyperlink w:anchor="_Toc382214152" w:history="1">
            <w:r w:rsidR="004C4B6C" w:rsidRPr="000B5124">
              <w:rPr>
                <w:rStyle w:val="Hyperlink"/>
                <w:noProof/>
              </w:rPr>
              <w:t>CHAPTER 13: NUTRITION IN HIV AND AIDS</w:t>
            </w:r>
            <w:r w:rsidR="004C4B6C">
              <w:rPr>
                <w:noProof/>
                <w:webHidden/>
              </w:rPr>
              <w:tab/>
            </w:r>
            <w:r w:rsidR="008A3C38">
              <w:rPr>
                <w:noProof/>
                <w:webHidden/>
              </w:rPr>
              <w:fldChar w:fldCharType="begin"/>
            </w:r>
            <w:r w:rsidR="004C4B6C">
              <w:rPr>
                <w:noProof/>
                <w:webHidden/>
              </w:rPr>
              <w:instrText xml:space="preserve"> PAGEREF _Toc382214152 \h </w:instrText>
            </w:r>
            <w:r w:rsidR="008A3C38">
              <w:rPr>
                <w:noProof/>
                <w:webHidden/>
              </w:rPr>
            </w:r>
            <w:r w:rsidR="008A3C38">
              <w:rPr>
                <w:noProof/>
                <w:webHidden/>
              </w:rPr>
              <w:fldChar w:fldCharType="separate"/>
            </w:r>
            <w:r w:rsidR="004C4B6C">
              <w:rPr>
                <w:noProof/>
                <w:webHidden/>
              </w:rPr>
              <w:t>199</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53" w:history="1">
            <w:r w:rsidR="004C4B6C" w:rsidRPr="000B5124">
              <w:rPr>
                <w:rStyle w:val="Hyperlink"/>
                <w:noProof/>
              </w:rPr>
              <w:t>13.1 Introduction</w:t>
            </w:r>
            <w:r w:rsidR="004C4B6C">
              <w:rPr>
                <w:noProof/>
                <w:webHidden/>
              </w:rPr>
              <w:tab/>
            </w:r>
            <w:r w:rsidR="008A3C38">
              <w:rPr>
                <w:noProof/>
                <w:webHidden/>
              </w:rPr>
              <w:fldChar w:fldCharType="begin"/>
            </w:r>
            <w:r w:rsidR="004C4B6C">
              <w:rPr>
                <w:noProof/>
                <w:webHidden/>
              </w:rPr>
              <w:instrText xml:space="preserve"> PAGEREF _Toc382214153 \h </w:instrText>
            </w:r>
            <w:r w:rsidR="008A3C38">
              <w:rPr>
                <w:noProof/>
                <w:webHidden/>
              </w:rPr>
            </w:r>
            <w:r w:rsidR="008A3C38">
              <w:rPr>
                <w:noProof/>
                <w:webHidden/>
              </w:rPr>
              <w:fldChar w:fldCharType="separate"/>
            </w:r>
            <w:r w:rsidR="004C4B6C">
              <w:rPr>
                <w:noProof/>
                <w:webHidden/>
              </w:rPr>
              <w:t>199</w:t>
            </w:r>
            <w:r w:rsidR="008A3C38">
              <w:rPr>
                <w:noProof/>
                <w:webHidden/>
              </w:rPr>
              <w:fldChar w:fldCharType="end"/>
            </w:r>
          </w:hyperlink>
        </w:p>
        <w:p w:rsidR="004C4B6C" w:rsidRDefault="001D28FE">
          <w:pPr>
            <w:pStyle w:val="TOC2"/>
            <w:tabs>
              <w:tab w:val="left" w:pos="880"/>
              <w:tab w:val="right" w:leader="dot" w:pos="9350"/>
            </w:tabs>
            <w:rPr>
              <w:rFonts w:asciiTheme="minorHAnsi" w:eastAsiaTheme="minorEastAsia" w:hAnsiTheme="minorHAnsi" w:cstheme="minorBidi"/>
              <w:noProof/>
              <w:color w:val="auto"/>
            </w:rPr>
          </w:pPr>
          <w:hyperlink w:anchor="_Toc382214154" w:history="1">
            <w:r w:rsidR="004C4B6C" w:rsidRPr="000B5124">
              <w:rPr>
                <w:rStyle w:val="Hyperlink"/>
                <w:noProof/>
              </w:rPr>
              <w:t>13.2</w:t>
            </w:r>
            <w:r w:rsidR="004C4B6C">
              <w:rPr>
                <w:rFonts w:asciiTheme="minorHAnsi" w:eastAsiaTheme="minorEastAsia" w:hAnsiTheme="minorHAnsi" w:cstheme="minorBidi"/>
                <w:noProof/>
                <w:color w:val="auto"/>
              </w:rPr>
              <w:tab/>
            </w:r>
            <w:r w:rsidR="004C4B6C" w:rsidRPr="000B5124">
              <w:rPr>
                <w:rStyle w:val="Hyperlink"/>
                <w:noProof/>
              </w:rPr>
              <w:t>Relationship between good nutrition and protection from Infections</w:t>
            </w:r>
            <w:r w:rsidR="004C4B6C">
              <w:rPr>
                <w:noProof/>
                <w:webHidden/>
              </w:rPr>
              <w:tab/>
            </w:r>
            <w:r w:rsidR="008A3C38">
              <w:rPr>
                <w:noProof/>
                <w:webHidden/>
              </w:rPr>
              <w:fldChar w:fldCharType="begin"/>
            </w:r>
            <w:r w:rsidR="004C4B6C">
              <w:rPr>
                <w:noProof/>
                <w:webHidden/>
              </w:rPr>
              <w:instrText xml:space="preserve"> PAGEREF _Toc382214154 \h </w:instrText>
            </w:r>
            <w:r w:rsidR="008A3C38">
              <w:rPr>
                <w:noProof/>
                <w:webHidden/>
              </w:rPr>
            </w:r>
            <w:r w:rsidR="008A3C38">
              <w:rPr>
                <w:noProof/>
                <w:webHidden/>
              </w:rPr>
              <w:fldChar w:fldCharType="separate"/>
            </w:r>
            <w:r w:rsidR="004C4B6C">
              <w:rPr>
                <w:noProof/>
                <w:webHidden/>
              </w:rPr>
              <w:t>199</w:t>
            </w:r>
            <w:r w:rsidR="008A3C38">
              <w:rPr>
                <w:noProof/>
                <w:webHidden/>
              </w:rPr>
              <w:fldChar w:fldCharType="end"/>
            </w:r>
          </w:hyperlink>
        </w:p>
        <w:p w:rsidR="004C4B6C" w:rsidRDefault="001D28FE">
          <w:pPr>
            <w:pStyle w:val="TOC2"/>
            <w:tabs>
              <w:tab w:val="left" w:pos="880"/>
              <w:tab w:val="right" w:leader="dot" w:pos="9350"/>
            </w:tabs>
            <w:rPr>
              <w:rFonts w:asciiTheme="minorHAnsi" w:eastAsiaTheme="minorEastAsia" w:hAnsiTheme="minorHAnsi" w:cstheme="minorBidi"/>
              <w:noProof/>
              <w:color w:val="auto"/>
            </w:rPr>
          </w:pPr>
          <w:hyperlink w:anchor="_Toc382214155" w:history="1">
            <w:r w:rsidR="004C4B6C" w:rsidRPr="000B5124">
              <w:rPr>
                <w:rStyle w:val="Hyperlink"/>
                <w:noProof/>
              </w:rPr>
              <w:t>13.3</w:t>
            </w:r>
            <w:r w:rsidR="004C4B6C">
              <w:rPr>
                <w:rFonts w:asciiTheme="minorHAnsi" w:eastAsiaTheme="minorEastAsia" w:hAnsiTheme="minorHAnsi" w:cstheme="minorBidi"/>
                <w:noProof/>
                <w:color w:val="auto"/>
              </w:rPr>
              <w:tab/>
            </w:r>
            <w:r w:rsidR="004C4B6C" w:rsidRPr="000B5124">
              <w:rPr>
                <w:rStyle w:val="Hyperlink"/>
                <w:noProof/>
              </w:rPr>
              <w:t>Nutrient requirements for People Living with HIV (PLHIV)</w:t>
            </w:r>
            <w:r w:rsidR="004C4B6C">
              <w:rPr>
                <w:noProof/>
                <w:webHidden/>
              </w:rPr>
              <w:tab/>
            </w:r>
            <w:r w:rsidR="008A3C38">
              <w:rPr>
                <w:noProof/>
                <w:webHidden/>
              </w:rPr>
              <w:fldChar w:fldCharType="begin"/>
            </w:r>
            <w:r w:rsidR="004C4B6C">
              <w:rPr>
                <w:noProof/>
                <w:webHidden/>
              </w:rPr>
              <w:instrText xml:space="preserve"> PAGEREF _Toc382214155 \h </w:instrText>
            </w:r>
            <w:r w:rsidR="008A3C38">
              <w:rPr>
                <w:noProof/>
                <w:webHidden/>
              </w:rPr>
            </w:r>
            <w:r w:rsidR="008A3C38">
              <w:rPr>
                <w:noProof/>
                <w:webHidden/>
              </w:rPr>
              <w:fldChar w:fldCharType="separate"/>
            </w:r>
            <w:r w:rsidR="004C4B6C">
              <w:rPr>
                <w:noProof/>
                <w:webHidden/>
              </w:rPr>
              <w:t>201</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56" w:history="1">
            <w:r w:rsidR="004C4B6C" w:rsidRPr="000B5124">
              <w:rPr>
                <w:rStyle w:val="Hyperlink"/>
                <w:rFonts w:ascii="Arial Narrow" w:hAnsi="Arial Narrow"/>
                <w:noProof/>
              </w:rPr>
              <w:t>13.4 Healthy eating for people living with HIV</w:t>
            </w:r>
            <w:r w:rsidR="004C4B6C">
              <w:rPr>
                <w:noProof/>
                <w:webHidden/>
              </w:rPr>
              <w:tab/>
            </w:r>
            <w:r w:rsidR="008A3C38">
              <w:rPr>
                <w:noProof/>
                <w:webHidden/>
              </w:rPr>
              <w:fldChar w:fldCharType="begin"/>
            </w:r>
            <w:r w:rsidR="004C4B6C">
              <w:rPr>
                <w:noProof/>
                <w:webHidden/>
              </w:rPr>
              <w:instrText xml:space="preserve"> PAGEREF _Toc382214156 \h </w:instrText>
            </w:r>
            <w:r w:rsidR="008A3C38">
              <w:rPr>
                <w:noProof/>
                <w:webHidden/>
              </w:rPr>
            </w:r>
            <w:r w:rsidR="008A3C38">
              <w:rPr>
                <w:noProof/>
                <w:webHidden/>
              </w:rPr>
              <w:fldChar w:fldCharType="separate"/>
            </w:r>
            <w:r w:rsidR="004C4B6C">
              <w:rPr>
                <w:noProof/>
                <w:webHidden/>
              </w:rPr>
              <w:t>201</w:t>
            </w:r>
            <w:r w:rsidR="008A3C38">
              <w:rPr>
                <w:noProof/>
                <w:webHidden/>
              </w:rPr>
              <w:fldChar w:fldCharType="end"/>
            </w:r>
          </w:hyperlink>
        </w:p>
        <w:p w:rsidR="004C4B6C" w:rsidRDefault="001D28FE">
          <w:pPr>
            <w:pStyle w:val="TOC2"/>
            <w:tabs>
              <w:tab w:val="left" w:pos="880"/>
              <w:tab w:val="right" w:leader="dot" w:pos="9350"/>
            </w:tabs>
            <w:rPr>
              <w:rFonts w:asciiTheme="minorHAnsi" w:eastAsiaTheme="minorEastAsia" w:hAnsiTheme="minorHAnsi" w:cstheme="minorBidi"/>
              <w:noProof/>
              <w:color w:val="auto"/>
            </w:rPr>
          </w:pPr>
          <w:hyperlink w:anchor="_Toc382214157" w:history="1">
            <w:r w:rsidR="004C4B6C" w:rsidRPr="000B5124">
              <w:rPr>
                <w:rStyle w:val="Hyperlink"/>
                <w:noProof/>
              </w:rPr>
              <w:t>13.5</w:t>
            </w:r>
            <w:r w:rsidR="004C4B6C">
              <w:rPr>
                <w:rFonts w:asciiTheme="minorHAnsi" w:eastAsiaTheme="minorEastAsia" w:hAnsiTheme="minorHAnsi" w:cstheme="minorBidi"/>
                <w:noProof/>
                <w:color w:val="auto"/>
              </w:rPr>
              <w:tab/>
            </w:r>
            <w:r w:rsidR="004C4B6C" w:rsidRPr="000B5124">
              <w:rPr>
                <w:rStyle w:val="Hyperlink"/>
                <w:noProof/>
              </w:rPr>
              <w:t>Nutritional issues associated with ARVs and other medications</w:t>
            </w:r>
            <w:r w:rsidR="004C4B6C">
              <w:rPr>
                <w:noProof/>
                <w:webHidden/>
              </w:rPr>
              <w:tab/>
            </w:r>
            <w:r w:rsidR="008A3C38">
              <w:rPr>
                <w:noProof/>
                <w:webHidden/>
              </w:rPr>
              <w:fldChar w:fldCharType="begin"/>
            </w:r>
            <w:r w:rsidR="004C4B6C">
              <w:rPr>
                <w:noProof/>
                <w:webHidden/>
              </w:rPr>
              <w:instrText xml:space="preserve"> PAGEREF _Toc382214157 \h </w:instrText>
            </w:r>
            <w:r w:rsidR="008A3C38">
              <w:rPr>
                <w:noProof/>
                <w:webHidden/>
              </w:rPr>
            </w:r>
            <w:r w:rsidR="008A3C38">
              <w:rPr>
                <w:noProof/>
                <w:webHidden/>
              </w:rPr>
              <w:fldChar w:fldCharType="separate"/>
            </w:r>
            <w:r w:rsidR="004C4B6C">
              <w:rPr>
                <w:noProof/>
                <w:webHidden/>
              </w:rPr>
              <w:t>203</w:t>
            </w:r>
            <w:r w:rsidR="008A3C38">
              <w:rPr>
                <w:noProof/>
                <w:webHidden/>
              </w:rPr>
              <w:fldChar w:fldCharType="end"/>
            </w:r>
          </w:hyperlink>
        </w:p>
        <w:p w:rsidR="004C4B6C" w:rsidRDefault="001D28FE">
          <w:pPr>
            <w:pStyle w:val="TOC1"/>
            <w:tabs>
              <w:tab w:val="right" w:leader="dot" w:pos="9350"/>
            </w:tabs>
            <w:rPr>
              <w:rFonts w:asciiTheme="minorHAnsi" w:eastAsiaTheme="minorEastAsia" w:hAnsiTheme="minorHAnsi" w:cstheme="minorBidi"/>
              <w:noProof/>
              <w:color w:val="auto"/>
            </w:rPr>
          </w:pPr>
          <w:hyperlink w:anchor="_Toc382214158" w:history="1">
            <w:r w:rsidR="004C4B6C" w:rsidRPr="000B5124">
              <w:rPr>
                <w:rStyle w:val="Hyperlink"/>
                <w:noProof/>
              </w:rPr>
              <w:t>CHAPTER 14: COMMUNITY BASED HIV AND AIDS SERVICES</w:t>
            </w:r>
            <w:r w:rsidR="004C4B6C">
              <w:rPr>
                <w:noProof/>
                <w:webHidden/>
              </w:rPr>
              <w:tab/>
            </w:r>
            <w:r w:rsidR="008A3C38">
              <w:rPr>
                <w:noProof/>
                <w:webHidden/>
              </w:rPr>
              <w:fldChar w:fldCharType="begin"/>
            </w:r>
            <w:r w:rsidR="004C4B6C">
              <w:rPr>
                <w:noProof/>
                <w:webHidden/>
              </w:rPr>
              <w:instrText xml:space="preserve"> PAGEREF _Toc382214158 \h </w:instrText>
            </w:r>
            <w:r w:rsidR="008A3C38">
              <w:rPr>
                <w:noProof/>
                <w:webHidden/>
              </w:rPr>
            </w:r>
            <w:r w:rsidR="008A3C38">
              <w:rPr>
                <w:noProof/>
                <w:webHidden/>
              </w:rPr>
              <w:fldChar w:fldCharType="separate"/>
            </w:r>
            <w:r w:rsidR="004C4B6C">
              <w:rPr>
                <w:noProof/>
                <w:webHidden/>
              </w:rPr>
              <w:t>209</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59" w:history="1">
            <w:r w:rsidR="004C4B6C" w:rsidRPr="000B5124">
              <w:rPr>
                <w:rStyle w:val="Hyperlink"/>
                <w:noProof/>
              </w:rPr>
              <w:t>14.1 Background</w:t>
            </w:r>
            <w:r w:rsidR="004C4B6C">
              <w:rPr>
                <w:noProof/>
                <w:webHidden/>
              </w:rPr>
              <w:tab/>
            </w:r>
            <w:r w:rsidR="008A3C38">
              <w:rPr>
                <w:noProof/>
                <w:webHidden/>
              </w:rPr>
              <w:fldChar w:fldCharType="begin"/>
            </w:r>
            <w:r w:rsidR="004C4B6C">
              <w:rPr>
                <w:noProof/>
                <w:webHidden/>
              </w:rPr>
              <w:instrText xml:space="preserve"> PAGEREF _Toc382214159 \h </w:instrText>
            </w:r>
            <w:r w:rsidR="008A3C38">
              <w:rPr>
                <w:noProof/>
                <w:webHidden/>
              </w:rPr>
            </w:r>
            <w:r w:rsidR="008A3C38">
              <w:rPr>
                <w:noProof/>
                <w:webHidden/>
              </w:rPr>
              <w:fldChar w:fldCharType="separate"/>
            </w:r>
            <w:r w:rsidR="004C4B6C">
              <w:rPr>
                <w:noProof/>
                <w:webHidden/>
              </w:rPr>
              <w:t>209</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60" w:history="1">
            <w:r w:rsidR="004C4B6C" w:rsidRPr="000B5124">
              <w:rPr>
                <w:rStyle w:val="Hyperlink"/>
                <w:noProof/>
                <w:kern w:val="24"/>
              </w:rPr>
              <w:t>14.2 Overall Goal</w:t>
            </w:r>
            <w:r w:rsidR="004C4B6C">
              <w:rPr>
                <w:noProof/>
                <w:webHidden/>
              </w:rPr>
              <w:tab/>
            </w:r>
            <w:r w:rsidR="008A3C38">
              <w:rPr>
                <w:noProof/>
                <w:webHidden/>
              </w:rPr>
              <w:fldChar w:fldCharType="begin"/>
            </w:r>
            <w:r w:rsidR="004C4B6C">
              <w:rPr>
                <w:noProof/>
                <w:webHidden/>
              </w:rPr>
              <w:instrText xml:space="preserve"> PAGEREF _Toc382214160 \h </w:instrText>
            </w:r>
            <w:r w:rsidR="008A3C38">
              <w:rPr>
                <w:noProof/>
                <w:webHidden/>
              </w:rPr>
            </w:r>
            <w:r w:rsidR="008A3C38">
              <w:rPr>
                <w:noProof/>
                <w:webHidden/>
              </w:rPr>
              <w:fldChar w:fldCharType="separate"/>
            </w:r>
            <w:r w:rsidR="004C4B6C">
              <w:rPr>
                <w:noProof/>
                <w:webHidden/>
              </w:rPr>
              <w:t>209</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61" w:history="1">
            <w:r w:rsidR="004C4B6C" w:rsidRPr="000B5124">
              <w:rPr>
                <w:rStyle w:val="Hyperlink"/>
                <w:noProof/>
                <w:kern w:val="24"/>
              </w:rPr>
              <w:t>14.3 Scope of CBHS</w:t>
            </w:r>
            <w:r w:rsidR="004C4B6C">
              <w:rPr>
                <w:noProof/>
                <w:webHidden/>
              </w:rPr>
              <w:tab/>
            </w:r>
            <w:r w:rsidR="008A3C38">
              <w:rPr>
                <w:noProof/>
                <w:webHidden/>
              </w:rPr>
              <w:fldChar w:fldCharType="begin"/>
            </w:r>
            <w:r w:rsidR="004C4B6C">
              <w:rPr>
                <w:noProof/>
                <w:webHidden/>
              </w:rPr>
              <w:instrText xml:space="preserve"> PAGEREF _Toc382214161 \h </w:instrText>
            </w:r>
            <w:r w:rsidR="008A3C38">
              <w:rPr>
                <w:noProof/>
                <w:webHidden/>
              </w:rPr>
            </w:r>
            <w:r w:rsidR="008A3C38">
              <w:rPr>
                <w:noProof/>
                <w:webHidden/>
              </w:rPr>
              <w:fldChar w:fldCharType="separate"/>
            </w:r>
            <w:r w:rsidR="004C4B6C">
              <w:rPr>
                <w:noProof/>
                <w:webHidden/>
              </w:rPr>
              <w:t>209</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62" w:history="1">
            <w:r w:rsidR="004C4B6C" w:rsidRPr="000B5124">
              <w:rPr>
                <w:rStyle w:val="Hyperlink"/>
                <w:noProof/>
                <w:kern w:val="24"/>
              </w:rPr>
              <w:t>14.3.1 Contribution of CBHS in Treatment support</w:t>
            </w:r>
            <w:r w:rsidR="004C4B6C">
              <w:rPr>
                <w:noProof/>
                <w:webHidden/>
              </w:rPr>
              <w:tab/>
            </w:r>
            <w:r w:rsidR="008A3C38">
              <w:rPr>
                <w:noProof/>
                <w:webHidden/>
              </w:rPr>
              <w:fldChar w:fldCharType="begin"/>
            </w:r>
            <w:r w:rsidR="004C4B6C">
              <w:rPr>
                <w:noProof/>
                <w:webHidden/>
              </w:rPr>
              <w:instrText xml:space="preserve"> PAGEREF _Toc382214162 \h </w:instrText>
            </w:r>
            <w:r w:rsidR="008A3C38">
              <w:rPr>
                <w:noProof/>
                <w:webHidden/>
              </w:rPr>
            </w:r>
            <w:r w:rsidR="008A3C38">
              <w:rPr>
                <w:noProof/>
                <w:webHidden/>
              </w:rPr>
              <w:fldChar w:fldCharType="separate"/>
            </w:r>
            <w:r w:rsidR="004C4B6C">
              <w:rPr>
                <w:noProof/>
                <w:webHidden/>
              </w:rPr>
              <w:t>210</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63" w:history="1">
            <w:r w:rsidR="004C4B6C" w:rsidRPr="000B5124">
              <w:rPr>
                <w:rStyle w:val="Hyperlink"/>
                <w:noProof/>
                <w:kern w:val="24"/>
              </w:rPr>
              <w:t>14.4 Target group</w:t>
            </w:r>
            <w:r w:rsidR="004C4B6C">
              <w:rPr>
                <w:noProof/>
                <w:webHidden/>
              </w:rPr>
              <w:tab/>
            </w:r>
            <w:r w:rsidR="008A3C38">
              <w:rPr>
                <w:noProof/>
                <w:webHidden/>
              </w:rPr>
              <w:fldChar w:fldCharType="begin"/>
            </w:r>
            <w:r w:rsidR="004C4B6C">
              <w:rPr>
                <w:noProof/>
                <w:webHidden/>
              </w:rPr>
              <w:instrText xml:space="preserve"> PAGEREF _Toc382214163 \h </w:instrText>
            </w:r>
            <w:r w:rsidR="008A3C38">
              <w:rPr>
                <w:noProof/>
                <w:webHidden/>
              </w:rPr>
            </w:r>
            <w:r w:rsidR="008A3C38">
              <w:rPr>
                <w:noProof/>
                <w:webHidden/>
              </w:rPr>
              <w:fldChar w:fldCharType="separate"/>
            </w:r>
            <w:r w:rsidR="004C4B6C">
              <w:rPr>
                <w:noProof/>
                <w:webHidden/>
              </w:rPr>
              <w:t>212</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64" w:history="1">
            <w:r w:rsidR="004C4B6C" w:rsidRPr="000B5124">
              <w:rPr>
                <w:rStyle w:val="Hyperlink"/>
                <w:noProof/>
                <w:kern w:val="24"/>
              </w:rPr>
              <w:t>14.5 Key service provider in CBHS</w:t>
            </w:r>
            <w:r w:rsidR="004C4B6C">
              <w:rPr>
                <w:noProof/>
                <w:webHidden/>
              </w:rPr>
              <w:tab/>
            </w:r>
            <w:r w:rsidR="008A3C38">
              <w:rPr>
                <w:noProof/>
                <w:webHidden/>
              </w:rPr>
              <w:fldChar w:fldCharType="begin"/>
            </w:r>
            <w:r w:rsidR="004C4B6C">
              <w:rPr>
                <w:noProof/>
                <w:webHidden/>
              </w:rPr>
              <w:instrText xml:space="preserve"> PAGEREF _Toc382214164 \h </w:instrText>
            </w:r>
            <w:r w:rsidR="008A3C38">
              <w:rPr>
                <w:noProof/>
                <w:webHidden/>
              </w:rPr>
            </w:r>
            <w:r w:rsidR="008A3C38">
              <w:rPr>
                <w:noProof/>
                <w:webHidden/>
              </w:rPr>
              <w:fldChar w:fldCharType="separate"/>
            </w:r>
            <w:r w:rsidR="004C4B6C">
              <w:rPr>
                <w:noProof/>
                <w:webHidden/>
              </w:rPr>
              <w:t>212</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65" w:history="1">
            <w:r w:rsidR="004C4B6C" w:rsidRPr="000B5124">
              <w:rPr>
                <w:rStyle w:val="Hyperlink"/>
                <w:noProof/>
                <w:kern w:val="24"/>
              </w:rPr>
              <w:t>14.6 Selection criteria</w:t>
            </w:r>
            <w:r w:rsidR="004C4B6C">
              <w:rPr>
                <w:noProof/>
                <w:webHidden/>
              </w:rPr>
              <w:tab/>
            </w:r>
            <w:r w:rsidR="008A3C38">
              <w:rPr>
                <w:noProof/>
                <w:webHidden/>
              </w:rPr>
              <w:fldChar w:fldCharType="begin"/>
            </w:r>
            <w:r w:rsidR="004C4B6C">
              <w:rPr>
                <w:noProof/>
                <w:webHidden/>
              </w:rPr>
              <w:instrText xml:space="preserve"> PAGEREF _Toc382214165 \h </w:instrText>
            </w:r>
            <w:r w:rsidR="008A3C38">
              <w:rPr>
                <w:noProof/>
                <w:webHidden/>
              </w:rPr>
            </w:r>
            <w:r w:rsidR="008A3C38">
              <w:rPr>
                <w:noProof/>
                <w:webHidden/>
              </w:rPr>
              <w:fldChar w:fldCharType="separate"/>
            </w:r>
            <w:r w:rsidR="004C4B6C">
              <w:rPr>
                <w:noProof/>
                <w:webHidden/>
              </w:rPr>
              <w:t>212</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66" w:history="1">
            <w:r w:rsidR="004C4B6C" w:rsidRPr="000B5124">
              <w:rPr>
                <w:rStyle w:val="Hyperlink"/>
                <w:noProof/>
                <w:kern w:val="24"/>
              </w:rPr>
              <w:t>14.7 Training</w:t>
            </w:r>
            <w:r w:rsidR="004C4B6C">
              <w:rPr>
                <w:noProof/>
                <w:webHidden/>
              </w:rPr>
              <w:tab/>
            </w:r>
            <w:r w:rsidR="008A3C38">
              <w:rPr>
                <w:noProof/>
                <w:webHidden/>
              </w:rPr>
              <w:fldChar w:fldCharType="begin"/>
            </w:r>
            <w:r w:rsidR="004C4B6C">
              <w:rPr>
                <w:noProof/>
                <w:webHidden/>
              </w:rPr>
              <w:instrText xml:space="preserve"> PAGEREF _Toc382214166 \h </w:instrText>
            </w:r>
            <w:r w:rsidR="008A3C38">
              <w:rPr>
                <w:noProof/>
                <w:webHidden/>
              </w:rPr>
            </w:r>
            <w:r w:rsidR="008A3C38">
              <w:rPr>
                <w:noProof/>
                <w:webHidden/>
              </w:rPr>
              <w:fldChar w:fldCharType="separate"/>
            </w:r>
            <w:r w:rsidR="004C4B6C">
              <w:rPr>
                <w:noProof/>
                <w:webHidden/>
              </w:rPr>
              <w:t>212</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67" w:history="1">
            <w:r w:rsidR="004C4B6C" w:rsidRPr="000B5124">
              <w:rPr>
                <w:rStyle w:val="Hyperlink"/>
                <w:rFonts w:eastAsia="Times New Roman"/>
                <w:noProof/>
              </w:rPr>
              <w:t>14.8 Roles and responsibilities of CBHSP</w:t>
            </w:r>
            <w:r w:rsidR="004C4B6C" w:rsidRPr="000B5124">
              <w:rPr>
                <w:rStyle w:val="Hyperlink"/>
                <w:noProof/>
              </w:rPr>
              <w:t>roviders</w:t>
            </w:r>
            <w:r w:rsidR="004C4B6C">
              <w:rPr>
                <w:noProof/>
                <w:webHidden/>
              </w:rPr>
              <w:tab/>
            </w:r>
            <w:r w:rsidR="008A3C38">
              <w:rPr>
                <w:noProof/>
                <w:webHidden/>
              </w:rPr>
              <w:fldChar w:fldCharType="begin"/>
            </w:r>
            <w:r w:rsidR="004C4B6C">
              <w:rPr>
                <w:noProof/>
                <w:webHidden/>
              </w:rPr>
              <w:instrText xml:space="preserve"> PAGEREF _Toc382214167 \h </w:instrText>
            </w:r>
            <w:r w:rsidR="008A3C38">
              <w:rPr>
                <w:noProof/>
                <w:webHidden/>
              </w:rPr>
            </w:r>
            <w:r w:rsidR="008A3C38">
              <w:rPr>
                <w:noProof/>
                <w:webHidden/>
              </w:rPr>
              <w:fldChar w:fldCharType="separate"/>
            </w:r>
            <w:r w:rsidR="004C4B6C">
              <w:rPr>
                <w:noProof/>
                <w:webHidden/>
              </w:rPr>
              <w:t>213</w:t>
            </w:r>
            <w:r w:rsidR="008A3C38">
              <w:rPr>
                <w:noProof/>
                <w:webHidden/>
              </w:rPr>
              <w:fldChar w:fldCharType="end"/>
            </w:r>
          </w:hyperlink>
        </w:p>
        <w:p w:rsidR="004C4B6C" w:rsidRDefault="001D28FE">
          <w:pPr>
            <w:pStyle w:val="TOC1"/>
            <w:tabs>
              <w:tab w:val="right" w:leader="dot" w:pos="9350"/>
            </w:tabs>
            <w:rPr>
              <w:rFonts w:asciiTheme="minorHAnsi" w:eastAsiaTheme="minorEastAsia" w:hAnsiTheme="minorHAnsi" w:cstheme="minorBidi"/>
              <w:noProof/>
              <w:color w:val="auto"/>
            </w:rPr>
          </w:pPr>
          <w:hyperlink w:anchor="_Toc382214168" w:history="1">
            <w:r w:rsidR="004C4B6C" w:rsidRPr="000B5124">
              <w:rPr>
                <w:rStyle w:val="Hyperlink"/>
                <w:noProof/>
              </w:rPr>
              <w:t>CHAPTER 16: MONITORING AND EVALUATION</w:t>
            </w:r>
            <w:r w:rsidR="004C4B6C">
              <w:rPr>
                <w:noProof/>
                <w:webHidden/>
              </w:rPr>
              <w:tab/>
            </w:r>
            <w:r w:rsidR="008A3C38">
              <w:rPr>
                <w:noProof/>
                <w:webHidden/>
              </w:rPr>
              <w:fldChar w:fldCharType="begin"/>
            </w:r>
            <w:r w:rsidR="004C4B6C">
              <w:rPr>
                <w:noProof/>
                <w:webHidden/>
              </w:rPr>
              <w:instrText xml:space="preserve"> PAGEREF _Toc382214168 \h </w:instrText>
            </w:r>
            <w:r w:rsidR="008A3C38">
              <w:rPr>
                <w:noProof/>
                <w:webHidden/>
              </w:rPr>
            </w:r>
            <w:r w:rsidR="008A3C38">
              <w:rPr>
                <w:noProof/>
                <w:webHidden/>
              </w:rPr>
              <w:fldChar w:fldCharType="separate"/>
            </w:r>
            <w:r w:rsidR="004C4B6C">
              <w:rPr>
                <w:noProof/>
                <w:webHidden/>
              </w:rPr>
              <w:t>214</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69" w:history="1">
            <w:r w:rsidR="004C4B6C" w:rsidRPr="000B5124">
              <w:rPr>
                <w:rStyle w:val="Hyperlink"/>
                <w:noProof/>
              </w:rPr>
              <w:t>16.1 Introduction</w:t>
            </w:r>
            <w:r w:rsidR="004C4B6C">
              <w:rPr>
                <w:noProof/>
                <w:webHidden/>
              </w:rPr>
              <w:tab/>
            </w:r>
            <w:r w:rsidR="008A3C38">
              <w:rPr>
                <w:noProof/>
                <w:webHidden/>
              </w:rPr>
              <w:fldChar w:fldCharType="begin"/>
            </w:r>
            <w:r w:rsidR="004C4B6C">
              <w:rPr>
                <w:noProof/>
                <w:webHidden/>
              </w:rPr>
              <w:instrText xml:space="preserve"> PAGEREF _Toc382214169 \h </w:instrText>
            </w:r>
            <w:r w:rsidR="008A3C38">
              <w:rPr>
                <w:noProof/>
                <w:webHidden/>
              </w:rPr>
            </w:r>
            <w:r w:rsidR="008A3C38">
              <w:rPr>
                <w:noProof/>
                <w:webHidden/>
              </w:rPr>
              <w:fldChar w:fldCharType="separate"/>
            </w:r>
            <w:r w:rsidR="004C4B6C">
              <w:rPr>
                <w:noProof/>
                <w:webHidden/>
              </w:rPr>
              <w:t>214</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70" w:history="1">
            <w:r w:rsidR="004C4B6C" w:rsidRPr="000B5124">
              <w:rPr>
                <w:rStyle w:val="Hyperlink"/>
                <w:noProof/>
              </w:rPr>
              <w:t>16.2 Key components of monitoring and evaluation</w:t>
            </w:r>
            <w:r w:rsidR="004C4B6C">
              <w:rPr>
                <w:noProof/>
                <w:webHidden/>
              </w:rPr>
              <w:tab/>
            </w:r>
            <w:r w:rsidR="008A3C38">
              <w:rPr>
                <w:noProof/>
                <w:webHidden/>
              </w:rPr>
              <w:fldChar w:fldCharType="begin"/>
            </w:r>
            <w:r w:rsidR="004C4B6C">
              <w:rPr>
                <w:noProof/>
                <w:webHidden/>
              </w:rPr>
              <w:instrText xml:space="preserve"> PAGEREF _Toc382214170 \h </w:instrText>
            </w:r>
            <w:r w:rsidR="008A3C38">
              <w:rPr>
                <w:noProof/>
                <w:webHidden/>
              </w:rPr>
            </w:r>
            <w:r w:rsidR="008A3C38">
              <w:rPr>
                <w:noProof/>
                <w:webHidden/>
              </w:rPr>
              <w:fldChar w:fldCharType="separate"/>
            </w:r>
            <w:r w:rsidR="004C4B6C">
              <w:rPr>
                <w:noProof/>
                <w:webHidden/>
              </w:rPr>
              <w:t>214</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71" w:history="1">
            <w:r w:rsidR="004C4B6C" w:rsidRPr="000B5124">
              <w:rPr>
                <w:rStyle w:val="Hyperlink"/>
                <w:noProof/>
              </w:rPr>
              <w:t>16.2.1 Recording</w:t>
            </w:r>
            <w:r w:rsidR="004C4B6C">
              <w:rPr>
                <w:noProof/>
                <w:webHidden/>
              </w:rPr>
              <w:tab/>
            </w:r>
            <w:r w:rsidR="008A3C38">
              <w:rPr>
                <w:noProof/>
                <w:webHidden/>
              </w:rPr>
              <w:fldChar w:fldCharType="begin"/>
            </w:r>
            <w:r w:rsidR="004C4B6C">
              <w:rPr>
                <w:noProof/>
                <w:webHidden/>
              </w:rPr>
              <w:instrText xml:space="preserve"> PAGEREF _Toc382214171 \h </w:instrText>
            </w:r>
            <w:r w:rsidR="008A3C38">
              <w:rPr>
                <w:noProof/>
                <w:webHidden/>
              </w:rPr>
            </w:r>
            <w:r w:rsidR="008A3C38">
              <w:rPr>
                <w:noProof/>
                <w:webHidden/>
              </w:rPr>
              <w:fldChar w:fldCharType="separate"/>
            </w:r>
            <w:r w:rsidR="004C4B6C">
              <w:rPr>
                <w:noProof/>
                <w:webHidden/>
              </w:rPr>
              <w:t>214</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72" w:history="1">
            <w:r w:rsidR="004C4B6C" w:rsidRPr="000B5124">
              <w:rPr>
                <w:rStyle w:val="Hyperlink"/>
                <w:noProof/>
              </w:rPr>
              <w:t>16.2.2 Reporting</w:t>
            </w:r>
            <w:r w:rsidR="004C4B6C">
              <w:rPr>
                <w:noProof/>
                <w:webHidden/>
              </w:rPr>
              <w:tab/>
            </w:r>
            <w:r w:rsidR="008A3C38">
              <w:rPr>
                <w:noProof/>
                <w:webHidden/>
              </w:rPr>
              <w:fldChar w:fldCharType="begin"/>
            </w:r>
            <w:r w:rsidR="004C4B6C">
              <w:rPr>
                <w:noProof/>
                <w:webHidden/>
              </w:rPr>
              <w:instrText xml:space="preserve"> PAGEREF _Toc382214172 \h </w:instrText>
            </w:r>
            <w:r w:rsidR="008A3C38">
              <w:rPr>
                <w:noProof/>
                <w:webHidden/>
              </w:rPr>
            </w:r>
            <w:r w:rsidR="008A3C38">
              <w:rPr>
                <w:noProof/>
                <w:webHidden/>
              </w:rPr>
              <w:fldChar w:fldCharType="separate"/>
            </w:r>
            <w:r w:rsidR="004C4B6C">
              <w:rPr>
                <w:noProof/>
                <w:webHidden/>
              </w:rPr>
              <w:t>215</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73" w:history="1">
            <w:r w:rsidR="004C4B6C" w:rsidRPr="000B5124">
              <w:rPr>
                <w:rStyle w:val="Hyperlink"/>
                <w:noProof/>
              </w:rPr>
              <w:t>16.2.3 Data analysis and presentation</w:t>
            </w:r>
            <w:r w:rsidR="004C4B6C">
              <w:rPr>
                <w:noProof/>
                <w:webHidden/>
              </w:rPr>
              <w:tab/>
            </w:r>
            <w:r w:rsidR="008A3C38">
              <w:rPr>
                <w:noProof/>
                <w:webHidden/>
              </w:rPr>
              <w:fldChar w:fldCharType="begin"/>
            </w:r>
            <w:r w:rsidR="004C4B6C">
              <w:rPr>
                <w:noProof/>
                <w:webHidden/>
              </w:rPr>
              <w:instrText xml:space="preserve"> PAGEREF _Toc382214173 \h </w:instrText>
            </w:r>
            <w:r w:rsidR="008A3C38">
              <w:rPr>
                <w:noProof/>
                <w:webHidden/>
              </w:rPr>
            </w:r>
            <w:r w:rsidR="008A3C38">
              <w:rPr>
                <w:noProof/>
                <w:webHidden/>
              </w:rPr>
              <w:fldChar w:fldCharType="separate"/>
            </w:r>
            <w:r w:rsidR="004C4B6C">
              <w:rPr>
                <w:noProof/>
                <w:webHidden/>
              </w:rPr>
              <w:t>217</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74" w:history="1">
            <w:r w:rsidR="004C4B6C" w:rsidRPr="000B5124">
              <w:rPr>
                <w:rStyle w:val="Hyperlink"/>
                <w:noProof/>
              </w:rPr>
              <w:t>16.2.4 Data quality</w:t>
            </w:r>
            <w:r w:rsidR="004C4B6C">
              <w:rPr>
                <w:noProof/>
                <w:webHidden/>
              </w:rPr>
              <w:tab/>
            </w:r>
            <w:r w:rsidR="008A3C38">
              <w:rPr>
                <w:noProof/>
                <w:webHidden/>
              </w:rPr>
              <w:fldChar w:fldCharType="begin"/>
            </w:r>
            <w:r w:rsidR="004C4B6C">
              <w:rPr>
                <w:noProof/>
                <w:webHidden/>
              </w:rPr>
              <w:instrText xml:space="preserve"> PAGEREF _Toc382214174 \h </w:instrText>
            </w:r>
            <w:r w:rsidR="008A3C38">
              <w:rPr>
                <w:noProof/>
                <w:webHidden/>
              </w:rPr>
            </w:r>
            <w:r w:rsidR="008A3C38">
              <w:rPr>
                <w:noProof/>
                <w:webHidden/>
              </w:rPr>
              <w:fldChar w:fldCharType="separate"/>
            </w:r>
            <w:r w:rsidR="004C4B6C">
              <w:rPr>
                <w:noProof/>
                <w:webHidden/>
              </w:rPr>
              <w:t>217</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75" w:history="1">
            <w:r w:rsidR="004C4B6C" w:rsidRPr="000B5124">
              <w:rPr>
                <w:rStyle w:val="Hyperlink"/>
                <w:noProof/>
              </w:rPr>
              <w:t>16.2.5 Data utilization</w:t>
            </w:r>
            <w:r w:rsidR="004C4B6C">
              <w:rPr>
                <w:noProof/>
                <w:webHidden/>
              </w:rPr>
              <w:tab/>
            </w:r>
            <w:r w:rsidR="008A3C38">
              <w:rPr>
                <w:noProof/>
                <w:webHidden/>
              </w:rPr>
              <w:fldChar w:fldCharType="begin"/>
            </w:r>
            <w:r w:rsidR="004C4B6C">
              <w:rPr>
                <w:noProof/>
                <w:webHidden/>
              </w:rPr>
              <w:instrText xml:space="preserve"> PAGEREF _Toc382214175 \h </w:instrText>
            </w:r>
            <w:r w:rsidR="008A3C38">
              <w:rPr>
                <w:noProof/>
                <w:webHidden/>
              </w:rPr>
            </w:r>
            <w:r w:rsidR="008A3C38">
              <w:rPr>
                <w:noProof/>
                <w:webHidden/>
              </w:rPr>
              <w:fldChar w:fldCharType="separate"/>
            </w:r>
            <w:r w:rsidR="004C4B6C">
              <w:rPr>
                <w:noProof/>
                <w:webHidden/>
              </w:rPr>
              <w:t>217</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76" w:history="1">
            <w:r w:rsidR="004C4B6C" w:rsidRPr="000B5124">
              <w:rPr>
                <w:rStyle w:val="Hyperlink"/>
                <w:noProof/>
              </w:rPr>
              <w:t>16. 3 Roles and Responsibilities</w:t>
            </w:r>
            <w:r w:rsidR="004C4B6C">
              <w:rPr>
                <w:noProof/>
                <w:webHidden/>
              </w:rPr>
              <w:tab/>
            </w:r>
            <w:r w:rsidR="008A3C38">
              <w:rPr>
                <w:noProof/>
                <w:webHidden/>
              </w:rPr>
              <w:fldChar w:fldCharType="begin"/>
            </w:r>
            <w:r w:rsidR="004C4B6C">
              <w:rPr>
                <w:noProof/>
                <w:webHidden/>
              </w:rPr>
              <w:instrText xml:space="preserve"> PAGEREF _Toc382214176 \h </w:instrText>
            </w:r>
            <w:r w:rsidR="008A3C38">
              <w:rPr>
                <w:noProof/>
                <w:webHidden/>
              </w:rPr>
            </w:r>
            <w:r w:rsidR="008A3C38">
              <w:rPr>
                <w:noProof/>
                <w:webHidden/>
              </w:rPr>
              <w:fldChar w:fldCharType="separate"/>
            </w:r>
            <w:r w:rsidR="004C4B6C">
              <w:rPr>
                <w:noProof/>
                <w:webHidden/>
              </w:rPr>
              <w:t>218</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77" w:history="1">
            <w:r w:rsidR="004C4B6C" w:rsidRPr="000B5124">
              <w:rPr>
                <w:rStyle w:val="Hyperlink"/>
                <w:noProof/>
              </w:rPr>
              <w:t>16.3.1 TACAIDS</w:t>
            </w:r>
            <w:r w:rsidR="004C4B6C">
              <w:rPr>
                <w:noProof/>
                <w:webHidden/>
              </w:rPr>
              <w:tab/>
            </w:r>
            <w:r w:rsidR="008A3C38">
              <w:rPr>
                <w:noProof/>
                <w:webHidden/>
              </w:rPr>
              <w:fldChar w:fldCharType="begin"/>
            </w:r>
            <w:r w:rsidR="004C4B6C">
              <w:rPr>
                <w:noProof/>
                <w:webHidden/>
              </w:rPr>
              <w:instrText xml:space="preserve"> PAGEREF _Toc382214177 \h </w:instrText>
            </w:r>
            <w:r w:rsidR="008A3C38">
              <w:rPr>
                <w:noProof/>
                <w:webHidden/>
              </w:rPr>
            </w:r>
            <w:r w:rsidR="008A3C38">
              <w:rPr>
                <w:noProof/>
                <w:webHidden/>
              </w:rPr>
              <w:fldChar w:fldCharType="separate"/>
            </w:r>
            <w:r w:rsidR="004C4B6C">
              <w:rPr>
                <w:noProof/>
                <w:webHidden/>
              </w:rPr>
              <w:t>218</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78" w:history="1">
            <w:r w:rsidR="004C4B6C" w:rsidRPr="000B5124">
              <w:rPr>
                <w:rStyle w:val="Hyperlink"/>
                <w:noProof/>
              </w:rPr>
              <w:t>16.3.2 National AIDS Control Programme (NACP)</w:t>
            </w:r>
            <w:r w:rsidR="004C4B6C">
              <w:rPr>
                <w:noProof/>
                <w:webHidden/>
              </w:rPr>
              <w:tab/>
            </w:r>
            <w:r w:rsidR="008A3C38">
              <w:rPr>
                <w:noProof/>
                <w:webHidden/>
              </w:rPr>
              <w:fldChar w:fldCharType="begin"/>
            </w:r>
            <w:r w:rsidR="004C4B6C">
              <w:rPr>
                <w:noProof/>
                <w:webHidden/>
              </w:rPr>
              <w:instrText xml:space="preserve"> PAGEREF _Toc382214178 \h </w:instrText>
            </w:r>
            <w:r w:rsidR="008A3C38">
              <w:rPr>
                <w:noProof/>
                <w:webHidden/>
              </w:rPr>
            </w:r>
            <w:r w:rsidR="008A3C38">
              <w:rPr>
                <w:noProof/>
                <w:webHidden/>
              </w:rPr>
              <w:fldChar w:fldCharType="separate"/>
            </w:r>
            <w:r w:rsidR="004C4B6C">
              <w:rPr>
                <w:noProof/>
                <w:webHidden/>
              </w:rPr>
              <w:t>218</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79" w:history="1">
            <w:r w:rsidR="004C4B6C" w:rsidRPr="000B5124">
              <w:rPr>
                <w:rStyle w:val="Hyperlink"/>
                <w:noProof/>
              </w:rPr>
              <w:t>16.3.3 Regional/District levels</w:t>
            </w:r>
            <w:r w:rsidR="004C4B6C">
              <w:rPr>
                <w:noProof/>
                <w:webHidden/>
              </w:rPr>
              <w:tab/>
            </w:r>
            <w:r w:rsidR="008A3C38">
              <w:rPr>
                <w:noProof/>
                <w:webHidden/>
              </w:rPr>
              <w:fldChar w:fldCharType="begin"/>
            </w:r>
            <w:r w:rsidR="004C4B6C">
              <w:rPr>
                <w:noProof/>
                <w:webHidden/>
              </w:rPr>
              <w:instrText xml:space="preserve"> PAGEREF _Toc382214179 \h </w:instrText>
            </w:r>
            <w:r w:rsidR="008A3C38">
              <w:rPr>
                <w:noProof/>
                <w:webHidden/>
              </w:rPr>
            </w:r>
            <w:r w:rsidR="008A3C38">
              <w:rPr>
                <w:noProof/>
                <w:webHidden/>
              </w:rPr>
              <w:fldChar w:fldCharType="separate"/>
            </w:r>
            <w:r w:rsidR="004C4B6C">
              <w:rPr>
                <w:noProof/>
                <w:webHidden/>
              </w:rPr>
              <w:t>218</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80" w:history="1">
            <w:r w:rsidR="004C4B6C" w:rsidRPr="000B5124">
              <w:rPr>
                <w:rStyle w:val="Hyperlink"/>
                <w:noProof/>
              </w:rPr>
              <w:t>16.3.4 Health Facility level</w:t>
            </w:r>
            <w:r w:rsidR="004C4B6C">
              <w:rPr>
                <w:noProof/>
                <w:webHidden/>
              </w:rPr>
              <w:tab/>
            </w:r>
            <w:r w:rsidR="008A3C38">
              <w:rPr>
                <w:noProof/>
                <w:webHidden/>
              </w:rPr>
              <w:fldChar w:fldCharType="begin"/>
            </w:r>
            <w:r w:rsidR="004C4B6C">
              <w:rPr>
                <w:noProof/>
                <w:webHidden/>
              </w:rPr>
              <w:instrText xml:space="preserve"> PAGEREF _Toc382214180 \h </w:instrText>
            </w:r>
            <w:r w:rsidR="008A3C38">
              <w:rPr>
                <w:noProof/>
                <w:webHidden/>
              </w:rPr>
            </w:r>
            <w:r w:rsidR="008A3C38">
              <w:rPr>
                <w:noProof/>
                <w:webHidden/>
              </w:rPr>
              <w:fldChar w:fldCharType="separate"/>
            </w:r>
            <w:r w:rsidR="004C4B6C">
              <w:rPr>
                <w:noProof/>
                <w:webHidden/>
              </w:rPr>
              <w:t>219</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81" w:history="1">
            <w:r w:rsidR="004C4B6C" w:rsidRPr="000B5124">
              <w:rPr>
                <w:rStyle w:val="Hyperlink"/>
                <w:noProof/>
              </w:rPr>
              <w:t>16.3.5 HIV implementing partners</w:t>
            </w:r>
            <w:r w:rsidR="004C4B6C">
              <w:rPr>
                <w:noProof/>
                <w:webHidden/>
              </w:rPr>
              <w:tab/>
            </w:r>
            <w:r w:rsidR="008A3C38">
              <w:rPr>
                <w:noProof/>
                <w:webHidden/>
              </w:rPr>
              <w:fldChar w:fldCharType="begin"/>
            </w:r>
            <w:r w:rsidR="004C4B6C">
              <w:rPr>
                <w:noProof/>
                <w:webHidden/>
              </w:rPr>
              <w:instrText xml:space="preserve"> PAGEREF _Toc382214181 \h </w:instrText>
            </w:r>
            <w:r w:rsidR="008A3C38">
              <w:rPr>
                <w:noProof/>
                <w:webHidden/>
              </w:rPr>
            </w:r>
            <w:r w:rsidR="008A3C38">
              <w:rPr>
                <w:noProof/>
                <w:webHidden/>
              </w:rPr>
              <w:fldChar w:fldCharType="separate"/>
            </w:r>
            <w:r w:rsidR="004C4B6C">
              <w:rPr>
                <w:noProof/>
                <w:webHidden/>
              </w:rPr>
              <w:t>219</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82" w:history="1">
            <w:r w:rsidR="004C4B6C" w:rsidRPr="000B5124">
              <w:rPr>
                <w:rStyle w:val="Hyperlink"/>
                <w:noProof/>
              </w:rPr>
              <w:t>16.4 Supportive supervision</w:t>
            </w:r>
            <w:r w:rsidR="004C4B6C">
              <w:rPr>
                <w:noProof/>
                <w:webHidden/>
              </w:rPr>
              <w:tab/>
            </w:r>
            <w:r w:rsidR="008A3C38">
              <w:rPr>
                <w:noProof/>
                <w:webHidden/>
              </w:rPr>
              <w:fldChar w:fldCharType="begin"/>
            </w:r>
            <w:r w:rsidR="004C4B6C">
              <w:rPr>
                <w:noProof/>
                <w:webHidden/>
              </w:rPr>
              <w:instrText xml:space="preserve"> PAGEREF _Toc382214182 \h </w:instrText>
            </w:r>
            <w:r w:rsidR="008A3C38">
              <w:rPr>
                <w:noProof/>
                <w:webHidden/>
              </w:rPr>
            </w:r>
            <w:r w:rsidR="008A3C38">
              <w:rPr>
                <w:noProof/>
                <w:webHidden/>
              </w:rPr>
              <w:fldChar w:fldCharType="separate"/>
            </w:r>
            <w:r w:rsidR="004C4B6C">
              <w:rPr>
                <w:noProof/>
                <w:webHidden/>
              </w:rPr>
              <w:t>219</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83" w:history="1">
            <w:r w:rsidR="004C4B6C" w:rsidRPr="000B5124">
              <w:rPr>
                <w:rStyle w:val="Hyperlink"/>
                <w:noProof/>
              </w:rPr>
              <w:t>16.4.1 Purpose of supervision and mentorship in TB and leprosy care and control</w:t>
            </w:r>
            <w:r w:rsidR="004C4B6C">
              <w:rPr>
                <w:noProof/>
                <w:webHidden/>
              </w:rPr>
              <w:tab/>
            </w:r>
            <w:r w:rsidR="008A3C38">
              <w:rPr>
                <w:noProof/>
                <w:webHidden/>
              </w:rPr>
              <w:fldChar w:fldCharType="begin"/>
            </w:r>
            <w:r w:rsidR="004C4B6C">
              <w:rPr>
                <w:noProof/>
                <w:webHidden/>
              </w:rPr>
              <w:instrText xml:space="preserve"> PAGEREF _Toc382214183 \h </w:instrText>
            </w:r>
            <w:r w:rsidR="008A3C38">
              <w:rPr>
                <w:noProof/>
                <w:webHidden/>
              </w:rPr>
            </w:r>
            <w:r w:rsidR="008A3C38">
              <w:rPr>
                <w:noProof/>
                <w:webHidden/>
              </w:rPr>
              <w:fldChar w:fldCharType="separate"/>
            </w:r>
            <w:r w:rsidR="004C4B6C">
              <w:rPr>
                <w:noProof/>
                <w:webHidden/>
              </w:rPr>
              <w:t>219</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84" w:history="1">
            <w:r w:rsidR="004C4B6C" w:rsidRPr="000B5124">
              <w:rPr>
                <w:rStyle w:val="Hyperlink"/>
                <w:noProof/>
              </w:rPr>
              <w:t>16.4.2 Stages of supportive supervision and mentorship in HIV/AIDS control activities</w:t>
            </w:r>
            <w:r w:rsidR="004C4B6C">
              <w:rPr>
                <w:noProof/>
                <w:webHidden/>
              </w:rPr>
              <w:tab/>
            </w:r>
            <w:r w:rsidR="008A3C38">
              <w:rPr>
                <w:noProof/>
                <w:webHidden/>
              </w:rPr>
              <w:fldChar w:fldCharType="begin"/>
            </w:r>
            <w:r w:rsidR="004C4B6C">
              <w:rPr>
                <w:noProof/>
                <w:webHidden/>
              </w:rPr>
              <w:instrText xml:space="preserve"> PAGEREF _Toc382214184 \h </w:instrText>
            </w:r>
            <w:r w:rsidR="008A3C38">
              <w:rPr>
                <w:noProof/>
                <w:webHidden/>
              </w:rPr>
            </w:r>
            <w:r w:rsidR="008A3C38">
              <w:rPr>
                <w:noProof/>
                <w:webHidden/>
              </w:rPr>
              <w:fldChar w:fldCharType="separate"/>
            </w:r>
            <w:r w:rsidR="004C4B6C">
              <w:rPr>
                <w:noProof/>
                <w:webHidden/>
              </w:rPr>
              <w:t>220</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85" w:history="1">
            <w:r w:rsidR="004C4B6C" w:rsidRPr="000B5124">
              <w:rPr>
                <w:rStyle w:val="Hyperlink"/>
                <w:noProof/>
              </w:rPr>
              <w:t>16.4.3 Composition of supervision team</w:t>
            </w:r>
            <w:r w:rsidR="004C4B6C">
              <w:rPr>
                <w:noProof/>
                <w:webHidden/>
              </w:rPr>
              <w:tab/>
            </w:r>
            <w:r w:rsidR="008A3C38">
              <w:rPr>
                <w:noProof/>
                <w:webHidden/>
              </w:rPr>
              <w:fldChar w:fldCharType="begin"/>
            </w:r>
            <w:r w:rsidR="004C4B6C">
              <w:rPr>
                <w:noProof/>
                <w:webHidden/>
              </w:rPr>
              <w:instrText xml:space="preserve"> PAGEREF _Toc382214185 \h </w:instrText>
            </w:r>
            <w:r w:rsidR="008A3C38">
              <w:rPr>
                <w:noProof/>
                <w:webHidden/>
              </w:rPr>
            </w:r>
            <w:r w:rsidR="008A3C38">
              <w:rPr>
                <w:noProof/>
                <w:webHidden/>
              </w:rPr>
              <w:fldChar w:fldCharType="separate"/>
            </w:r>
            <w:r w:rsidR="004C4B6C">
              <w:rPr>
                <w:noProof/>
                <w:webHidden/>
              </w:rPr>
              <w:t>220</w:t>
            </w:r>
            <w:r w:rsidR="008A3C38">
              <w:rPr>
                <w:noProof/>
                <w:webHidden/>
              </w:rPr>
              <w:fldChar w:fldCharType="end"/>
            </w:r>
          </w:hyperlink>
        </w:p>
        <w:p w:rsidR="004C4B6C" w:rsidRDefault="001D28FE">
          <w:pPr>
            <w:pStyle w:val="TOC3"/>
            <w:tabs>
              <w:tab w:val="right" w:leader="dot" w:pos="9350"/>
            </w:tabs>
            <w:rPr>
              <w:rFonts w:asciiTheme="minorHAnsi" w:eastAsiaTheme="minorEastAsia" w:hAnsiTheme="minorHAnsi" w:cstheme="minorBidi"/>
              <w:noProof/>
              <w:color w:val="auto"/>
            </w:rPr>
          </w:pPr>
          <w:hyperlink w:anchor="_Toc382214186" w:history="1">
            <w:r w:rsidR="004C4B6C" w:rsidRPr="000B5124">
              <w:rPr>
                <w:rStyle w:val="Hyperlink"/>
                <w:noProof/>
              </w:rPr>
              <w:t>16.4.4 Frequency of supervision and mentorship visits</w:t>
            </w:r>
            <w:r w:rsidR="004C4B6C">
              <w:rPr>
                <w:noProof/>
                <w:webHidden/>
              </w:rPr>
              <w:tab/>
            </w:r>
            <w:r w:rsidR="008A3C38">
              <w:rPr>
                <w:noProof/>
                <w:webHidden/>
              </w:rPr>
              <w:fldChar w:fldCharType="begin"/>
            </w:r>
            <w:r w:rsidR="004C4B6C">
              <w:rPr>
                <w:noProof/>
                <w:webHidden/>
              </w:rPr>
              <w:instrText xml:space="preserve"> PAGEREF _Toc382214186 \h </w:instrText>
            </w:r>
            <w:r w:rsidR="008A3C38">
              <w:rPr>
                <w:noProof/>
                <w:webHidden/>
              </w:rPr>
            </w:r>
            <w:r w:rsidR="008A3C38">
              <w:rPr>
                <w:noProof/>
                <w:webHidden/>
              </w:rPr>
              <w:fldChar w:fldCharType="separate"/>
            </w:r>
            <w:r w:rsidR="004C4B6C">
              <w:rPr>
                <w:noProof/>
                <w:webHidden/>
              </w:rPr>
              <w:t>221</w:t>
            </w:r>
            <w:r w:rsidR="008A3C38">
              <w:rPr>
                <w:noProof/>
                <w:webHidden/>
              </w:rPr>
              <w:fldChar w:fldCharType="end"/>
            </w:r>
          </w:hyperlink>
        </w:p>
        <w:p w:rsidR="004C4B6C" w:rsidRDefault="001D28FE">
          <w:pPr>
            <w:pStyle w:val="TOC1"/>
            <w:tabs>
              <w:tab w:val="right" w:leader="dot" w:pos="9350"/>
            </w:tabs>
            <w:rPr>
              <w:rFonts w:asciiTheme="minorHAnsi" w:eastAsiaTheme="minorEastAsia" w:hAnsiTheme="minorHAnsi" w:cstheme="minorBidi"/>
              <w:noProof/>
              <w:color w:val="auto"/>
            </w:rPr>
          </w:pPr>
          <w:hyperlink w:anchor="_Toc382214187" w:history="1">
            <w:r w:rsidR="004C4B6C" w:rsidRPr="000B5124">
              <w:rPr>
                <w:rStyle w:val="Hyperlink"/>
                <w:rFonts w:ascii="Arial Narrow" w:eastAsia="Arial" w:hAnsi="Arial Narrow"/>
                <w:noProof/>
              </w:rPr>
              <w:t>ANNEX</w:t>
            </w:r>
            <w:r w:rsidR="004C4B6C">
              <w:rPr>
                <w:noProof/>
                <w:webHidden/>
              </w:rPr>
              <w:tab/>
            </w:r>
            <w:r w:rsidR="008A3C38">
              <w:rPr>
                <w:noProof/>
                <w:webHidden/>
              </w:rPr>
              <w:fldChar w:fldCharType="begin"/>
            </w:r>
            <w:r w:rsidR="004C4B6C">
              <w:rPr>
                <w:noProof/>
                <w:webHidden/>
              </w:rPr>
              <w:instrText xml:space="preserve"> PAGEREF _Toc382214187 \h </w:instrText>
            </w:r>
            <w:r w:rsidR="008A3C38">
              <w:rPr>
                <w:noProof/>
                <w:webHidden/>
              </w:rPr>
            </w:r>
            <w:r w:rsidR="008A3C38">
              <w:rPr>
                <w:noProof/>
                <w:webHidden/>
              </w:rPr>
              <w:fldChar w:fldCharType="separate"/>
            </w:r>
            <w:r w:rsidR="004C4B6C">
              <w:rPr>
                <w:noProof/>
                <w:webHidden/>
              </w:rPr>
              <w:t>222</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88" w:history="1">
            <w:r w:rsidR="004C4B6C" w:rsidRPr="000B5124">
              <w:rPr>
                <w:rStyle w:val="Hyperlink"/>
                <w:rFonts w:ascii="Arial Narrow" w:eastAsia="Arial" w:hAnsi="Arial Narrow"/>
                <w:noProof/>
              </w:rPr>
              <w:t>ANNEX 1: WHO CLINICAL S</w:t>
            </w:r>
            <w:r w:rsidR="004C4B6C" w:rsidRPr="000B5124">
              <w:rPr>
                <w:rStyle w:val="Hyperlink"/>
                <w:rFonts w:ascii="Arial Narrow" w:eastAsia="Arial" w:hAnsi="Arial Narrow"/>
                <w:noProof/>
                <w:spacing w:val="-20"/>
              </w:rPr>
              <w:t>T</w:t>
            </w:r>
            <w:r w:rsidR="004C4B6C" w:rsidRPr="000B5124">
              <w:rPr>
                <w:rStyle w:val="Hyperlink"/>
                <w:rFonts w:ascii="Arial Narrow" w:eastAsia="Arial" w:hAnsi="Arial Narrow"/>
                <w:noProof/>
              </w:rPr>
              <w:t>AGING OF HIV DISEASE IN ADU</w:t>
            </w:r>
            <w:r w:rsidR="004C4B6C" w:rsidRPr="000B5124">
              <w:rPr>
                <w:rStyle w:val="Hyperlink"/>
                <w:rFonts w:ascii="Arial Narrow" w:eastAsia="Arial" w:hAnsi="Arial Narrow"/>
                <w:noProof/>
                <w:spacing w:val="-19"/>
              </w:rPr>
              <w:t>L</w:t>
            </w:r>
            <w:r w:rsidR="004C4B6C" w:rsidRPr="000B5124">
              <w:rPr>
                <w:rStyle w:val="Hyperlink"/>
                <w:rFonts w:ascii="Arial Narrow" w:eastAsia="Arial" w:hAnsi="Arial Narrow"/>
                <w:noProof/>
              </w:rPr>
              <w:t>TS AND ADOLESCENTS</w:t>
            </w:r>
            <w:r w:rsidR="004C4B6C">
              <w:rPr>
                <w:noProof/>
                <w:webHidden/>
              </w:rPr>
              <w:tab/>
            </w:r>
            <w:r w:rsidR="008A3C38">
              <w:rPr>
                <w:noProof/>
                <w:webHidden/>
              </w:rPr>
              <w:fldChar w:fldCharType="begin"/>
            </w:r>
            <w:r w:rsidR="004C4B6C">
              <w:rPr>
                <w:noProof/>
                <w:webHidden/>
              </w:rPr>
              <w:instrText xml:space="preserve"> PAGEREF _Toc382214188 \h </w:instrText>
            </w:r>
            <w:r w:rsidR="008A3C38">
              <w:rPr>
                <w:noProof/>
                <w:webHidden/>
              </w:rPr>
            </w:r>
            <w:r w:rsidR="008A3C38">
              <w:rPr>
                <w:noProof/>
                <w:webHidden/>
              </w:rPr>
              <w:fldChar w:fldCharType="separate"/>
            </w:r>
            <w:r w:rsidR="004C4B6C">
              <w:rPr>
                <w:noProof/>
                <w:webHidden/>
              </w:rPr>
              <w:t>222</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89" w:history="1">
            <w:r w:rsidR="004C4B6C" w:rsidRPr="000B5124">
              <w:rPr>
                <w:rStyle w:val="Hyperlink"/>
                <w:rFonts w:ascii="Arial Narrow" w:eastAsia="Arial" w:hAnsi="Arial Narrow"/>
                <w:noProof/>
              </w:rPr>
              <w:t>ANNEX 2: WHO CLINICAL S</w:t>
            </w:r>
            <w:r w:rsidR="004C4B6C" w:rsidRPr="000B5124">
              <w:rPr>
                <w:rStyle w:val="Hyperlink"/>
                <w:rFonts w:ascii="Arial Narrow" w:eastAsia="Arial" w:hAnsi="Arial Narrow"/>
                <w:noProof/>
                <w:spacing w:val="-20"/>
              </w:rPr>
              <w:t>T</w:t>
            </w:r>
            <w:r w:rsidR="004C4B6C" w:rsidRPr="000B5124">
              <w:rPr>
                <w:rStyle w:val="Hyperlink"/>
                <w:rFonts w:ascii="Arial Narrow" w:eastAsia="Arial" w:hAnsi="Arial Narrow"/>
                <w:noProof/>
              </w:rPr>
              <w:t>AGING OF HIV/ AIDS FOR CHILDREN WITH CONFIRMED HIV INFECTION</w:t>
            </w:r>
            <w:r w:rsidR="004C4B6C">
              <w:rPr>
                <w:noProof/>
                <w:webHidden/>
              </w:rPr>
              <w:tab/>
            </w:r>
            <w:r w:rsidR="008A3C38">
              <w:rPr>
                <w:noProof/>
                <w:webHidden/>
              </w:rPr>
              <w:fldChar w:fldCharType="begin"/>
            </w:r>
            <w:r w:rsidR="004C4B6C">
              <w:rPr>
                <w:noProof/>
                <w:webHidden/>
              </w:rPr>
              <w:instrText xml:space="preserve"> PAGEREF _Toc382214189 \h </w:instrText>
            </w:r>
            <w:r w:rsidR="008A3C38">
              <w:rPr>
                <w:noProof/>
                <w:webHidden/>
              </w:rPr>
            </w:r>
            <w:r w:rsidR="008A3C38">
              <w:rPr>
                <w:noProof/>
                <w:webHidden/>
              </w:rPr>
              <w:fldChar w:fldCharType="separate"/>
            </w:r>
            <w:r w:rsidR="004C4B6C">
              <w:rPr>
                <w:noProof/>
                <w:webHidden/>
              </w:rPr>
              <w:t>224</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90" w:history="1">
            <w:r w:rsidR="004C4B6C" w:rsidRPr="000B5124">
              <w:rPr>
                <w:rStyle w:val="Hyperlink"/>
                <w:rFonts w:ascii="Arial Narrow" w:hAnsi="Arial Narrow"/>
                <w:noProof/>
              </w:rPr>
              <w:t>ANNEX 3: PRESUMPTIVE AND DEFINITIVE CRITERIA FOR RECOGNIZING HIV-RELATED CLINICAL EVENTS IN INFANTS AND CHILDREN WITH ESTABLISHED HIV INFECTION</w:t>
            </w:r>
            <w:r w:rsidR="004C4B6C">
              <w:rPr>
                <w:noProof/>
                <w:webHidden/>
              </w:rPr>
              <w:tab/>
            </w:r>
            <w:r w:rsidR="008A3C38">
              <w:rPr>
                <w:noProof/>
                <w:webHidden/>
              </w:rPr>
              <w:fldChar w:fldCharType="begin"/>
            </w:r>
            <w:r w:rsidR="004C4B6C">
              <w:rPr>
                <w:noProof/>
                <w:webHidden/>
              </w:rPr>
              <w:instrText xml:space="preserve"> PAGEREF _Toc382214190 \h </w:instrText>
            </w:r>
            <w:r w:rsidR="008A3C38">
              <w:rPr>
                <w:noProof/>
                <w:webHidden/>
              </w:rPr>
            </w:r>
            <w:r w:rsidR="008A3C38">
              <w:rPr>
                <w:noProof/>
                <w:webHidden/>
              </w:rPr>
              <w:fldChar w:fldCharType="separate"/>
            </w:r>
            <w:r w:rsidR="004C4B6C">
              <w:rPr>
                <w:noProof/>
                <w:webHidden/>
              </w:rPr>
              <w:t>226</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91" w:history="1">
            <w:r w:rsidR="004C4B6C" w:rsidRPr="000B5124">
              <w:rPr>
                <w:rStyle w:val="Hyperlink"/>
                <w:rFonts w:ascii="Arial Narrow" w:eastAsia="Arial" w:hAnsi="Arial Narrow"/>
                <w:noProof/>
              </w:rPr>
              <w:t>ANNEX 4. DOSAGES OFANTIRETROVIRALDRUGS FORADU</w:t>
            </w:r>
            <w:r w:rsidR="004C4B6C" w:rsidRPr="000B5124">
              <w:rPr>
                <w:rStyle w:val="Hyperlink"/>
                <w:rFonts w:ascii="Arial Narrow" w:eastAsia="Arial" w:hAnsi="Arial Narrow"/>
                <w:noProof/>
                <w:spacing w:val="-19"/>
              </w:rPr>
              <w:t>L</w:t>
            </w:r>
            <w:r w:rsidR="004C4B6C" w:rsidRPr="000B5124">
              <w:rPr>
                <w:rStyle w:val="Hyperlink"/>
                <w:rFonts w:ascii="Arial Narrow" w:eastAsia="Arial" w:hAnsi="Arial Narrow"/>
                <w:noProof/>
              </w:rPr>
              <w:t>TSAND ADOLESCENTS</w:t>
            </w:r>
            <w:r w:rsidR="004C4B6C">
              <w:rPr>
                <w:noProof/>
                <w:webHidden/>
              </w:rPr>
              <w:tab/>
            </w:r>
            <w:r w:rsidR="008A3C38">
              <w:rPr>
                <w:noProof/>
                <w:webHidden/>
              </w:rPr>
              <w:fldChar w:fldCharType="begin"/>
            </w:r>
            <w:r w:rsidR="004C4B6C">
              <w:rPr>
                <w:noProof/>
                <w:webHidden/>
              </w:rPr>
              <w:instrText xml:space="preserve"> PAGEREF _Toc382214191 \h </w:instrText>
            </w:r>
            <w:r w:rsidR="008A3C38">
              <w:rPr>
                <w:noProof/>
                <w:webHidden/>
              </w:rPr>
            </w:r>
            <w:r w:rsidR="008A3C38">
              <w:rPr>
                <w:noProof/>
                <w:webHidden/>
              </w:rPr>
              <w:fldChar w:fldCharType="separate"/>
            </w:r>
            <w:r w:rsidR="004C4B6C">
              <w:rPr>
                <w:noProof/>
                <w:webHidden/>
              </w:rPr>
              <w:t>237</w:t>
            </w:r>
            <w:r w:rsidR="008A3C38">
              <w:rPr>
                <w:noProof/>
                <w:webHidden/>
              </w:rPr>
              <w:fldChar w:fldCharType="end"/>
            </w:r>
          </w:hyperlink>
        </w:p>
        <w:p w:rsidR="004C4B6C" w:rsidRDefault="001D28FE">
          <w:pPr>
            <w:pStyle w:val="TOC2"/>
            <w:tabs>
              <w:tab w:val="left" w:pos="1540"/>
              <w:tab w:val="right" w:leader="dot" w:pos="9350"/>
            </w:tabs>
            <w:rPr>
              <w:rFonts w:asciiTheme="minorHAnsi" w:eastAsiaTheme="minorEastAsia" w:hAnsiTheme="minorHAnsi" w:cstheme="minorBidi"/>
              <w:noProof/>
              <w:color w:val="auto"/>
            </w:rPr>
          </w:pPr>
          <w:hyperlink w:anchor="_Toc382214192" w:history="1">
            <w:r w:rsidR="004C4B6C" w:rsidRPr="000B5124">
              <w:rPr>
                <w:rStyle w:val="Hyperlink"/>
                <w:rFonts w:eastAsia="Arial"/>
                <w:noProof/>
              </w:rPr>
              <w:t>ANNEX 5:</w:t>
            </w:r>
            <w:r w:rsidR="004C4B6C">
              <w:rPr>
                <w:rFonts w:asciiTheme="minorHAnsi" w:eastAsiaTheme="minorEastAsia" w:hAnsiTheme="minorHAnsi" w:cstheme="minorBidi"/>
                <w:noProof/>
                <w:color w:val="auto"/>
              </w:rPr>
              <w:tab/>
            </w:r>
            <w:r w:rsidR="004C4B6C" w:rsidRPr="000B5124">
              <w:rPr>
                <w:rStyle w:val="Hyperlink"/>
                <w:rFonts w:eastAsia="Arial"/>
                <w:noProof/>
                <w:spacing w:val="-19"/>
              </w:rPr>
              <w:t>P</w:t>
            </w:r>
            <w:r w:rsidR="004C4B6C" w:rsidRPr="000B5124">
              <w:rPr>
                <w:rStyle w:val="Hyperlink"/>
                <w:rFonts w:eastAsia="Arial"/>
                <w:noProof/>
              </w:rPr>
              <w:t>AEDI</w:t>
            </w:r>
            <w:r w:rsidR="004C4B6C" w:rsidRPr="000B5124">
              <w:rPr>
                <w:rStyle w:val="Hyperlink"/>
                <w:rFonts w:eastAsia="Arial"/>
                <w:noProof/>
                <w:spacing w:val="-19"/>
              </w:rPr>
              <w:t>A</w:t>
            </w:r>
            <w:r w:rsidR="004C4B6C" w:rsidRPr="000B5124">
              <w:rPr>
                <w:rStyle w:val="Hyperlink"/>
                <w:rFonts w:eastAsia="Arial"/>
                <w:noProof/>
              </w:rPr>
              <w:t>TRIC ANTIRETRO VIRAL DOSING</w:t>
            </w:r>
            <w:r w:rsidR="004C4B6C">
              <w:rPr>
                <w:noProof/>
                <w:webHidden/>
              </w:rPr>
              <w:tab/>
            </w:r>
            <w:r w:rsidR="008A3C38">
              <w:rPr>
                <w:noProof/>
                <w:webHidden/>
              </w:rPr>
              <w:fldChar w:fldCharType="begin"/>
            </w:r>
            <w:r w:rsidR="004C4B6C">
              <w:rPr>
                <w:noProof/>
                <w:webHidden/>
              </w:rPr>
              <w:instrText xml:space="preserve"> PAGEREF _Toc382214192 \h </w:instrText>
            </w:r>
            <w:r w:rsidR="008A3C38">
              <w:rPr>
                <w:noProof/>
                <w:webHidden/>
              </w:rPr>
            </w:r>
            <w:r w:rsidR="008A3C38">
              <w:rPr>
                <w:noProof/>
                <w:webHidden/>
              </w:rPr>
              <w:fldChar w:fldCharType="separate"/>
            </w:r>
            <w:r w:rsidR="004C4B6C">
              <w:rPr>
                <w:noProof/>
                <w:webHidden/>
              </w:rPr>
              <w:t>239</w:t>
            </w:r>
            <w:r w:rsidR="008A3C38">
              <w:rPr>
                <w:noProof/>
                <w:webHidden/>
              </w:rPr>
              <w:fldChar w:fldCharType="end"/>
            </w:r>
          </w:hyperlink>
        </w:p>
        <w:p w:rsidR="004C4B6C" w:rsidRDefault="001D28FE">
          <w:pPr>
            <w:pStyle w:val="TOC2"/>
            <w:tabs>
              <w:tab w:val="left" w:pos="1540"/>
              <w:tab w:val="right" w:leader="dot" w:pos="9350"/>
            </w:tabs>
            <w:rPr>
              <w:rFonts w:asciiTheme="minorHAnsi" w:eastAsiaTheme="minorEastAsia" w:hAnsiTheme="minorHAnsi" w:cstheme="minorBidi"/>
              <w:noProof/>
              <w:color w:val="auto"/>
            </w:rPr>
          </w:pPr>
          <w:hyperlink w:anchor="_Toc382214193" w:history="1">
            <w:r w:rsidR="004C4B6C" w:rsidRPr="000B5124">
              <w:rPr>
                <w:rStyle w:val="Hyperlink"/>
                <w:noProof/>
              </w:rPr>
              <w:t>ANNEX 6.</w:t>
            </w:r>
            <w:r w:rsidR="004C4B6C">
              <w:rPr>
                <w:rFonts w:asciiTheme="minorHAnsi" w:eastAsiaTheme="minorEastAsia" w:hAnsiTheme="minorHAnsi" w:cstheme="minorBidi"/>
                <w:noProof/>
                <w:color w:val="auto"/>
              </w:rPr>
              <w:tab/>
            </w:r>
            <w:r w:rsidR="004C4B6C" w:rsidRPr="000B5124">
              <w:rPr>
                <w:rStyle w:val="Hyperlink"/>
                <w:noProof/>
              </w:rPr>
              <w:t>NEW WHO DOSING RECOMMENDATIONS FOR EXISTING PEDIATRICS FDCS</w:t>
            </w:r>
            <w:r w:rsidR="004C4B6C">
              <w:rPr>
                <w:noProof/>
                <w:webHidden/>
              </w:rPr>
              <w:tab/>
            </w:r>
            <w:r w:rsidR="008A3C38">
              <w:rPr>
                <w:noProof/>
                <w:webHidden/>
              </w:rPr>
              <w:fldChar w:fldCharType="begin"/>
            </w:r>
            <w:r w:rsidR="004C4B6C">
              <w:rPr>
                <w:noProof/>
                <w:webHidden/>
              </w:rPr>
              <w:instrText xml:space="preserve"> PAGEREF _Toc382214193 \h </w:instrText>
            </w:r>
            <w:r w:rsidR="008A3C38">
              <w:rPr>
                <w:noProof/>
                <w:webHidden/>
              </w:rPr>
            </w:r>
            <w:r w:rsidR="008A3C38">
              <w:rPr>
                <w:noProof/>
                <w:webHidden/>
              </w:rPr>
              <w:fldChar w:fldCharType="separate"/>
            </w:r>
            <w:r w:rsidR="004C4B6C">
              <w:rPr>
                <w:noProof/>
                <w:webHidden/>
              </w:rPr>
              <w:t>242</w:t>
            </w:r>
            <w:r w:rsidR="008A3C38">
              <w:rPr>
                <w:noProof/>
                <w:webHidden/>
              </w:rPr>
              <w:fldChar w:fldCharType="end"/>
            </w:r>
          </w:hyperlink>
        </w:p>
        <w:p w:rsidR="004C4B6C" w:rsidRDefault="001D28FE">
          <w:pPr>
            <w:pStyle w:val="TOC2"/>
            <w:tabs>
              <w:tab w:val="left" w:pos="1320"/>
              <w:tab w:val="right" w:leader="dot" w:pos="9350"/>
            </w:tabs>
            <w:rPr>
              <w:rFonts w:asciiTheme="minorHAnsi" w:eastAsiaTheme="minorEastAsia" w:hAnsiTheme="minorHAnsi" w:cstheme="minorBidi"/>
              <w:noProof/>
              <w:color w:val="auto"/>
            </w:rPr>
          </w:pPr>
          <w:hyperlink w:anchor="_Toc382214194" w:history="1">
            <w:r w:rsidR="004C4B6C" w:rsidRPr="000B5124">
              <w:rPr>
                <w:rStyle w:val="Hyperlink"/>
                <w:rFonts w:ascii="Arial Narrow" w:eastAsia="Arial" w:hAnsi="Arial Narrow"/>
                <w:noProof/>
              </w:rPr>
              <w:t>ANNEX 7.</w:t>
            </w:r>
            <w:r w:rsidR="004C4B6C">
              <w:rPr>
                <w:rFonts w:asciiTheme="minorHAnsi" w:eastAsiaTheme="minorEastAsia" w:hAnsiTheme="minorHAnsi" w:cstheme="minorBidi"/>
                <w:noProof/>
                <w:color w:val="auto"/>
              </w:rPr>
              <w:tab/>
            </w:r>
            <w:r w:rsidR="004C4B6C" w:rsidRPr="000B5124">
              <w:rPr>
                <w:rStyle w:val="Hyperlink"/>
                <w:rFonts w:ascii="Arial Narrow" w:eastAsia="Arial" w:hAnsi="Arial Narrow"/>
                <w:noProof/>
              </w:rPr>
              <w:t>THE ROLE AND SOURCES OF SELECTED MICRONUTRIENTS</w:t>
            </w:r>
            <w:r w:rsidR="004C4B6C">
              <w:rPr>
                <w:noProof/>
                <w:webHidden/>
              </w:rPr>
              <w:tab/>
            </w:r>
            <w:r w:rsidR="008A3C38">
              <w:rPr>
                <w:noProof/>
                <w:webHidden/>
              </w:rPr>
              <w:fldChar w:fldCharType="begin"/>
            </w:r>
            <w:r w:rsidR="004C4B6C">
              <w:rPr>
                <w:noProof/>
                <w:webHidden/>
              </w:rPr>
              <w:instrText xml:space="preserve"> PAGEREF _Toc382214194 \h </w:instrText>
            </w:r>
            <w:r w:rsidR="008A3C38">
              <w:rPr>
                <w:noProof/>
                <w:webHidden/>
              </w:rPr>
            </w:r>
            <w:r w:rsidR="008A3C38">
              <w:rPr>
                <w:noProof/>
                <w:webHidden/>
              </w:rPr>
              <w:fldChar w:fldCharType="separate"/>
            </w:r>
            <w:r w:rsidR="004C4B6C">
              <w:rPr>
                <w:noProof/>
                <w:webHidden/>
              </w:rPr>
              <w:t>244</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95" w:history="1">
            <w:r w:rsidR="004C4B6C" w:rsidRPr="000B5124">
              <w:rPr>
                <w:rStyle w:val="Hyperlink"/>
                <w:rFonts w:ascii="Arial Narrow" w:eastAsia="Arial" w:hAnsi="Arial Narrow"/>
                <w:noProof/>
              </w:rPr>
              <w:t>ANNEX8: MODERN MEDIC</w:t>
            </w:r>
            <w:r w:rsidR="004C4B6C" w:rsidRPr="000B5124">
              <w:rPr>
                <w:rStyle w:val="Hyperlink"/>
                <w:rFonts w:ascii="Arial Narrow" w:eastAsia="Arial" w:hAnsi="Arial Narrow"/>
                <w:noProof/>
                <w:spacing w:val="-25"/>
              </w:rPr>
              <w:t>A</w:t>
            </w:r>
            <w:r w:rsidR="004C4B6C" w:rsidRPr="000B5124">
              <w:rPr>
                <w:rStyle w:val="Hyperlink"/>
                <w:rFonts w:ascii="Arial Narrow" w:eastAsia="Arial" w:hAnsi="Arial Narrow"/>
                <w:noProof/>
              </w:rPr>
              <w:t>TIONS AND RECOMMENDED FOOD IN</w:t>
            </w:r>
            <w:r w:rsidR="004C4B6C" w:rsidRPr="000B5124">
              <w:rPr>
                <w:rStyle w:val="Hyperlink"/>
                <w:rFonts w:ascii="Arial Narrow" w:eastAsia="Arial" w:hAnsi="Arial Narrow"/>
                <w:noProof/>
                <w:spacing w:val="-25"/>
              </w:rPr>
              <w:t>T</w:t>
            </w:r>
            <w:r w:rsidR="004C4B6C" w:rsidRPr="000B5124">
              <w:rPr>
                <w:rStyle w:val="Hyperlink"/>
                <w:rFonts w:ascii="Arial Narrow" w:eastAsia="Arial" w:hAnsi="Arial Narrow"/>
                <w:noProof/>
              </w:rPr>
              <w:t>AKES AND SIDE EFFECTS</w:t>
            </w:r>
            <w:r w:rsidR="004C4B6C">
              <w:rPr>
                <w:noProof/>
                <w:webHidden/>
              </w:rPr>
              <w:tab/>
            </w:r>
            <w:r w:rsidR="008A3C38">
              <w:rPr>
                <w:noProof/>
                <w:webHidden/>
              </w:rPr>
              <w:fldChar w:fldCharType="begin"/>
            </w:r>
            <w:r w:rsidR="004C4B6C">
              <w:rPr>
                <w:noProof/>
                <w:webHidden/>
              </w:rPr>
              <w:instrText xml:space="preserve"> PAGEREF _Toc382214195 \h </w:instrText>
            </w:r>
            <w:r w:rsidR="008A3C38">
              <w:rPr>
                <w:noProof/>
                <w:webHidden/>
              </w:rPr>
            </w:r>
            <w:r w:rsidR="008A3C38">
              <w:rPr>
                <w:noProof/>
                <w:webHidden/>
              </w:rPr>
              <w:fldChar w:fldCharType="separate"/>
            </w:r>
            <w:r w:rsidR="004C4B6C">
              <w:rPr>
                <w:noProof/>
                <w:webHidden/>
              </w:rPr>
              <w:t>246</w:t>
            </w:r>
            <w:r w:rsidR="008A3C38">
              <w:rPr>
                <w:noProof/>
                <w:webHidden/>
              </w:rPr>
              <w:fldChar w:fldCharType="end"/>
            </w:r>
          </w:hyperlink>
        </w:p>
        <w:p w:rsidR="004C4B6C" w:rsidRDefault="001D28FE">
          <w:pPr>
            <w:pStyle w:val="TOC2"/>
            <w:tabs>
              <w:tab w:val="right" w:leader="dot" w:pos="9350"/>
            </w:tabs>
            <w:rPr>
              <w:rFonts w:asciiTheme="minorHAnsi" w:eastAsiaTheme="minorEastAsia" w:hAnsiTheme="minorHAnsi" w:cstheme="minorBidi"/>
              <w:noProof/>
              <w:color w:val="auto"/>
            </w:rPr>
          </w:pPr>
          <w:hyperlink w:anchor="_Toc382214196" w:history="1">
            <w:r w:rsidR="004C4B6C" w:rsidRPr="000B5124">
              <w:rPr>
                <w:rStyle w:val="Hyperlink"/>
                <w:noProof/>
              </w:rPr>
              <w:t>ANNEX: 9 MODERN MEDICATIONS AND RECOMMENDED FOOD INTAKES AND SIDE EFFECTS</w:t>
            </w:r>
            <w:r w:rsidR="004C4B6C">
              <w:rPr>
                <w:noProof/>
                <w:webHidden/>
              </w:rPr>
              <w:tab/>
            </w:r>
            <w:r w:rsidR="008A3C38">
              <w:rPr>
                <w:noProof/>
                <w:webHidden/>
              </w:rPr>
              <w:fldChar w:fldCharType="begin"/>
            </w:r>
            <w:r w:rsidR="004C4B6C">
              <w:rPr>
                <w:noProof/>
                <w:webHidden/>
              </w:rPr>
              <w:instrText xml:space="preserve"> PAGEREF _Toc382214196 \h </w:instrText>
            </w:r>
            <w:r w:rsidR="008A3C38">
              <w:rPr>
                <w:noProof/>
                <w:webHidden/>
              </w:rPr>
            </w:r>
            <w:r w:rsidR="008A3C38">
              <w:rPr>
                <w:noProof/>
                <w:webHidden/>
              </w:rPr>
              <w:fldChar w:fldCharType="separate"/>
            </w:r>
            <w:r w:rsidR="004C4B6C">
              <w:rPr>
                <w:noProof/>
                <w:webHidden/>
              </w:rPr>
              <w:t>251</w:t>
            </w:r>
            <w:r w:rsidR="008A3C38">
              <w:rPr>
                <w:noProof/>
                <w:webHidden/>
              </w:rPr>
              <w:fldChar w:fldCharType="end"/>
            </w:r>
          </w:hyperlink>
        </w:p>
        <w:p w:rsidR="004C4B6C" w:rsidRDefault="001D28FE">
          <w:pPr>
            <w:pStyle w:val="TOC2"/>
            <w:tabs>
              <w:tab w:val="left" w:pos="1540"/>
              <w:tab w:val="right" w:leader="dot" w:pos="9350"/>
            </w:tabs>
            <w:rPr>
              <w:rFonts w:asciiTheme="minorHAnsi" w:eastAsiaTheme="minorEastAsia" w:hAnsiTheme="minorHAnsi" w:cstheme="minorBidi"/>
              <w:noProof/>
              <w:color w:val="auto"/>
            </w:rPr>
          </w:pPr>
          <w:hyperlink w:anchor="_Toc382214197" w:history="1">
            <w:r w:rsidR="004C4B6C" w:rsidRPr="000B5124">
              <w:rPr>
                <w:rStyle w:val="Hyperlink"/>
                <w:rFonts w:ascii="Arial Narrow" w:eastAsia="Arial" w:hAnsi="Arial Narrow"/>
                <w:noProof/>
              </w:rPr>
              <w:t>ANNEX 10.</w:t>
            </w:r>
            <w:r w:rsidR="004C4B6C">
              <w:rPr>
                <w:rFonts w:asciiTheme="minorHAnsi" w:eastAsiaTheme="minorEastAsia" w:hAnsiTheme="minorHAnsi" w:cstheme="minorBidi"/>
                <w:noProof/>
                <w:color w:val="auto"/>
              </w:rPr>
              <w:tab/>
            </w:r>
            <w:r w:rsidR="004C4B6C" w:rsidRPr="000B5124">
              <w:rPr>
                <w:rStyle w:val="Hyperlink"/>
                <w:rFonts w:ascii="Arial Narrow" w:eastAsia="Arial" w:hAnsi="Arial Narrow"/>
                <w:noProof/>
              </w:rPr>
              <w:t xml:space="preserve">TB SCREENING </w:t>
            </w:r>
            <w:r w:rsidR="004C4B6C" w:rsidRPr="000B5124">
              <w:rPr>
                <w:rStyle w:val="Hyperlink"/>
                <w:rFonts w:ascii="Arial Narrow" w:eastAsia="Arial" w:hAnsi="Arial Narrow"/>
                <w:noProof/>
                <w:spacing w:val="-5"/>
              </w:rPr>
              <w:t>T</w:t>
            </w:r>
            <w:r w:rsidR="004C4B6C" w:rsidRPr="000B5124">
              <w:rPr>
                <w:rStyle w:val="Hyperlink"/>
                <w:rFonts w:ascii="Arial Narrow" w:eastAsia="Arial" w:hAnsi="Arial Narrow"/>
                <w:noProof/>
              </w:rPr>
              <w:t xml:space="preserve">OOLS FOR HIV/AIDS </w:t>
            </w:r>
            <w:r w:rsidR="004C4B6C" w:rsidRPr="000B5124">
              <w:rPr>
                <w:rStyle w:val="Hyperlink"/>
                <w:rFonts w:ascii="Arial Narrow" w:eastAsia="Arial" w:hAnsi="Arial Narrow"/>
                <w:noProof/>
                <w:spacing w:val="-19"/>
              </w:rPr>
              <w:t>PA</w:t>
            </w:r>
            <w:r w:rsidR="004C4B6C" w:rsidRPr="000B5124">
              <w:rPr>
                <w:rStyle w:val="Hyperlink"/>
                <w:rFonts w:ascii="Arial Narrow" w:eastAsia="Arial" w:hAnsi="Arial Narrow"/>
                <w:noProof/>
              </w:rPr>
              <w:t>TIENTS</w:t>
            </w:r>
            <w:r w:rsidR="004C4B6C">
              <w:rPr>
                <w:noProof/>
                <w:webHidden/>
              </w:rPr>
              <w:tab/>
            </w:r>
            <w:r w:rsidR="008A3C38">
              <w:rPr>
                <w:noProof/>
                <w:webHidden/>
              </w:rPr>
              <w:fldChar w:fldCharType="begin"/>
            </w:r>
            <w:r w:rsidR="004C4B6C">
              <w:rPr>
                <w:noProof/>
                <w:webHidden/>
              </w:rPr>
              <w:instrText xml:space="preserve"> PAGEREF _Toc382214197 \h </w:instrText>
            </w:r>
            <w:r w:rsidR="008A3C38">
              <w:rPr>
                <w:noProof/>
                <w:webHidden/>
              </w:rPr>
            </w:r>
            <w:r w:rsidR="008A3C38">
              <w:rPr>
                <w:noProof/>
                <w:webHidden/>
              </w:rPr>
              <w:fldChar w:fldCharType="separate"/>
            </w:r>
            <w:r w:rsidR="004C4B6C">
              <w:rPr>
                <w:noProof/>
                <w:webHidden/>
              </w:rPr>
              <w:t>258</w:t>
            </w:r>
            <w:r w:rsidR="008A3C38">
              <w:rPr>
                <w:noProof/>
                <w:webHidden/>
              </w:rPr>
              <w:fldChar w:fldCharType="end"/>
            </w:r>
          </w:hyperlink>
        </w:p>
        <w:p w:rsidR="00FF2CD0" w:rsidRDefault="008A3C38">
          <w:r>
            <w:fldChar w:fldCharType="end"/>
          </w:r>
        </w:p>
      </w:sdtContent>
    </w:sdt>
    <w:p w:rsidR="002B39F1" w:rsidRPr="00CD04C6" w:rsidRDefault="002B39F1" w:rsidP="00CD04C6">
      <w:pPr>
        <w:pStyle w:val="Heading1"/>
      </w:pPr>
      <w:bookmarkStart w:id="2" w:name="_Toc382213925"/>
      <w:r w:rsidRPr="00CD04C6">
        <w:lastRenderedPageBreak/>
        <w:t>CHAPTER 1 OVERVIEW</w:t>
      </w:r>
      <w:bookmarkEnd w:id="1"/>
      <w:bookmarkEnd w:id="2"/>
    </w:p>
    <w:p w:rsidR="002B39F1" w:rsidRPr="00CD04C6" w:rsidRDefault="00CD04C6" w:rsidP="00CD04C6">
      <w:pPr>
        <w:pStyle w:val="Heading2"/>
      </w:pPr>
      <w:bookmarkStart w:id="3" w:name="_Toc375999388"/>
      <w:bookmarkStart w:id="4" w:name="_Toc378258070"/>
      <w:bookmarkStart w:id="5" w:name="_Toc382213926"/>
      <w:r>
        <w:t xml:space="preserve">1.1 </w:t>
      </w:r>
      <w:r w:rsidR="002B39F1" w:rsidRPr="00CD04C6">
        <w:t>Epidemiology of HIV/AIDS</w:t>
      </w:r>
      <w:bookmarkEnd w:id="3"/>
      <w:bookmarkEnd w:id="4"/>
      <w:bookmarkEnd w:id="5"/>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Sub-Saharan Africa is the world’s most severely affected region with HIV. Though it is home to only 10% of the world’s population, it shelters about two thirds of the total number of people living with HIV globally. One in 12 adults in this region is reported to be infected with HIV. Although HIV incidence is declining in a number of countries due to behavior and prevention programmes and scaling up of treatment programmes, the number of people living with HIV has continued to rise, due to population growth, and the life-prolonging effects of antiretroviral therapy.</w:t>
      </w:r>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Since the first three AIDS cases in Tanzania in 1983, the HIV epidemic has affected all sectors of the society making it not only a major public health concern, but also as a socio-economic and developmental problem. In 2012 about 1.5 (1.3 - 1.6) million people were estimated to be living with HIV/AIDS</w:t>
      </w:r>
      <w:r w:rsidRPr="00CD04C6">
        <w:rPr>
          <w:rStyle w:val="FootnoteReference"/>
          <w:rFonts w:ascii="Arial" w:eastAsia="Times New Roman" w:hAnsi="Arial" w:cs="Arial"/>
          <w:color w:val="231F20"/>
        </w:rPr>
        <w:footnoteReference w:id="1"/>
      </w:r>
      <w:r w:rsidRPr="00CD04C6">
        <w:rPr>
          <w:rFonts w:ascii="Arial" w:eastAsia="Times New Roman" w:hAnsi="Arial" w:cs="Arial"/>
          <w:color w:val="231F20"/>
        </w:rPr>
        <w:t>, with approximately 450,000 (30%) in need of ART. Household surveys estimate the sero prevalence in adults aged between 15 – 49 years in Tanzania at 5.1%, with a wide variation among regions (THMIS, 2012). Heterosexual intercourse is the main mode of transmission and women being at a higher risk of infection than men.</w:t>
      </w:r>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The government has strengthened efforts to scale up care and treatment services. It is estimated that 21%-30% of PLHIV in Tanzania have registered at CTC, and 69% of eligible adults are receiving ARVs. Availability of ART has had great impact in prolonging lives. In analyzing adult deaths, the report found that the cumulative probability of mortality in the first year was around 10%, but in subsequent years mortality was lower, at around 3% per year (NACP, 2011).</w:t>
      </w:r>
    </w:p>
    <w:p w:rsidR="002B39F1" w:rsidRPr="00CD04C6" w:rsidRDefault="002B39F1" w:rsidP="00CD04C6">
      <w:pPr>
        <w:pStyle w:val="Heading2"/>
      </w:pPr>
      <w:bookmarkStart w:id="6" w:name="_Toc375999389"/>
      <w:bookmarkStart w:id="7" w:name="_Toc378258071"/>
      <w:bookmarkStart w:id="8" w:name="_Toc382213927"/>
      <w:r w:rsidRPr="00CD04C6">
        <w:t>1.2 Impact of HIV/AIDS</w:t>
      </w:r>
      <w:bookmarkEnd w:id="6"/>
      <w:bookmarkEnd w:id="7"/>
      <w:bookmarkEnd w:id="8"/>
    </w:p>
    <w:p w:rsidR="002B39F1" w:rsidRPr="00CD04C6" w:rsidRDefault="002B39F1" w:rsidP="00CD04C6">
      <w:pPr>
        <w:pStyle w:val="Heading3"/>
      </w:pPr>
      <w:bookmarkStart w:id="9" w:name="_Toc375999390"/>
      <w:bookmarkStart w:id="10" w:name="_Toc378258072"/>
      <w:bookmarkStart w:id="11" w:name="_Toc382213928"/>
      <w:r w:rsidRPr="00CD04C6">
        <w:t>1.2.1 Health Impact</w:t>
      </w:r>
      <w:bookmarkEnd w:id="9"/>
      <w:bookmarkEnd w:id="10"/>
      <w:bookmarkEnd w:id="11"/>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The HIV pandemic has had a profound impact on the health care system of all countries worldwide, but especially on those in Sub- Saharan Africa. For example, the pandemic has reduced resources available for other health problems, which has had an unfavorable effect on the overall quality of healthcare services. In Tanzania, where human and financial resources for the health system are constrained, the implementation of additional HIV care and management services has added to the overall health system challenges. Since HIV also affects health care personnel, we have noted an additional burden to the human resource crisis.</w:t>
      </w:r>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 xml:space="preserve">The HIV/AIDS pandemic interacts with other underlying public health problems, particularly tuberculosis (TB), which is one of the principal causes of death in persons with HIV infection. Despite a well organized TB programme established in 1970’s, the national TB infection rate in Tanzania has increase six-folds, reaching peaks of more than 400 cases per 100,000 individuals; this is similar to the situation in other sub- Saharan African countries. In some countries, up to 70% of patients with sputum smear-positive pulmonary TB are HIV-infected. The majority of hospital admissions in sub-Saharan Africa are due to HIV-related conditions, including TB. </w:t>
      </w:r>
    </w:p>
    <w:p w:rsidR="002B39F1" w:rsidRPr="00CD04C6" w:rsidRDefault="002B39F1" w:rsidP="00CD04C6">
      <w:pPr>
        <w:pStyle w:val="Heading3"/>
      </w:pPr>
      <w:bookmarkStart w:id="12" w:name="_Toc375999391"/>
      <w:bookmarkStart w:id="13" w:name="_Toc378258073"/>
      <w:bookmarkStart w:id="14" w:name="_Toc382213929"/>
      <w:r w:rsidRPr="00CD04C6">
        <w:t>1.2.2 Economic Impact</w:t>
      </w:r>
      <w:bookmarkEnd w:id="12"/>
      <w:bookmarkEnd w:id="13"/>
      <w:bookmarkEnd w:id="14"/>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 xml:space="preserve">There is a close relationship between HIV/AIDS and economic development. HIV and AIDS </w:t>
      </w:r>
      <w:r w:rsidRPr="00CD04C6">
        <w:rPr>
          <w:rFonts w:ascii="Arial" w:eastAsia="Times New Roman" w:hAnsi="Arial" w:cs="Arial"/>
          <w:color w:val="231F20"/>
        </w:rPr>
        <w:lastRenderedPageBreak/>
        <w:t>negatively affect economic growth, which makes it difficult for countries and individuals to initiate adequate and comprehensive responses to the epidemic, due to a weak economic base.</w:t>
      </w:r>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Poverty is a powerful co-factor in the spread of HIV and AIDS. The economically and socially disadvantaged segments of the population, including women, youth and other marginalized groups, are disproportionately affected by the epidemic.</w:t>
      </w:r>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The health status and death due to AIDS are reported to have reduced agricultural labour force, productivity and disposable incomes in many families and rural communities. Data from Kagera, one of the regions in Tanzania most severely affected by HIV/AIDS, during the early years of epidemic indicate that between 1983 and 1994, the annual Gross Domestic Product (GDP) declined from USD 268 to USD 91. Although this decline was multi-faceted, AIDS was believed to be a major cause. Similar trends of declining GDP associated with reduced agricultural production and increase in number of AIDS cases were observed in other regions.</w:t>
      </w:r>
    </w:p>
    <w:p w:rsidR="002B39F1" w:rsidRPr="00CD04C6" w:rsidRDefault="002B39F1" w:rsidP="00CD04C6">
      <w:pPr>
        <w:pStyle w:val="Heading3"/>
      </w:pPr>
      <w:bookmarkStart w:id="15" w:name="_Toc375999392"/>
      <w:bookmarkStart w:id="16" w:name="_Toc378258074"/>
      <w:bookmarkStart w:id="17" w:name="_Toc382213930"/>
      <w:r w:rsidRPr="00CD04C6">
        <w:t>1.2.3 Social Impact</w:t>
      </w:r>
      <w:bookmarkEnd w:id="15"/>
      <w:bookmarkEnd w:id="16"/>
      <w:bookmarkEnd w:id="17"/>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 xml:space="preserve">AIDS is widespread in both urban and rural communities and mostly affects persons at the peak of their sexual and productive lives. The death of a young adult often means loss of family’s primary income generator. Studies conducted in Arusha, Kagera and Mwanza regions show a serious and growing breakdown of social network, which have up until now sustained African societies. Stigma associated with HIV continuous to prevail. Orphans are not only subjected to material, social and emotional deprivation, but also lack of opportunities for education and healthcare. Widows and orphans are deprived of their inheritance rights by relatives through the application of outdated traditional practices. Often, widows are even blamed for the deaths of their husbands. Despite these challenges experience has shown that the epidemic can be stabilized or reversed, even in countries with modest resources, if a supportive environment exists. </w:t>
      </w:r>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Programmes to mitigate the impact of HIV/AIDS should include: strong and high-level political leadership for HIV prevention; a national HIV/AIDS strategic plan; adequate funding for HIV/AIDS response; strong and sustained community involvement and initiatives; and supportive policies. Data from Kagera have shown that the decline in HIV prevalence rates was a result of a combination of all these factors.</w:t>
      </w:r>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The components of a minimum package for HIV and AIDS response include: blood safety initiatives, Sexually Transmitted Diseases (STDs) management and prevention and care and support of PLHIV including access to antiretroviral drugs. Other components are functional referral systems and linkages, education to the general community (particularly the youth), condom programming, Prevention of Mother to Child Transmission (PMTCT) and HIV Testing and Counseling (HTC).</w:t>
      </w:r>
    </w:p>
    <w:p w:rsidR="002B39F1" w:rsidRPr="00CD04C6" w:rsidRDefault="002B39F1" w:rsidP="00CD04C6">
      <w:pPr>
        <w:pStyle w:val="Heading2"/>
      </w:pPr>
      <w:bookmarkStart w:id="18" w:name="_Toc375999393"/>
      <w:bookmarkStart w:id="19" w:name="_Toc378258075"/>
      <w:bookmarkStart w:id="20" w:name="_Toc382213931"/>
      <w:r w:rsidRPr="00CD04C6">
        <w:t>1.3 National Response to Care and Treatment</w:t>
      </w:r>
      <w:bookmarkEnd w:id="18"/>
      <w:bookmarkEnd w:id="19"/>
      <w:bookmarkEnd w:id="20"/>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The National response to HIV and AIDS includes interventions aimed at prevention; and Care and Treatment. Since2004, the Government, in collaboration with partners, initiated a care and treatment programme under the NACP</w:t>
      </w:r>
      <w:r w:rsidRPr="00C26F23">
        <w:rPr>
          <w:rFonts w:ascii="Arial" w:eastAsia="Times New Roman" w:hAnsi="Arial" w:cs="Arial"/>
          <w:color w:val="231F20"/>
        </w:rPr>
        <w:t>. By December 2010, a total of 740,040 HIV-infected people had been enrolled in 1,100 health facilities throughout the country. Scaling up ART remains a challenge. Out of the estimated 440,000 HIV-infected Tanzanians who are eligible, only 335,292 are currently on ART (NACP, 2011). More</w:t>
      </w:r>
      <w:r w:rsidRPr="00CD04C6">
        <w:rPr>
          <w:rFonts w:ascii="Arial" w:eastAsia="Times New Roman" w:hAnsi="Arial" w:cs="Arial"/>
          <w:color w:val="231F20"/>
        </w:rPr>
        <w:t xml:space="preserve"> vigorous efforts are needed to promote HTC; to reduce HIV stigma among the public and health professionals; to improve on the quality and quantity of human resources; to improve ARV supply management; and to integrate HIV care with other health services, such as TB and PMTCT.</w:t>
      </w:r>
    </w:p>
    <w:p w:rsidR="002B39F1" w:rsidRPr="00CD04C6" w:rsidRDefault="002B39F1" w:rsidP="00CD04C6">
      <w:pPr>
        <w:pStyle w:val="Heading2"/>
      </w:pPr>
      <w:bookmarkStart w:id="21" w:name="_Toc375999394"/>
      <w:bookmarkStart w:id="22" w:name="_Toc378258076"/>
      <w:bookmarkStart w:id="23" w:name="_Toc382213932"/>
      <w:r w:rsidRPr="00CD04C6">
        <w:lastRenderedPageBreak/>
        <w:t>1.4 Basic Facts about HIV</w:t>
      </w:r>
      <w:bookmarkEnd w:id="21"/>
      <w:bookmarkEnd w:id="22"/>
      <w:bookmarkEnd w:id="23"/>
    </w:p>
    <w:p w:rsidR="002B39F1" w:rsidRPr="00CD04C6" w:rsidRDefault="002B39F1" w:rsidP="00CD04C6">
      <w:pPr>
        <w:pStyle w:val="Heading3"/>
      </w:pPr>
      <w:bookmarkStart w:id="24" w:name="_Toc375999395"/>
      <w:bookmarkStart w:id="25" w:name="_Toc378258077"/>
      <w:bookmarkStart w:id="26" w:name="_Toc382213933"/>
      <w:r w:rsidRPr="00CD04C6">
        <w:t>1.4.1Aetiology of HIV</w:t>
      </w:r>
      <w:bookmarkEnd w:id="24"/>
      <w:bookmarkEnd w:id="25"/>
      <w:bookmarkEnd w:id="26"/>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In Tanzania, HIV infection is caused by HIV-1 subtype. No infection with HIV-2 has been reported yet. The common HIV-1 sub types (clades) in Tanzania are A, C, D and their recombinants.</w:t>
      </w:r>
    </w:p>
    <w:p w:rsidR="002B39F1" w:rsidRPr="00CD04C6" w:rsidRDefault="002B39F1" w:rsidP="00CD04C6">
      <w:pPr>
        <w:pStyle w:val="Heading3"/>
      </w:pPr>
      <w:bookmarkStart w:id="27" w:name="_Toc375999396"/>
      <w:bookmarkStart w:id="28" w:name="_Toc378258078"/>
      <w:bookmarkStart w:id="29" w:name="_Toc382213934"/>
      <w:r w:rsidRPr="00CD04C6">
        <w:t>1.4.2 HIV Transmission</w:t>
      </w:r>
      <w:bookmarkEnd w:id="27"/>
      <w:bookmarkEnd w:id="28"/>
      <w:bookmarkEnd w:id="29"/>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HIV infection is acquired through sexual intercourse with an infected partner; exposure to infected blood and blood products; or transmission from an infected mother to the unborn child in the uterus, during delivery, or from breast milk. More than 90% of adults in sub-Saharan Africa acquire HIV infection from unprotected sexual intercourse with infected partners. Transmission of HIV through body fluids other than blood and genital secretions such as CSF (cerebrospinal fluid), pleural fluid, amniotic fluids etc. is also possible. However, HIV transmission resulting from exposure to saliva, urine or sweat is not very likely, if at all.</w:t>
      </w:r>
    </w:p>
    <w:p w:rsidR="002B39F1" w:rsidRPr="00CD04C6" w:rsidRDefault="002B39F1" w:rsidP="00CD04C6">
      <w:pPr>
        <w:pStyle w:val="Heading3"/>
      </w:pPr>
      <w:bookmarkStart w:id="30" w:name="_Toc375999397"/>
      <w:bookmarkStart w:id="31" w:name="_Toc378258079"/>
      <w:bookmarkStart w:id="32" w:name="_Toc382213935"/>
      <w:r w:rsidRPr="00CD04C6">
        <w:t>1.4.3 Pathophysiology of HIV Infection</w:t>
      </w:r>
      <w:bookmarkEnd w:id="30"/>
      <w:bookmarkEnd w:id="31"/>
      <w:bookmarkEnd w:id="32"/>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Interaction between the viral envelope proteins (gp120) and receptors on the cell membrane is critical for the HIV to enter and infect the host cell. High concentrations of the CD4 molecule and co-receptors have been detected on the surface of T-lymphocytes and macrophages. Other cells that have been found to have CD4 molecules on their surface include the Langerhans cells (found in the skin) and the microglial cells of the brain.</w:t>
      </w:r>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 xml:space="preserve">Following entry of the HIV into a susceptible host cell using the enzyme reverse transcriptase, the viral genome copies itself from RNA to DNA genetic material. The viral DNA copy enters the nucleus of the host cell and becomes intimately incorporated into the host cell’s own DNA using the enzyme integrase. The virus thus becomes a permanent part of an infected person’s nuclear proteins. There follows a latent period during which the provirus in the infected nucleus waits for an external stimulus to start reproducing. </w:t>
      </w:r>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 xml:space="preserve">CD4+ T lymphocytes, when stimulated by new HIV, other infections and infestations which would normally result in the CD4+ T lymphocyte reproducing itself, now respond to these stimuli by manufacturing HIV. As more and more viruses are produced and leave the host cell, the cell membrane weakens leading eventually to the death of the infected CD4+ T lymphocytes. Other factors, most of which are still unknown, lead to the rapid depletion of the CD4+ T lymphocytes. The decline in the CD4+ T lymphocytes count is a reflection of the declining cellular immunity, which eventually manifests as the appearance of opportunistic infections. </w:t>
      </w:r>
    </w:p>
    <w:p w:rsidR="002B39F1" w:rsidRPr="00CD04C6" w:rsidRDefault="002B39F1" w:rsidP="00CD04C6">
      <w:pPr>
        <w:pStyle w:val="Heading3"/>
      </w:pPr>
      <w:bookmarkStart w:id="33" w:name="_Toc375999398"/>
      <w:bookmarkStart w:id="34" w:name="_Toc378258080"/>
      <w:bookmarkStart w:id="35" w:name="_Toc382213936"/>
      <w:r w:rsidRPr="00CD04C6">
        <w:t>1.4.4 Natural History of HIV Infection</w:t>
      </w:r>
      <w:bookmarkEnd w:id="33"/>
      <w:bookmarkEnd w:id="34"/>
      <w:bookmarkEnd w:id="35"/>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During the past few years, major advances have been made in the understanding of the complex pathogenetic mechanisms leading to the spread of HIV infection overtime, and to the progression of HIV and AIDS within an individual.</w:t>
      </w:r>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Initial infection with HIV (primary HIV infection) is characterized by a relatively brief period of high-level acute virus replication. People newly infected are highly infectious, even though they may test negative for HIV; particularly if they are tested using common tests that depend on detection of antibodies against HIV. The high level of viraemia present at the time of sero-conversion may persevere for about three months, but eventually stabilize at an individual “set point.”</w:t>
      </w:r>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This is followed by an asymptomatic phase of the infection, wherein the levels of CD4+ T-</w:t>
      </w:r>
      <w:r w:rsidRPr="00CD04C6">
        <w:rPr>
          <w:rFonts w:ascii="Arial" w:eastAsia="Times New Roman" w:hAnsi="Arial" w:cs="Arial"/>
          <w:color w:val="231F20"/>
        </w:rPr>
        <w:lastRenderedPageBreak/>
        <w:t>lymphocytes, the prime target cell for HIV, gradually decline. The rate of decline varies substantially among patients. Major factors known to influence the rate of CD4+ T-lymphocyte decline in a patient include genetic factors, viral load (number of HIV-RNA</w:t>
      </w:r>
      <w:r w:rsidR="00AA771C">
        <w:rPr>
          <w:rFonts w:ascii="Arial" w:eastAsia="Times New Roman" w:hAnsi="Arial" w:cs="Arial"/>
          <w:noProof/>
          <w:color w:val="231F20"/>
        </w:rPr>
        <mc:AlternateContent>
          <mc:Choice Requires="wpg">
            <w:drawing>
              <wp:anchor distT="0" distB="0" distL="114300" distR="114300" simplePos="0" relativeHeight="251658240" behindDoc="1" locked="0" layoutInCell="1" allowOverlap="1">
                <wp:simplePos x="0" y="0"/>
                <wp:positionH relativeFrom="page">
                  <wp:posOffset>5671185</wp:posOffset>
                </wp:positionH>
                <wp:positionV relativeFrom="paragraph">
                  <wp:posOffset>334645</wp:posOffset>
                </wp:positionV>
                <wp:extent cx="190500" cy="1270"/>
                <wp:effectExtent l="0" t="0" r="19050" b="17780"/>
                <wp:wrapNone/>
                <wp:docPr id="10357" name="Group 10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8931" y="527"/>
                          <a:chExt cx="300" cy="2"/>
                        </a:xfrm>
                      </wpg:grpSpPr>
                      <wps:wsp>
                        <wps:cNvPr id="10358" name="Freeform 10034"/>
                        <wps:cNvSpPr>
                          <a:spLocks/>
                        </wps:cNvSpPr>
                        <wps:spPr bwMode="auto">
                          <a:xfrm>
                            <a:off x="8931" y="527"/>
                            <a:ext cx="300" cy="2"/>
                          </a:xfrm>
                          <a:custGeom>
                            <a:avLst/>
                            <a:gdLst>
                              <a:gd name="T0" fmla="+- 0 8931 8931"/>
                              <a:gd name="T1" fmla="*/ T0 w 300"/>
                              <a:gd name="T2" fmla="+- 0 9231 8931"/>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33" o:spid="_x0000_s1026" style="position:absolute;margin-left:446.55pt;margin-top:26.35pt;width:15pt;height:.1pt;z-index:-251658240;mso-position-horizontal-relative:page" coordorigin="8931,527"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">
                <v:shape id="Freeform 10034" o:spid="_x0000_s1027" style="position:absolute;left:8931;top:527;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LEscA&#10;AADeAAAADwAAAGRycy9kb3ducmV2LnhtbESPQU/CQBCF7yb+h82YcJMtFFErCxETQuFAIup90h3a&#10;xu5ss7tC+ffOwcTbTN6b975ZrAbXqTOF2Ho2MBlnoIgrb1uuDXx+bO6fQMWEbLHzTAauFGG1vL1Z&#10;YGH9hd/pfEy1khCOBRpoUuoLrWPVkMM49j2xaCcfHCZZQ61twIuEu05Ps2yuHbYsDQ329NZQ9X38&#10;cQYOBw4BT/l0snXP+f5xPfsqd6Uxo7vh9QVUoiH9m/+uSyv4Wf4g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RyxLHAAAA3gAAAA8AAAAAAAAAAAAAAAAAmAIAAGRy&#10;cy9kb3ducmV2LnhtbFBLBQYAAAAABAAEAPUAAACMAwAAAAA=&#10;" path="m,l300,e" filled="f" strokeweight=".25pt">
                  <v:path arrowok="t" o:connecttype="custom" o:connectlocs="0,0;300,0" o:connectangles="0,0"/>
                </v:shape>
                <w10:wrap anchorx="page"/>
              </v:group>
            </w:pict>
          </mc:Fallback>
        </mc:AlternateContent>
      </w:r>
      <w:r w:rsidRPr="00CD04C6">
        <w:rPr>
          <w:rFonts w:ascii="Arial" w:eastAsia="Times New Roman" w:hAnsi="Arial" w:cs="Arial"/>
          <w:color w:val="231F20"/>
        </w:rPr>
        <w:t xml:space="preserve"> copies/unit volume) at the “set point,” viral characteristics, and age of the patient.</w:t>
      </w:r>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Clinical and biological studies of patients over long periods have demonstrated that measuring viral load (expressed as number of copies/ml) is the most powerful predictive indicator of disease progression. Viral load and number of circulating CD4+  T-lymphocytes/mm³ are the two most important laboratory parameters to consider when deciding whether to start treatment. Viral load is the measure of disease activity that can be used to evaluate both the rate of immune system deterioration before and during treatment, and the risk for development of resistance during treatment. The CD4 count can be used to evaluate the risk of complications like the development of opportunistic infections.</w:t>
      </w:r>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A high set point has been shown to be associated with rapid disease progression more than a low set point. Infection with syncytium forming viruses is associated with rapid rate of disease progression compared to non-syncytium forming viruses. Development of severe immuno- suppression could occur two to four years, but may be delayed for more than 15 years. On average, however, it takes eight to ten years. Activation of the immune system by infections such as tuberculosis or worm infestation accelerates onset of immuno-suppression. Consequently, the institution of preventive therapy for OIs, plus early detection and administration of effective and appropriate treatment of OIs, does minimize the risk of rapid onset of immuno-suppression. Preventive therapies currently used include those for TB, bacterial infections, Pneumocystis Carinii Pneumonia (PCP), toxoplasmosis and cryptoccocal meningitis.</w:t>
      </w:r>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 xml:space="preserve">Comprehensive clinical care of persons with HIV disease requires health care personnel to have appropriate clinical knowledge, experience and laboratory support to identify patients with subtle or gross features of HIV disease. Once diagnosis of HIV infection is made, the goal of any treatment aims at limiting or delaying progression and onset of AIDS for as long as possible, to reduce morbidity and to increase survival rate. </w:t>
      </w:r>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Theoretically, the multiple steps in replication of HIV provide multiple opportunities for intervention. Therapeutic regimens may be directed at one or several of the following stages essential for viral replication: (1) attachment of HIV to the host cell, (2) reverse transcription of viral RNA to DNA, (3) integration of the pro viral DNA into the host cells’ DNA, or (4) expression of the viral gene after it has been integrated into host cell DNA, including the transcription of more viral RNA and the translation of viral proteins. (See Fig. 1.1)</w:t>
      </w:r>
    </w:p>
    <w:p w:rsidR="00CD04C6" w:rsidRDefault="00CD04C6" w:rsidP="00AA771C">
      <w:pPr>
        <w:spacing w:beforeLines="120" w:before="288" w:afterLines="120" w:after="288" w:line="288" w:lineRule="auto"/>
        <w:ind w:right="1499"/>
        <w:jc w:val="both"/>
        <w:rPr>
          <w:rFonts w:ascii="Arial Narrow" w:eastAsia="Arial" w:hAnsi="Arial Narrow" w:cs="Arial"/>
          <w:b/>
          <w:bCs/>
          <w:i/>
          <w:color w:val="00AEEF"/>
          <w:sz w:val="24"/>
          <w:szCs w:val="24"/>
        </w:rPr>
        <w:sectPr w:rsidR="00CD04C6" w:rsidSect="0027452F">
          <w:pgSz w:w="12240" w:h="15840"/>
          <w:pgMar w:top="1440" w:right="1440" w:bottom="1440" w:left="1440" w:header="720" w:footer="720" w:gutter="0"/>
          <w:cols w:space="720"/>
          <w:docGrid w:linePitch="360"/>
        </w:sectPr>
      </w:pPr>
    </w:p>
    <w:p w:rsidR="002B39F1" w:rsidRDefault="002B39F1" w:rsidP="00AA771C">
      <w:pPr>
        <w:spacing w:beforeLines="120" w:before="288" w:afterLines="120" w:after="288" w:line="288" w:lineRule="auto"/>
        <w:ind w:right="1499"/>
        <w:jc w:val="both"/>
        <w:rPr>
          <w:rFonts w:ascii="Arial Narrow" w:eastAsia="Arial" w:hAnsi="Arial Narrow" w:cs="Arial"/>
          <w:sz w:val="24"/>
          <w:szCs w:val="24"/>
        </w:rPr>
      </w:pPr>
      <w:r w:rsidRPr="00C203F3">
        <w:rPr>
          <w:rFonts w:ascii="Arial Narrow" w:eastAsia="Arial" w:hAnsi="Arial Narrow" w:cs="Arial"/>
          <w:b/>
          <w:bCs/>
          <w:i/>
          <w:color w:val="00AEEF"/>
          <w:sz w:val="24"/>
          <w:szCs w:val="24"/>
        </w:rPr>
        <w:lastRenderedPageBreak/>
        <w:t>Fig.1.1 Processing and Post-</w:t>
      </w:r>
      <w:r w:rsidRPr="00C203F3">
        <w:rPr>
          <w:rFonts w:ascii="Arial Narrow" w:eastAsia="Arial" w:hAnsi="Arial Narrow" w:cs="Arial"/>
          <w:b/>
          <w:bCs/>
          <w:i/>
          <w:color w:val="00AEEF"/>
          <w:spacing w:val="-4"/>
          <w:sz w:val="24"/>
          <w:szCs w:val="24"/>
        </w:rPr>
        <w:t>T</w:t>
      </w:r>
      <w:r w:rsidRPr="00C203F3">
        <w:rPr>
          <w:rFonts w:ascii="Arial Narrow" w:eastAsia="Arial" w:hAnsi="Arial Narrow" w:cs="Arial"/>
          <w:b/>
          <w:bCs/>
          <w:i/>
          <w:color w:val="00AEEF"/>
          <w:sz w:val="24"/>
          <w:szCs w:val="24"/>
        </w:rPr>
        <w:t xml:space="preserve">ranslational Modification of </w:t>
      </w:r>
      <w:r w:rsidRPr="00C203F3">
        <w:rPr>
          <w:rFonts w:ascii="Arial Narrow" w:eastAsia="Arial" w:hAnsi="Arial Narrow" w:cs="Arial"/>
          <w:b/>
          <w:bCs/>
          <w:i/>
          <w:color w:val="00AEEF"/>
          <w:spacing w:val="-4"/>
          <w:sz w:val="24"/>
          <w:szCs w:val="24"/>
        </w:rPr>
        <w:t>Protein Products of</w:t>
      </w:r>
      <w:r w:rsidRPr="00C203F3">
        <w:rPr>
          <w:rFonts w:ascii="Arial Narrow" w:eastAsia="Arial" w:hAnsi="Arial Narrow" w:cs="Arial"/>
          <w:b/>
          <w:bCs/>
          <w:i/>
          <w:color w:val="00AEEF"/>
          <w:sz w:val="24"/>
          <w:szCs w:val="24"/>
        </w:rPr>
        <w:t xml:space="preserve"> the </w:t>
      </w:r>
      <w:r w:rsidRPr="00C203F3">
        <w:rPr>
          <w:rFonts w:ascii="Arial Narrow" w:eastAsia="Arial" w:hAnsi="Arial Narrow" w:cs="Arial"/>
          <w:b/>
          <w:bCs/>
          <w:i/>
          <w:color w:val="00AEEF"/>
          <w:spacing w:val="-8"/>
          <w:sz w:val="24"/>
          <w:szCs w:val="24"/>
        </w:rPr>
        <w:t>V</w:t>
      </w:r>
      <w:r w:rsidRPr="00C203F3">
        <w:rPr>
          <w:rFonts w:ascii="Arial Narrow" w:eastAsia="Arial" w:hAnsi="Arial Narrow" w:cs="Arial"/>
          <w:b/>
          <w:bCs/>
          <w:i/>
          <w:color w:val="00AEEF"/>
          <w:sz w:val="24"/>
          <w:szCs w:val="24"/>
        </w:rPr>
        <w:t>irus</w:t>
      </w:r>
    </w:p>
    <w:p w:rsidR="002B39F1" w:rsidRDefault="002B39F1" w:rsidP="00AA771C">
      <w:pPr>
        <w:spacing w:beforeLines="120" w:before="288" w:afterLines="120" w:after="288" w:line="288" w:lineRule="auto"/>
        <w:jc w:val="both"/>
        <w:rPr>
          <w:rFonts w:ascii="Arial Narrow" w:hAnsi="Arial Narrow"/>
          <w:sz w:val="24"/>
          <w:szCs w:val="24"/>
        </w:rPr>
      </w:pPr>
    </w:p>
    <w:p w:rsidR="002B39F1" w:rsidRDefault="002B39F1" w:rsidP="00AA771C">
      <w:pPr>
        <w:spacing w:beforeLines="120" w:before="288" w:afterLines="120" w:after="288" w:line="288" w:lineRule="auto"/>
        <w:ind w:left="1554" w:right="-20"/>
        <w:jc w:val="both"/>
        <w:rPr>
          <w:rFonts w:ascii="Arial Narrow" w:eastAsia="Times New Roman" w:hAnsi="Arial Narrow" w:cs="Times New Roman"/>
          <w:sz w:val="24"/>
          <w:szCs w:val="24"/>
        </w:rPr>
      </w:pPr>
      <w:r w:rsidRPr="00C203F3">
        <w:rPr>
          <w:rFonts w:ascii="Arial Narrow" w:hAnsi="Arial Narrow"/>
          <w:noProof/>
          <w:sz w:val="24"/>
          <w:szCs w:val="24"/>
        </w:rPr>
        <w:drawing>
          <wp:inline distT="0" distB="0" distL="0" distR="0">
            <wp:extent cx="3873500" cy="28124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3500" cy="2812415"/>
                    </a:xfrm>
                    <a:prstGeom prst="rect">
                      <a:avLst/>
                    </a:prstGeom>
                    <a:noFill/>
                    <a:ln>
                      <a:noFill/>
                    </a:ln>
                  </pic:spPr>
                </pic:pic>
              </a:graphicData>
            </a:graphic>
          </wp:inline>
        </w:drawing>
      </w:r>
    </w:p>
    <w:p w:rsidR="002B39F1" w:rsidRDefault="002B39F1" w:rsidP="00AA771C">
      <w:pPr>
        <w:spacing w:beforeLines="120" w:before="288" w:afterLines="120" w:after="288" w:line="288" w:lineRule="auto"/>
        <w:jc w:val="both"/>
        <w:rPr>
          <w:rFonts w:ascii="Arial Narrow" w:hAnsi="Arial Narrow"/>
          <w:sz w:val="24"/>
          <w:szCs w:val="24"/>
        </w:rPr>
      </w:pPr>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Anti retro viral drugs currently available in Tanzania function by targeting either the reverse transcriptase enzyme or the protease enzyme. This results in halted viral replication and a consequent halting or reversal of further decline in CD4+Tlymphocytes.</w:t>
      </w:r>
    </w:p>
    <w:p w:rsidR="002B39F1" w:rsidRDefault="002B39F1" w:rsidP="00AA771C">
      <w:pPr>
        <w:spacing w:beforeLines="50" w:before="120" w:afterLines="50" w:after="120" w:line="288" w:lineRule="auto"/>
        <w:jc w:val="both"/>
        <w:rPr>
          <w:rFonts w:ascii="Arial Narrow" w:hAnsi="Arial Narrow"/>
          <w:sz w:val="24"/>
          <w:szCs w:val="24"/>
        </w:rPr>
      </w:pPr>
    </w:p>
    <w:p w:rsidR="00CD04C6" w:rsidRPr="00CD04C6" w:rsidRDefault="002B39F1" w:rsidP="00CD04C6">
      <w:pPr>
        <w:pStyle w:val="Heading2"/>
      </w:pPr>
      <w:bookmarkStart w:id="36" w:name="_Toc375999399"/>
      <w:bookmarkStart w:id="37" w:name="_Toc378258081"/>
      <w:bookmarkStart w:id="38" w:name="_Toc382213937"/>
      <w:r w:rsidRPr="00CD04C6">
        <w:t>1.5 Clinical Progression of HIV Infection</w:t>
      </w:r>
      <w:bookmarkEnd w:id="36"/>
      <w:bookmarkEnd w:id="37"/>
      <w:bookmarkEnd w:id="38"/>
      <w:r w:rsidRPr="00CD04C6">
        <w:t xml:space="preserve"> </w:t>
      </w:r>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w:t>
      </w:r>
      <w:r w:rsidR="00CD04C6" w:rsidRPr="00CD04C6">
        <w:rPr>
          <w:rFonts w:ascii="Arial" w:eastAsia="Times New Roman" w:hAnsi="Arial" w:cs="Arial"/>
          <w:color w:val="231F20"/>
        </w:rPr>
        <w:t>See</w:t>
      </w:r>
      <w:r w:rsidRPr="00CD04C6">
        <w:rPr>
          <w:rFonts w:ascii="Arial" w:eastAsia="Times New Roman" w:hAnsi="Arial" w:cs="Arial"/>
          <w:color w:val="231F20"/>
        </w:rPr>
        <w:t xml:space="preserve"> WHO Clinical Staging Criteria in Annexes 1 and 2)</w:t>
      </w:r>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In the absence of anti-retroviral therapy, HIV infected patients go through the following clinical stages:</w:t>
      </w:r>
    </w:p>
    <w:p w:rsidR="002B39F1" w:rsidRPr="00CD04C6" w:rsidRDefault="002B39F1" w:rsidP="00CD04C6">
      <w:pPr>
        <w:pStyle w:val="Heading3"/>
      </w:pPr>
      <w:bookmarkStart w:id="39" w:name="_Toc375999400"/>
      <w:bookmarkStart w:id="40" w:name="_Toc378258082"/>
      <w:bookmarkStart w:id="41" w:name="_Toc382213938"/>
      <w:r w:rsidRPr="00CD04C6">
        <w:t>1.5.1 Primary Infection, or Becoming HIV Infected</w:t>
      </w:r>
      <w:bookmarkEnd w:id="39"/>
      <w:bookmarkEnd w:id="40"/>
      <w:bookmarkEnd w:id="41"/>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Most people who become infected with HIV do not immediately notice that they have been infected, but some have a short illness soon after they have been infected. This is called sero-conversion illness. It may last for a few weeks and is often accompanied by flu-like symptoms such as fever, malaise, enlarged lymph nodes, sore throat, skin rash and/or joint pains. This acute febrile illness is accompanied by widespread dissemination of the virus to different tissues, especially the lymphoid system. HIV blood tests that are designed to detect the presence of HIV antibodies, such as ELISA and rapid immunoassays, are usually negative.</w:t>
      </w:r>
    </w:p>
    <w:p w:rsidR="002B39F1" w:rsidRPr="00CD04C6" w:rsidRDefault="002B39F1" w:rsidP="00CD04C6">
      <w:pPr>
        <w:pStyle w:val="Heading3"/>
      </w:pPr>
      <w:bookmarkStart w:id="42" w:name="_Toc375999401"/>
      <w:bookmarkStart w:id="43" w:name="_Toc378258083"/>
      <w:bookmarkStart w:id="44" w:name="_Toc382213939"/>
      <w:r w:rsidRPr="00CD04C6">
        <w:lastRenderedPageBreak/>
        <w:t>1.5.2 Clinically Asymptomatic Stage</w:t>
      </w:r>
      <w:bookmarkEnd w:id="42"/>
      <w:bookmarkEnd w:id="43"/>
      <w:bookmarkEnd w:id="44"/>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This stage may last for an average of eight to ten years, and is free of symptoms, except for the possibility of swollen glands (Persistent Generalized Lymphadenopathy, or PGL). At the initial stages of HIV infection, most patients are clinically asymptomatic in spite of this ongoing extensive immunologic battle that ensues once rapid viral replication begins. All HIV+ individuals can transmit the virus, but the chances of transmission are higher when the viral load is higher. This is WHO Stage 1.</w:t>
      </w:r>
    </w:p>
    <w:p w:rsidR="002B39F1" w:rsidRPr="00CD04C6" w:rsidRDefault="002B39F1" w:rsidP="00CD04C6">
      <w:pPr>
        <w:pStyle w:val="Heading3"/>
      </w:pPr>
      <w:bookmarkStart w:id="45" w:name="_Toc375999402"/>
      <w:bookmarkStart w:id="46" w:name="_Toc378258084"/>
      <w:bookmarkStart w:id="47" w:name="_Toc382213940"/>
      <w:r w:rsidRPr="00CD04C6">
        <w:t>1.5.3 Symptomatic HIV</w:t>
      </w:r>
      <w:bookmarkEnd w:id="45"/>
      <w:bookmarkEnd w:id="46"/>
      <w:bookmarkEnd w:id="47"/>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Over time the immune system loses the struggle to contain HIV, and symptoms develop. Symptomatic HIV infection is often caused by the emergence of OIs. The most common symptoms include fever, respiratory infections, cough, tuberculosis, weight loss, skin diseases, viral infections, oral thrush, pain and lymphadenopathy. This stage is WHO Stage2 or 3, depending on the particular OI seen. (See Annex1 and 2 for reference.)</w:t>
      </w:r>
    </w:p>
    <w:p w:rsidR="002B39F1" w:rsidRPr="00CD04C6" w:rsidRDefault="002B39F1" w:rsidP="00CD04C6">
      <w:pPr>
        <w:pStyle w:val="Heading3"/>
      </w:pPr>
      <w:bookmarkStart w:id="48" w:name="_Toc375999403"/>
      <w:bookmarkStart w:id="49" w:name="_Toc378258085"/>
      <w:bookmarkStart w:id="50" w:name="_Toc382213941"/>
      <w:r w:rsidRPr="00CD04C6">
        <w:t>1.5.4 AIDS</w:t>
      </w:r>
      <w:bookmarkEnd w:id="48"/>
      <w:bookmarkEnd w:id="49"/>
      <w:bookmarkEnd w:id="50"/>
    </w:p>
    <w:p w:rsidR="002B39F1" w:rsidRPr="00CD04C6" w:rsidRDefault="002B39F1" w:rsidP="00CD04C6">
      <w:pPr>
        <w:spacing w:before="120" w:after="120" w:line="240" w:lineRule="auto"/>
        <w:jc w:val="both"/>
        <w:rPr>
          <w:rFonts w:ascii="Arial" w:eastAsia="Times New Roman" w:hAnsi="Arial" w:cs="Arial"/>
          <w:color w:val="231F20"/>
        </w:rPr>
      </w:pPr>
      <w:r w:rsidRPr="00CD04C6">
        <w:rPr>
          <w:rFonts w:ascii="Arial" w:eastAsia="Times New Roman" w:hAnsi="Arial" w:cs="Arial"/>
          <w:color w:val="231F20"/>
        </w:rPr>
        <w:t xml:space="preserve">Diagnosis of AIDS is confirmed if a person with HIV develops one or more of a specific number of severe OIs or cancers. Such conditions include Kaposi’s sarcoma, cryptococcal meningitis, PCP, toxoplasmosis, CMV (Cytomegalovirus) retinitis etc. This is WHO Stage 4. </w:t>
      </w:r>
    </w:p>
    <w:p w:rsidR="0027452F" w:rsidRDefault="0027452F"/>
    <w:p w:rsidR="00F4045D" w:rsidRDefault="00F4045D"/>
    <w:p w:rsidR="00F4045D" w:rsidRDefault="00F4045D"/>
    <w:p w:rsidR="00F4045D" w:rsidRDefault="00F4045D"/>
    <w:p w:rsidR="00F4045D" w:rsidRDefault="00F4045D"/>
    <w:p w:rsidR="00F4045D" w:rsidRDefault="00F4045D"/>
    <w:p w:rsidR="00F4045D" w:rsidRDefault="00F4045D"/>
    <w:p w:rsidR="00F4045D" w:rsidRDefault="00F4045D"/>
    <w:p w:rsidR="00F4045D" w:rsidRDefault="00F4045D"/>
    <w:p w:rsidR="00F4045D" w:rsidRDefault="00F4045D"/>
    <w:p w:rsidR="00F4045D" w:rsidRDefault="00F4045D"/>
    <w:p w:rsidR="00F4045D" w:rsidRDefault="00F4045D"/>
    <w:p w:rsidR="00F4045D" w:rsidRDefault="00F4045D"/>
    <w:p w:rsidR="00F4045D" w:rsidRDefault="00F4045D"/>
    <w:p w:rsidR="00F4045D" w:rsidRDefault="00F4045D"/>
    <w:p w:rsidR="0071027C" w:rsidRPr="00084533" w:rsidRDefault="0071027C" w:rsidP="0071027C">
      <w:pPr>
        <w:pStyle w:val="Heading1"/>
      </w:pPr>
      <w:bookmarkStart w:id="51" w:name="_Toc378258086"/>
      <w:bookmarkStart w:id="52" w:name="_Toc382213942"/>
      <w:r w:rsidRPr="00084533">
        <w:lastRenderedPageBreak/>
        <w:t>CHAPTER 2:  ORGANIZATION OF HIV AND AIDS CARE AND TREATMENT SERVICE DELIVERY</w:t>
      </w:r>
      <w:bookmarkEnd w:id="51"/>
      <w:bookmarkEnd w:id="52"/>
    </w:p>
    <w:p w:rsidR="0071027C" w:rsidRPr="00084533" w:rsidRDefault="0071027C" w:rsidP="0071027C">
      <w:pPr>
        <w:pStyle w:val="Heading2"/>
      </w:pPr>
      <w:bookmarkStart w:id="53" w:name="_Toc373762848"/>
      <w:bookmarkStart w:id="54" w:name="_Toc378258087"/>
      <w:bookmarkStart w:id="55" w:name="_Toc382213943"/>
      <w:bookmarkStart w:id="56" w:name="_Toc49809895"/>
      <w:r w:rsidRPr="00084533">
        <w:t>2.1 Introduction</w:t>
      </w:r>
      <w:bookmarkEnd w:id="53"/>
      <w:bookmarkEnd w:id="54"/>
      <w:bookmarkEnd w:id="55"/>
    </w:p>
    <w:p w:rsidR="0071027C" w:rsidRPr="00084533" w:rsidRDefault="0071027C" w:rsidP="0071027C">
      <w:pPr>
        <w:autoSpaceDE w:val="0"/>
        <w:autoSpaceDN w:val="0"/>
        <w:adjustRightInd w:val="0"/>
        <w:spacing w:before="120" w:after="120" w:line="240" w:lineRule="auto"/>
        <w:jc w:val="both"/>
        <w:rPr>
          <w:rFonts w:ascii="Arial" w:hAnsi="Arial" w:cs="Arial"/>
        </w:rPr>
      </w:pPr>
      <w:r w:rsidRPr="00084533">
        <w:rPr>
          <w:rFonts w:ascii="Arial" w:hAnsi="Arial" w:cs="Arial"/>
        </w:rPr>
        <w:t>The provision of quality HIV and AIDS services at health care facilities across the country requires efficient organization of HIV Care and Treatment services. By the end of 2013, a total of 1,176 health facilities were providing care and treatment services.  Of those 220 were hospitals, and the remaining 956</w:t>
      </w:r>
      <w:r>
        <w:rPr>
          <w:rFonts w:ascii="Arial" w:hAnsi="Arial" w:cs="Arial"/>
        </w:rPr>
        <w:t xml:space="preserve"> </w:t>
      </w:r>
      <w:r w:rsidRPr="00084533">
        <w:rPr>
          <w:rFonts w:ascii="Arial" w:hAnsi="Arial" w:cs="Arial"/>
        </w:rPr>
        <w:t xml:space="preserve">were primary health facilities. </w:t>
      </w:r>
    </w:p>
    <w:p w:rsidR="0071027C" w:rsidRPr="00084533" w:rsidRDefault="0071027C" w:rsidP="0071027C">
      <w:pPr>
        <w:pStyle w:val="Heading2"/>
      </w:pPr>
      <w:bookmarkStart w:id="57" w:name="_Toc373762849"/>
      <w:bookmarkStart w:id="58" w:name="_Toc378258088"/>
      <w:bookmarkStart w:id="59" w:name="_Toc382213944"/>
      <w:r w:rsidRPr="00084533">
        <w:t>2.2 Identifying People Living with HIV and AIDS (PLHIV) as an entry point to Continuum of Care</w:t>
      </w:r>
      <w:bookmarkEnd w:id="57"/>
      <w:bookmarkEnd w:id="58"/>
      <w:bookmarkEnd w:id="59"/>
    </w:p>
    <w:p w:rsidR="0071027C" w:rsidRPr="00084533" w:rsidRDefault="0071027C" w:rsidP="0071027C">
      <w:pPr>
        <w:autoSpaceDE w:val="0"/>
        <w:autoSpaceDN w:val="0"/>
        <w:adjustRightInd w:val="0"/>
        <w:spacing w:before="120" w:after="120" w:line="240" w:lineRule="auto"/>
        <w:jc w:val="both"/>
        <w:rPr>
          <w:rFonts w:ascii="Arial" w:hAnsi="Arial" w:cs="Arial"/>
        </w:rPr>
      </w:pPr>
      <w:r w:rsidRPr="00084533">
        <w:rPr>
          <w:rFonts w:ascii="Arial" w:hAnsi="Arial" w:cs="Arial"/>
        </w:rPr>
        <w:t>In order to meet the goals of the HIV and AIDS care and treatment program, an expanded multi-sectoral effort involving all sectors of development through CBOs, NGOs, the private sector  and government structures is required to identify clients in need of HIV care and treatment. Health services exist within communities, for identification of people in need of care and treatment.  These services are:</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 xml:space="preserve">HIV Testing and Counselling (HTC), </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 xml:space="preserve">Communty and Home Based Care (HBC), </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 xml:space="preserve">Elimination of mother to child HIV transmission (eMTCT), </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 xml:space="preserve">Out Patient Department (OPD), </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 xml:space="preserve">In patient department (IPD) </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 xml:space="preserve">TB Clinics. </w:t>
      </w:r>
    </w:p>
    <w:p w:rsidR="0071027C" w:rsidRPr="00084533" w:rsidRDefault="0071027C" w:rsidP="0071027C">
      <w:pPr>
        <w:autoSpaceDE w:val="0"/>
        <w:autoSpaceDN w:val="0"/>
        <w:adjustRightInd w:val="0"/>
        <w:spacing w:before="120" w:after="120" w:line="240" w:lineRule="auto"/>
        <w:jc w:val="both"/>
        <w:rPr>
          <w:rFonts w:ascii="Arial" w:hAnsi="Arial" w:cs="Arial"/>
        </w:rPr>
      </w:pPr>
      <w:r w:rsidRPr="00084533">
        <w:rPr>
          <w:rFonts w:ascii="Arial" w:hAnsi="Arial" w:cs="Arial"/>
        </w:rPr>
        <w:t xml:space="preserve">People need to be sensitized using all effective communication channels within community and health facilities to come forward for testing and counseling, HIV prevention and adherence to HIV care and treatment.  </w:t>
      </w:r>
    </w:p>
    <w:p w:rsidR="0071027C" w:rsidRPr="00084533" w:rsidRDefault="0071027C" w:rsidP="0071027C">
      <w:pPr>
        <w:pStyle w:val="Heading2"/>
      </w:pPr>
      <w:bookmarkStart w:id="60" w:name="_Toc50312926"/>
      <w:bookmarkStart w:id="61" w:name="_Toc373762850"/>
      <w:bookmarkStart w:id="62" w:name="_Toc378258089"/>
      <w:bookmarkStart w:id="63" w:name="_Toc382213945"/>
      <w:r w:rsidRPr="00084533">
        <w:t>2.3 Scope of HIV Care and Treatment</w:t>
      </w:r>
      <w:bookmarkEnd w:id="60"/>
      <w:r w:rsidRPr="00084533">
        <w:t xml:space="preserve"> services</w:t>
      </w:r>
      <w:bookmarkEnd w:id="61"/>
      <w:bookmarkEnd w:id="62"/>
      <w:bookmarkEnd w:id="63"/>
    </w:p>
    <w:p w:rsidR="0071027C" w:rsidRPr="00084533" w:rsidRDefault="0071027C" w:rsidP="0071027C">
      <w:pPr>
        <w:autoSpaceDE w:val="0"/>
        <w:autoSpaceDN w:val="0"/>
        <w:adjustRightInd w:val="0"/>
        <w:spacing w:before="120" w:after="120" w:line="240" w:lineRule="auto"/>
        <w:jc w:val="both"/>
        <w:rPr>
          <w:rFonts w:ascii="Arial" w:hAnsi="Arial" w:cs="Arial"/>
        </w:rPr>
      </w:pPr>
      <w:r w:rsidRPr="00084533">
        <w:rPr>
          <w:rFonts w:ascii="Arial" w:hAnsi="Arial" w:cs="Arial"/>
        </w:rPr>
        <w:t xml:space="preserve">The provision of HIV Care and Treatment services, including ARVs should take place at assessed and </w:t>
      </w:r>
      <w:r>
        <w:rPr>
          <w:rFonts w:ascii="Arial" w:hAnsi="Arial" w:cs="Arial"/>
        </w:rPr>
        <w:t>registered health</w:t>
      </w:r>
      <w:r w:rsidRPr="00084533">
        <w:rPr>
          <w:rFonts w:ascii="Arial" w:hAnsi="Arial" w:cs="Arial"/>
        </w:rPr>
        <w:t>care facilities which have trained personnel.  The care and treatment services should also be provided integrated with other services such as TB clinics, RCHS clinics, and Methadone assisted therapy clinics. It is also important to ensure effective linkages to a wide range of other services across the continuum of care including TB, Sexual and Reproductive Health, Family Planning, Prevention of Mother to Child Transmission (PMTCT), social welfare and spiritual support, legal support and home based care services.</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The core elements of HIV prevention, treatment and support that need to be available within HIV care and treatment services at any level include basic education about HIV transmission, disease progression, disease management and elements of Positive Health, Dignity and Prevention  (PHDP) (see also chapter 4). These include the following:</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 xml:space="preserve">Education on behavioural risks and condom use   </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Information of HIV care and treatment services availability.</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Education and counselling on treatment adherence; good nutrition, food safety, clean water and use of insecticide treated bed-nets.</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Early identification and management of co-morbidities (opportunistic infections, non-communicable diseases etc)</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lastRenderedPageBreak/>
        <w:t>Prophylaxis for OIs (e.g</w:t>
      </w:r>
      <w:r>
        <w:rPr>
          <w:rFonts w:ascii="Arial" w:hAnsi="Arial" w:cs="Arial"/>
          <w:sz w:val="22"/>
          <w:szCs w:val="22"/>
        </w:rPr>
        <w:t>.</w:t>
      </w:r>
      <w:r w:rsidRPr="00084533">
        <w:rPr>
          <w:rFonts w:ascii="Arial" w:hAnsi="Arial" w:cs="Arial"/>
          <w:sz w:val="22"/>
          <w:szCs w:val="22"/>
        </w:rPr>
        <w:t xml:space="preserve"> co-trimoxazole, TB preventive therapy and cervical cancer screening).</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 xml:space="preserve">Assessing eligibility for ART (clinical staging, social eligibility and CD4 counts) </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Effective two-way referrals to essential hospital services such as antenatal clinics for PMTCT; family planning advice before and while on ART; STI/RTI; MAT or other specialized clinics.</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Recording and reporting patient information according to the established electronic and paper based systems.</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Registration, appointment and tracking systems for effective treatment continuation and preventing missed appointments.</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Referral to community services such as CHBC, social welfare and legal support.</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 xml:space="preserve">Service delivery should be organized to ensure efficiency, user friendliness, regular and standardized follow up. </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Use of Continuous quality improvement initiatives to strengthen services</w:t>
      </w:r>
    </w:p>
    <w:p w:rsidR="0071027C" w:rsidRPr="00084533" w:rsidRDefault="0071027C" w:rsidP="0071027C">
      <w:pPr>
        <w:pStyle w:val="Heading2"/>
      </w:pPr>
      <w:bookmarkStart w:id="64" w:name="_Toc373762851"/>
      <w:bookmarkStart w:id="65" w:name="_Toc378258090"/>
      <w:bookmarkStart w:id="66" w:name="_Toc382213946"/>
      <w:r w:rsidRPr="00084533">
        <w:t>2.4 Organization of HIV Care and Treatment Services</w:t>
      </w:r>
      <w:bookmarkEnd w:id="64"/>
      <w:bookmarkEnd w:id="65"/>
      <w:bookmarkEnd w:id="66"/>
    </w:p>
    <w:p w:rsidR="0071027C" w:rsidRPr="00084533" w:rsidRDefault="0071027C" w:rsidP="0071027C">
      <w:pPr>
        <w:pStyle w:val="Heading3"/>
      </w:pPr>
      <w:bookmarkStart w:id="67" w:name="_Toc373762852"/>
      <w:bookmarkStart w:id="68" w:name="_Toc378258091"/>
      <w:bookmarkStart w:id="69" w:name="_Toc382213947"/>
      <w:r w:rsidRPr="00084533">
        <w:t>2.4.1 Staffing and Team Approach</w:t>
      </w:r>
      <w:bookmarkEnd w:id="67"/>
      <w:bookmarkEnd w:id="68"/>
      <w:bookmarkEnd w:id="69"/>
    </w:p>
    <w:p w:rsidR="0071027C" w:rsidRPr="00084533" w:rsidRDefault="0071027C" w:rsidP="0071027C">
      <w:pPr>
        <w:autoSpaceDE w:val="0"/>
        <w:autoSpaceDN w:val="0"/>
        <w:adjustRightInd w:val="0"/>
        <w:spacing w:before="120" w:after="120" w:line="240" w:lineRule="auto"/>
        <w:jc w:val="both"/>
        <w:rPr>
          <w:rFonts w:ascii="Arial" w:hAnsi="Arial" w:cs="Arial"/>
        </w:rPr>
      </w:pPr>
      <w:r w:rsidRPr="00084533">
        <w:rPr>
          <w:rFonts w:ascii="Arial" w:hAnsi="Arial" w:cs="Arial"/>
        </w:rPr>
        <w:t>For HIV services to function well, adequate and trained staff should have clear</w:t>
      </w:r>
      <w:r>
        <w:rPr>
          <w:rFonts w:ascii="Arial" w:hAnsi="Arial" w:cs="Arial"/>
        </w:rPr>
        <w:t xml:space="preserve"> </w:t>
      </w:r>
      <w:r w:rsidRPr="00084533">
        <w:rPr>
          <w:rFonts w:ascii="Arial" w:hAnsi="Arial" w:cs="Arial"/>
        </w:rPr>
        <w:t>roles and responsibilities. The principles of chronic disease management should</w:t>
      </w:r>
      <w:r>
        <w:rPr>
          <w:rFonts w:ascii="Arial" w:hAnsi="Arial" w:cs="Arial"/>
        </w:rPr>
        <w:t xml:space="preserve"> </w:t>
      </w:r>
      <w:r w:rsidRPr="00084533">
        <w:rPr>
          <w:rFonts w:ascii="Arial" w:hAnsi="Arial" w:cs="Arial"/>
        </w:rPr>
        <w:t>be followed. Team approach</w:t>
      </w:r>
      <w:r>
        <w:rPr>
          <w:rFonts w:ascii="Arial" w:hAnsi="Arial" w:cs="Arial"/>
        </w:rPr>
        <w:t xml:space="preserve"> </w:t>
      </w:r>
      <w:r w:rsidRPr="00084533">
        <w:rPr>
          <w:rFonts w:ascii="Arial" w:hAnsi="Arial" w:cs="Arial"/>
        </w:rPr>
        <w:t xml:space="preserve">involving a patient, healthcare team of at least a triage nurse, clinician and treatment/adherence nurse, will ensure the building of a relationship between patient and the health care team for life-long care. Regularly scheduled visits ensure close follow up of patients. </w:t>
      </w:r>
    </w:p>
    <w:p w:rsidR="0071027C" w:rsidRPr="00084533" w:rsidRDefault="0071027C" w:rsidP="0071027C">
      <w:pPr>
        <w:autoSpaceDE w:val="0"/>
        <w:autoSpaceDN w:val="0"/>
        <w:adjustRightInd w:val="0"/>
        <w:spacing w:before="120" w:after="120" w:line="240" w:lineRule="auto"/>
        <w:jc w:val="both"/>
        <w:rPr>
          <w:rFonts w:ascii="Arial" w:hAnsi="Arial" w:cs="Arial"/>
        </w:rPr>
      </w:pPr>
      <w:r w:rsidRPr="00084533">
        <w:rPr>
          <w:rFonts w:ascii="Arial" w:hAnsi="Arial" w:cs="Arial"/>
        </w:rPr>
        <w:t>Weekly CTC team meetings to discuss bottlenecks and case studies will help to build the team spirit; monthly staff meetings between heads of relevant units involved in HIV care such as CTC, TB, VCT, PRCH, STI, HBC, Pharmacy, Laboratory and in- patient will help to build better internal cooperation and patient referrals.</w:t>
      </w:r>
    </w:p>
    <w:p w:rsidR="0071027C" w:rsidRPr="00084533" w:rsidRDefault="0071027C" w:rsidP="0071027C">
      <w:pPr>
        <w:autoSpaceDE w:val="0"/>
        <w:autoSpaceDN w:val="0"/>
        <w:adjustRightInd w:val="0"/>
        <w:spacing w:before="120" w:after="120" w:line="240" w:lineRule="auto"/>
        <w:jc w:val="both"/>
        <w:rPr>
          <w:rFonts w:ascii="Arial" w:hAnsi="Arial" w:cs="Arial"/>
        </w:rPr>
      </w:pPr>
      <w:r w:rsidRPr="00084533">
        <w:rPr>
          <w:rFonts w:ascii="Arial" w:hAnsi="Arial" w:cs="Arial"/>
        </w:rPr>
        <w:t>CHMT members need to conduct regular supportive supervision at least quarterly</w:t>
      </w:r>
      <w:r>
        <w:rPr>
          <w:rFonts w:ascii="Arial" w:hAnsi="Arial" w:cs="Arial"/>
        </w:rPr>
        <w:t xml:space="preserve"> </w:t>
      </w:r>
      <w:r w:rsidRPr="00084533">
        <w:rPr>
          <w:rFonts w:ascii="Arial" w:hAnsi="Arial" w:cs="Arial"/>
        </w:rPr>
        <w:t xml:space="preserve">to assess and monitor of services delivery. </w:t>
      </w:r>
    </w:p>
    <w:p w:rsidR="0071027C" w:rsidRPr="00084533" w:rsidRDefault="0071027C" w:rsidP="0071027C">
      <w:pPr>
        <w:autoSpaceDE w:val="0"/>
        <w:autoSpaceDN w:val="0"/>
        <w:adjustRightInd w:val="0"/>
        <w:spacing w:before="120" w:after="120" w:line="240" w:lineRule="auto"/>
        <w:jc w:val="both"/>
        <w:rPr>
          <w:rFonts w:ascii="Arial" w:hAnsi="Arial" w:cs="Arial"/>
        </w:rPr>
      </w:pPr>
      <w:r w:rsidRPr="00084533">
        <w:rPr>
          <w:rFonts w:ascii="Arial" w:hAnsi="Arial" w:cs="Arial"/>
        </w:rPr>
        <w:t xml:space="preserve">Mentorship should be done by district mentors according to needs. </w:t>
      </w:r>
    </w:p>
    <w:p w:rsidR="0071027C" w:rsidRPr="00084533" w:rsidRDefault="0071027C" w:rsidP="0071027C">
      <w:pPr>
        <w:autoSpaceDE w:val="0"/>
        <w:autoSpaceDN w:val="0"/>
        <w:adjustRightInd w:val="0"/>
        <w:spacing w:before="120" w:after="120" w:line="240" w:lineRule="auto"/>
        <w:jc w:val="both"/>
        <w:rPr>
          <w:rFonts w:ascii="Arial" w:hAnsi="Arial" w:cs="Arial"/>
        </w:rPr>
      </w:pPr>
      <w:r w:rsidRPr="00084533">
        <w:rPr>
          <w:rFonts w:ascii="Arial" w:hAnsi="Arial" w:cs="Arial"/>
        </w:rPr>
        <w:t>The National Standard Operating Procedures manual outlines the following functions to be done by available staff within HIV care and treatment services:</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 xml:space="preserve">Registration and appointments management; filling of CTC 1 and CTC 2 cards; other relevant basic information. </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Triage: assessment of immediate medical needs, TB screening, support and referring the patient to the next relevant unit or staff at the clinic</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Clinical management</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Patient ART preparedness, adherence counseling and education</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All elements of Positive Health, Dignity and Prevention (PHDP)</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Referral management to other services within the health facility and relevant institutions and to other community support services</w:t>
      </w:r>
    </w:p>
    <w:p w:rsidR="0071027C" w:rsidRPr="00084533" w:rsidRDefault="0071027C" w:rsidP="0071027C">
      <w:pPr>
        <w:pStyle w:val="Heading3"/>
      </w:pPr>
      <w:bookmarkStart w:id="70" w:name="_Toc81332502"/>
      <w:bookmarkStart w:id="71" w:name="_Toc74551315"/>
      <w:bookmarkStart w:id="72" w:name="_Toc373762853"/>
      <w:bookmarkStart w:id="73" w:name="_Toc378258092"/>
      <w:bookmarkStart w:id="74" w:name="_Toc382213948"/>
      <w:bookmarkEnd w:id="56"/>
      <w:r w:rsidRPr="00084533">
        <w:t>2.4.2 Patient Visits Plan</w:t>
      </w:r>
      <w:bookmarkEnd w:id="70"/>
      <w:bookmarkEnd w:id="71"/>
      <w:bookmarkEnd w:id="72"/>
      <w:bookmarkEnd w:id="73"/>
      <w:bookmarkEnd w:id="74"/>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 xml:space="preserve">Initial clinic visit: </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Assess patient’s needs, record demographic</w:t>
      </w:r>
      <w:r>
        <w:rPr>
          <w:rFonts w:ascii="Arial" w:hAnsi="Arial" w:cs="Arial"/>
          <w:sz w:val="22"/>
          <w:szCs w:val="22"/>
        </w:rPr>
        <w:t xml:space="preserve"> </w:t>
      </w:r>
      <w:r w:rsidRPr="00084533">
        <w:rPr>
          <w:rFonts w:ascii="Arial" w:hAnsi="Arial" w:cs="Arial"/>
          <w:sz w:val="22"/>
          <w:szCs w:val="22"/>
        </w:rPr>
        <w:t>information and patient contact details, issue relevant forms (e.g</w:t>
      </w:r>
      <w:r>
        <w:rPr>
          <w:rFonts w:ascii="Arial" w:hAnsi="Arial" w:cs="Arial"/>
          <w:sz w:val="22"/>
          <w:szCs w:val="22"/>
        </w:rPr>
        <w:t>.</w:t>
      </w:r>
      <w:r w:rsidRPr="00084533">
        <w:rPr>
          <w:rFonts w:ascii="Arial" w:hAnsi="Arial" w:cs="Arial"/>
          <w:sz w:val="22"/>
          <w:szCs w:val="22"/>
        </w:rPr>
        <w:t xml:space="preserve"> CTC1, CTC 2, TB screening tool), weigh and direct patient to appropriate point of care. </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lastRenderedPageBreak/>
        <w:t xml:space="preserve">Do a confirmatory HIV test if there is doubt on their status, and CD4 cell count, or sputum smear if indicated, before the patient meets a counsellor and a clinician. </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Specimen for baseline investigation should be done within the facility or sent to a referral laboratory on the same day.</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Follow-up visit:</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 xml:space="preserve">Patients recommended for therapy will meet a counsellor/clinician to discuss adherence, dosing and adverse reaction management. </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Patients will be scheduled for follow-up monthly for the first six months depending on assessment by clinician.  After the patient is clinically stable</w:t>
      </w:r>
      <w:r>
        <w:rPr>
          <w:rFonts w:ascii="Arial" w:hAnsi="Arial" w:cs="Arial"/>
          <w:sz w:val="22"/>
          <w:szCs w:val="22"/>
        </w:rPr>
        <w:t xml:space="preserve"> </w:t>
      </w:r>
      <w:r w:rsidRPr="00084533">
        <w:rPr>
          <w:rFonts w:ascii="Arial" w:hAnsi="Arial" w:cs="Arial"/>
          <w:sz w:val="22"/>
          <w:szCs w:val="22"/>
        </w:rPr>
        <w:t>with good adherence for the at least six months or more</w:t>
      </w:r>
      <w:r>
        <w:rPr>
          <w:rFonts w:ascii="Arial" w:hAnsi="Arial" w:cs="Arial"/>
          <w:sz w:val="22"/>
          <w:szCs w:val="22"/>
        </w:rPr>
        <w:t xml:space="preserve"> </w:t>
      </w:r>
      <w:r w:rsidRPr="00084533">
        <w:rPr>
          <w:rFonts w:ascii="Arial" w:hAnsi="Arial" w:cs="Arial"/>
          <w:sz w:val="22"/>
          <w:szCs w:val="22"/>
        </w:rPr>
        <w:t xml:space="preserve">and no history of drug toxicity or recurrent OI he/she may see at two-monthly intervals or more as agreed between clinicians and the patient.  </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During the</w:t>
      </w:r>
      <w:r>
        <w:rPr>
          <w:rFonts w:ascii="Arial" w:hAnsi="Arial" w:cs="Arial"/>
          <w:sz w:val="22"/>
          <w:szCs w:val="22"/>
        </w:rPr>
        <w:t xml:space="preserve"> </w:t>
      </w:r>
      <w:r w:rsidRPr="00084533">
        <w:rPr>
          <w:rFonts w:ascii="Arial" w:hAnsi="Arial" w:cs="Arial"/>
          <w:sz w:val="22"/>
          <w:szCs w:val="22"/>
        </w:rPr>
        <w:t xml:space="preserve">visits, patients will see a clinician, pick up medication, and meet a counsellor (see counselling section below). At six months intervals, CD4 counts, and other blood tests will be performed. Patients will be evaluated assess response to therapy. </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Patients</w:t>
      </w:r>
      <w:r>
        <w:rPr>
          <w:rFonts w:ascii="Arial" w:hAnsi="Arial" w:cs="Arial"/>
          <w:sz w:val="22"/>
          <w:szCs w:val="22"/>
        </w:rPr>
        <w:t xml:space="preserve"> </w:t>
      </w:r>
      <w:r w:rsidRPr="00084533">
        <w:rPr>
          <w:rFonts w:ascii="Arial" w:hAnsi="Arial" w:cs="Arial"/>
          <w:sz w:val="22"/>
          <w:szCs w:val="22"/>
        </w:rPr>
        <w:t xml:space="preserve">not yet eligible for ART, require regular clinical and laboratory assessment (clinical staging and CD4 count) every 6 months. </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All</w:t>
      </w:r>
      <w:r>
        <w:rPr>
          <w:rFonts w:ascii="Arial" w:hAnsi="Arial" w:cs="Arial"/>
          <w:sz w:val="22"/>
          <w:szCs w:val="22"/>
        </w:rPr>
        <w:t xml:space="preserve"> </w:t>
      </w:r>
      <w:r w:rsidRPr="00084533">
        <w:rPr>
          <w:rFonts w:ascii="Arial" w:hAnsi="Arial" w:cs="Arial"/>
          <w:sz w:val="22"/>
          <w:szCs w:val="22"/>
        </w:rPr>
        <w:t>patients should report to CTC if their condition deteriorates prior to the</w:t>
      </w:r>
      <w:r>
        <w:rPr>
          <w:rFonts w:ascii="Arial" w:hAnsi="Arial" w:cs="Arial"/>
          <w:sz w:val="22"/>
          <w:szCs w:val="22"/>
        </w:rPr>
        <w:t xml:space="preserve"> </w:t>
      </w:r>
      <w:r w:rsidRPr="00084533">
        <w:rPr>
          <w:rFonts w:ascii="Arial" w:hAnsi="Arial" w:cs="Arial"/>
          <w:sz w:val="22"/>
          <w:szCs w:val="22"/>
        </w:rPr>
        <w:t>next scheduled visit.</w:t>
      </w:r>
    </w:p>
    <w:p w:rsidR="0071027C" w:rsidRPr="00084533" w:rsidRDefault="0071027C" w:rsidP="0071027C">
      <w:pPr>
        <w:pStyle w:val="Heading2"/>
      </w:pPr>
      <w:bookmarkStart w:id="75" w:name="_Toc81332505"/>
      <w:bookmarkStart w:id="76" w:name="_Toc74551318"/>
      <w:bookmarkStart w:id="77" w:name="_Toc373762854"/>
      <w:bookmarkStart w:id="78" w:name="_Toc378258093"/>
      <w:bookmarkStart w:id="79" w:name="_Toc382213949"/>
      <w:r w:rsidRPr="00084533">
        <w:t>2.5 Linkages</w:t>
      </w:r>
      <w:bookmarkEnd w:id="75"/>
      <w:bookmarkEnd w:id="76"/>
      <w:r w:rsidRPr="00084533">
        <w:t xml:space="preserve"> across a Continuum of Care</w:t>
      </w:r>
      <w:bookmarkEnd w:id="77"/>
      <w:bookmarkEnd w:id="78"/>
      <w:bookmarkEnd w:id="79"/>
    </w:p>
    <w:p w:rsidR="0071027C" w:rsidRPr="00084533" w:rsidRDefault="0071027C" w:rsidP="0071027C">
      <w:pPr>
        <w:autoSpaceDE w:val="0"/>
        <w:autoSpaceDN w:val="0"/>
        <w:adjustRightInd w:val="0"/>
        <w:spacing w:before="120" w:after="120" w:line="240" w:lineRule="auto"/>
        <w:jc w:val="both"/>
        <w:rPr>
          <w:rFonts w:ascii="Arial" w:hAnsi="Arial" w:cs="Arial"/>
        </w:rPr>
      </w:pPr>
      <w:r w:rsidRPr="00084533">
        <w:rPr>
          <w:rFonts w:ascii="Arial" w:hAnsi="Arial" w:cs="Arial"/>
        </w:rPr>
        <w:t>Linkages should be made with other care-related providing units within the facility and community-based interventions. Regular dialogue between the CTC and community support programs need to be established within the district in order to ensure a continuum of care through functional referral mechanisms. Often members of PLHIV support groups or staff from HBC programs can assist at CTC service delivery sites to enable effective referrals and follow up</w:t>
      </w:r>
    </w:p>
    <w:p w:rsidR="0071027C" w:rsidRPr="00084533" w:rsidRDefault="0071027C" w:rsidP="0071027C">
      <w:pPr>
        <w:autoSpaceDE w:val="0"/>
        <w:autoSpaceDN w:val="0"/>
        <w:adjustRightInd w:val="0"/>
        <w:spacing w:before="120" w:after="120" w:line="240" w:lineRule="auto"/>
        <w:jc w:val="both"/>
        <w:rPr>
          <w:rFonts w:ascii="Arial" w:hAnsi="Arial" w:cs="Arial"/>
        </w:rPr>
      </w:pPr>
      <w:bookmarkStart w:id="80" w:name="_Toc50312933"/>
      <w:r w:rsidRPr="00084533">
        <w:rPr>
          <w:rFonts w:ascii="Arial" w:hAnsi="Arial" w:cs="Arial"/>
        </w:rPr>
        <w:t>Dialogue can be promoted through the expanded Council Health Management Team (CHMT) or through continuum of care subcommittees. The following programmes or services should be considered when developing a continuum of care:</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PMTCT</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HTC (VCT,HBTC and PITC)</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STI</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TB Clinics</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 xml:space="preserve">Community and Home Based Care </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PLHIVs support groups</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Reproductive and Child Health and Family Planning services</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Legal and support services</w:t>
      </w:r>
    </w:p>
    <w:p w:rsidR="0071027C" w:rsidRPr="00084533" w:rsidRDefault="0071027C" w:rsidP="0071027C">
      <w:pPr>
        <w:autoSpaceDE w:val="0"/>
        <w:autoSpaceDN w:val="0"/>
        <w:adjustRightInd w:val="0"/>
        <w:spacing w:before="120" w:after="120" w:line="240" w:lineRule="auto"/>
        <w:jc w:val="both"/>
        <w:rPr>
          <w:rFonts w:ascii="Arial" w:hAnsi="Arial" w:cs="Arial"/>
        </w:rPr>
      </w:pPr>
      <w:r w:rsidRPr="00084533">
        <w:rPr>
          <w:rFonts w:ascii="Arial" w:hAnsi="Arial" w:cs="Arial"/>
        </w:rPr>
        <w:t>Heath care providers within Continuum of Care committees should develop a directory of actual comprehensive, prevention, support and care services available within the district with contact details to enable a prompt referral across the continuum of care</w:t>
      </w:r>
      <w:r w:rsidRPr="004B692F">
        <w:rPr>
          <w:rFonts w:ascii="Arial" w:hAnsi="Arial" w:cs="Arial"/>
        </w:rPr>
        <w:t xml:space="preserve">. </w:t>
      </w:r>
      <w:r w:rsidR="004B692F" w:rsidRPr="004B692F">
        <w:rPr>
          <w:rFonts w:ascii="Arial" w:hAnsi="Arial" w:cs="Arial"/>
        </w:rPr>
        <w:t>(M</w:t>
      </w:r>
      <w:r w:rsidRPr="004B692F">
        <w:rPr>
          <w:rFonts w:ascii="Arial" w:hAnsi="Arial" w:cs="Arial"/>
        </w:rPr>
        <w:t xml:space="preserve">ore detailed of comprehensive services are also found in Chapter </w:t>
      </w:r>
      <w:r w:rsidR="004B692F">
        <w:rPr>
          <w:rFonts w:ascii="Arial" w:hAnsi="Arial" w:cs="Arial"/>
        </w:rPr>
        <w:t>5</w:t>
      </w:r>
      <w:r w:rsidRPr="004B692F">
        <w:rPr>
          <w:rFonts w:ascii="Arial" w:hAnsi="Arial" w:cs="Arial"/>
        </w:rPr>
        <w:t>)</w:t>
      </w:r>
      <w:r w:rsidR="004B692F">
        <w:rPr>
          <w:rFonts w:ascii="Arial" w:hAnsi="Arial" w:cs="Arial"/>
        </w:rPr>
        <w:t xml:space="preserve">. </w:t>
      </w:r>
    </w:p>
    <w:p w:rsidR="0071027C" w:rsidRPr="00084533" w:rsidRDefault="0071027C" w:rsidP="0071027C">
      <w:pPr>
        <w:pStyle w:val="Heading2"/>
      </w:pPr>
      <w:bookmarkStart w:id="81" w:name="_Toc373762855"/>
      <w:bookmarkStart w:id="82" w:name="_Toc378258094"/>
      <w:bookmarkStart w:id="83" w:name="_Toc382213950"/>
      <w:r w:rsidRPr="00084533">
        <w:t>2.6 Process of Registering Health Facilities to Provide HIV and AIDS Care and Treatment Services.</w:t>
      </w:r>
      <w:bookmarkEnd w:id="81"/>
      <w:bookmarkEnd w:id="82"/>
      <w:bookmarkEnd w:id="83"/>
    </w:p>
    <w:p w:rsidR="0071027C" w:rsidRPr="00084533" w:rsidRDefault="0071027C" w:rsidP="0071027C">
      <w:pPr>
        <w:autoSpaceDE w:val="0"/>
        <w:autoSpaceDN w:val="0"/>
        <w:adjustRightInd w:val="0"/>
        <w:spacing w:before="120" w:after="120" w:line="240" w:lineRule="auto"/>
        <w:jc w:val="both"/>
        <w:rPr>
          <w:rFonts w:ascii="Arial" w:hAnsi="Arial" w:cs="Arial"/>
        </w:rPr>
      </w:pPr>
      <w:r w:rsidRPr="00084533">
        <w:rPr>
          <w:rFonts w:ascii="Arial" w:hAnsi="Arial" w:cs="Arial"/>
        </w:rPr>
        <w:t xml:space="preserve">In order for health facilities to qualify for the provision of HIV and AIDS Care Services to PLHIV, the National AIDS Control Programme (NACP) developed an assessment tool with a strengthening plan to be implemented stepwise as follows: </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lastRenderedPageBreak/>
        <w:t>Assessment of the availability and quality of essential elements to start and/or expand HIV and AIDS Services</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Identification of areas for strengthening and improvement to upgrade health facilities for the provision of comprehensive care to PLHIV</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Issuance of a code number  to health facilities to enable them to start or expand care and treatment once they have met a minimum set of criteria</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Code numbers will be issued to the facilities providing Long Life ART for Pregnant and Lactating Mothers (LLAPLa) for registration and reporting. Eventually same code number will be used to initiate the Care and treatment services once the facility satisfies the minimum criteria.</w:t>
      </w:r>
    </w:p>
    <w:p w:rsidR="0071027C" w:rsidRPr="00084533" w:rsidRDefault="0071027C" w:rsidP="0071027C">
      <w:pPr>
        <w:autoSpaceDE w:val="0"/>
        <w:autoSpaceDN w:val="0"/>
        <w:adjustRightInd w:val="0"/>
        <w:spacing w:before="120" w:after="120" w:line="240" w:lineRule="auto"/>
        <w:jc w:val="both"/>
        <w:rPr>
          <w:rFonts w:ascii="Arial" w:hAnsi="Arial" w:cs="Arial"/>
        </w:rPr>
      </w:pPr>
      <w:r w:rsidRPr="00084533">
        <w:rPr>
          <w:rFonts w:ascii="Arial" w:hAnsi="Arial" w:cs="Arial"/>
        </w:rPr>
        <w:t>Selection of health facilities for provision of HIV and AIDS Health Services is done by CHMT, and then communicated to the RHMT to arrange an assessment. RHMT assessment focal person and implementing partners will conduct an assessment of the Health Facility.</w:t>
      </w:r>
    </w:p>
    <w:p w:rsidR="0071027C" w:rsidRPr="00084533" w:rsidRDefault="0071027C" w:rsidP="0071027C">
      <w:pPr>
        <w:autoSpaceDE w:val="0"/>
        <w:autoSpaceDN w:val="0"/>
        <w:adjustRightInd w:val="0"/>
        <w:spacing w:before="120" w:after="120" w:line="240" w:lineRule="auto"/>
        <w:jc w:val="both"/>
        <w:rPr>
          <w:rFonts w:ascii="Arial" w:hAnsi="Arial" w:cs="Arial"/>
        </w:rPr>
      </w:pPr>
      <w:r w:rsidRPr="00084533">
        <w:rPr>
          <w:rFonts w:ascii="Arial" w:hAnsi="Arial" w:cs="Arial"/>
        </w:rPr>
        <w:t>Assessment will be followed by development of a strengthening plan for the health facility by the health care workers with support from the assessment team. If a site providing LLAPLa is to be upgraded to a fully fledged HIV CTC, then it should be assessed according to the prescribed assessment procedures.</w:t>
      </w:r>
    </w:p>
    <w:p w:rsidR="0071027C" w:rsidRPr="00084533" w:rsidRDefault="0071027C" w:rsidP="0071027C">
      <w:pPr>
        <w:autoSpaceDE w:val="0"/>
        <w:autoSpaceDN w:val="0"/>
        <w:adjustRightInd w:val="0"/>
        <w:spacing w:before="120" w:after="120" w:line="240" w:lineRule="auto"/>
        <w:jc w:val="both"/>
        <w:rPr>
          <w:rFonts w:ascii="Arial" w:hAnsi="Arial" w:cs="Arial"/>
        </w:rPr>
      </w:pPr>
      <w:r w:rsidRPr="00084533">
        <w:rPr>
          <w:rFonts w:ascii="Arial" w:hAnsi="Arial" w:cs="Arial"/>
        </w:rPr>
        <w:t xml:space="preserve">Assessed facilities can be categorized into;  </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A Care and Treatment initiating site</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An ART refilling site</w:t>
      </w:r>
    </w:p>
    <w:p w:rsidR="0071027C" w:rsidRPr="00084533" w:rsidRDefault="0071027C" w:rsidP="00274941">
      <w:pPr>
        <w:pStyle w:val="ListParagraph"/>
        <w:numPr>
          <w:ilvl w:val="0"/>
          <w:numId w:val="2"/>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 xml:space="preserve">Site providing Long Life ART for Pregnant and Lactating Mother (LLAPLa) </w:t>
      </w:r>
    </w:p>
    <w:p w:rsidR="0071027C" w:rsidRDefault="0071027C" w:rsidP="00AA771C">
      <w:pPr>
        <w:autoSpaceDE w:val="0"/>
        <w:autoSpaceDN w:val="0"/>
        <w:adjustRightInd w:val="0"/>
        <w:spacing w:beforeLines="120" w:before="288" w:afterLines="120" w:after="288" w:line="312" w:lineRule="auto"/>
        <w:jc w:val="both"/>
        <w:rPr>
          <w:rFonts w:ascii="Arial Narrow" w:hAnsi="Arial Narrow"/>
          <w:b/>
          <w:sz w:val="24"/>
          <w:szCs w:val="24"/>
        </w:rPr>
        <w:sectPr w:rsidR="0071027C" w:rsidSect="0027452F">
          <w:pgSz w:w="12240" w:h="15840"/>
          <w:pgMar w:top="1440" w:right="1440" w:bottom="1440" w:left="1440" w:header="720" w:footer="720" w:gutter="0"/>
          <w:cols w:space="720"/>
          <w:docGrid w:linePitch="360"/>
        </w:sectPr>
      </w:pPr>
    </w:p>
    <w:p w:rsidR="0071027C" w:rsidRPr="00C203F3" w:rsidRDefault="0071027C" w:rsidP="00AA771C">
      <w:pPr>
        <w:autoSpaceDE w:val="0"/>
        <w:autoSpaceDN w:val="0"/>
        <w:adjustRightInd w:val="0"/>
        <w:spacing w:beforeLines="120" w:before="288" w:afterLines="120" w:after="288" w:line="312" w:lineRule="auto"/>
        <w:jc w:val="both"/>
        <w:rPr>
          <w:rFonts w:ascii="Arial Narrow" w:hAnsi="Arial Narrow"/>
          <w:b/>
          <w:sz w:val="24"/>
          <w:szCs w:val="24"/>
        </w:rPr>
      </w:pPr>
      <w:r w:rsidRPr="00C203F3">
        <w:rPr>
          <w:rFonts w:ascii="Arial Narrow" w:hAnsi="Arial Narrow"/>
          <w:b/>
          <w:sz w:val="24"/>
          <w:szCs w:val="24"/>
        </w:rPr>
        <w:lastRenderedPageBreak/>
        <w:t xml:space="preserve">Figure 2.1: Preparing facilities for Care and Treatment Services </w:t>
      </w:r>
    </w:p>
    <w:p w:rsidR="0071027C" w:rsidRPr="00C203F3" w:rsidRDefault="0071027C" w:rsidP="00AA771C">
      <w:pPr>
        <w:autoSpaceDE w:val="0"/>
        <w:autoSpaceDN w:val="0"/>
        <w:adjustRightInd w:val="0"/>
        <w:spacing w:beforeLines="120" w:before="288" w:afterLines="120" w:after="288" w:line="312" w:lineRule="auto"/>
        <w:jc w:val="both"/>
        <w:rPr>
          <w:rFonts w:ascii="Arial Narrow" w:hAnsi="Arial Narrow"/>
          <w:sz w:val="24"/>
          <w:szCs w:val="24"/>
        </w:rPr>
      </w:pPr>
    </w:p>
    <w:p w:rsidR="0071027C" w:rsidRPr="00C203F3" w:rsidRDefault="0071027C" w:rsidP="00AA771C">
      <w:pPr>
        <w:autoSpaceDE w:val="0"/>
        <w:autoSpaceDN w:val="0"/>
        <w:adjustRightInd w:val="0"/>
        <w:spacing w:beforeLines="120" w:before="288" w:afterLines="120" w:after="288" w:line="312" w:lineRule="auto"/>
        <w:jc w:val="both"/>
        <w:rPr>
          <w:rFonts w:ascii="Arial Narrow" w:hAnsi="Arial Narrow"/>
          <w:sz w:val="24"/>
          <w:szCs w:val="24"/>
        </w:rPr>
      </w:pPr>
    </w:p>
    <w:p w:rsidR="0071027C" w:rsidRPr="00C203F3" w:rsidRDefault="0071027C" w:rsidP="00AA771C">
      <w:pPr>
        <w:autoSpaceDE w:val="0"/>
        <w:autoSpaceDN w:val="0"/>
        <w:adjustRightInd w:val="0"/>
        <w:spacing w:beforeLines="120" w:before="288" w:afterLines="120" w:after="288" w:line="312" w:lineRule="auto"/>
        <w:jc w:val="both"/>
        <w:rPr>
          <w:rFonts w:ascii="Arial Narrow" w:hAnsi="Arial Narrow"/>
          <w:sz w:val="24"/>
          <w:szCs w:val="24"/>
        </w:rPr>
      </w:pPr>
    </w:p>
    <w:p w:rsidR="0071027C" w:rsidRPr="00C203F3" w:rsidRDefault="00AA771C" w:rsidP="00AA771C">
      <w:pPr>
        <w:autoSpaceDE w:val="0"/>
        <w:autoSpaceDN w:val="0"/>
        <w:adjustRightInd w:val="0"/>
        <w:spacing w:beforeLines="120" w:before="288" w:afterLines="120" w:after="288" w:line="312" w:lineRule="auto"/>
        <w:jc w:val="both"/>
        <w:rPr>
          <w:rFonts w:ascii="Arial Narrow" w:hAnsi="Arial Narrow"/>
          <w:sz w:val="24"/>
          <w:szCs w:val="24"/>
        </w:rPr>
      </w:pPr>
      <w:r>
        <w:rPr>
          <w:rFonts w:ascii="Arial Narrow" w:hAnsi="Arial Narrow"/>
          <w:noProof/>
          <w:sz w:val="24"/>
          <w:szCs w:val="24"/>
        </w:rPr>
        <mc:AlternateContent>
          <mc:Choice Requires="wpg">
            <w:drawing>
              <wp:inline distT="0" distB="0" distL="0" distR="0">
                <wp:extent cx="6666230" cy="4857115"/>
                <wp:effectExtent l="19050" t="19050" r="20320" b="19685"/>
                <wp:docPr id="8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6230" cy="4857115"/>
                          <a:chOff x="8382" y="6858"/>
                          <a:chExt cx="71837" cy="44631"/>
                        </a:xfrm>
                      </wpg:grpSpPr>
                      <wps:wsp>
                        <wps:cNvPr id="818" name="Diamond 572"/>
                        <wps:cNvSpPr>
                          <a:spLocks noChangeArrowheads="1"/>
                        </wps:cNvSpPr>
                        <wps:spPr bwMode="auto">
                          <a:xfrm>
                            <a:off x="14478" y="15226"/>
                            <a:ext cx="38862" cy="11444"/>
                          </a:xfrm>
                          <a:prstGeom prst="diamond">
                            <a:avLst/>
                          </a:prstGeom>
                          <a:solidFill>
                            <a:srgbClr val="4F81BD"/>
                          </a:solidFill>
                          <a:ln w="25400">
                            <a:solidFill>
                              <a:srgbClr val="243F60"/>
                            </a:solidFill>
                            <a:miter lim="800000"/>
                            <a:headEnd/>
                            <a:tailEnd/>
                          </a:ln>
                        </wps:spPr>
                        <wps:txbx>
                          <w:txbxContent>
                            <w:p w:rsidR="00B247C9" w:rsidRDefault="00B247C9" w:rsidP="0071027C">
                              <w:pPr>
                                <w:pStyle w:val="NormalWeb"/>
                                <w:spacing w:before="0" w:beforeAutospacing="0" w:after="0" w:afterAutospacing="0"/>
                                <w:jc w:val="center"/>
                              </w:pPr>
                              <w:r w:rsidRPr="00EF02C0">
                                <w:rPr>
                                  <w:rFonts w:ascii="Calibri" w:hAnsi="Calibri"/>
                                  <w:color w:val="FFFFFF"/>
                                  <w:kern w:val="24"/>
                                  <w:sz w:val="36"/>
                                  <w:szCs w:val="36"/>
                                </w:rPr>
                                <w:t xml:space="preserve">Does facility </w:t>
                              </w:r>
                            </w:p>
                            <w:p w:rsidR="00B247C9" w:rsidRDefault="00B247C9" w:rsidP="0071027C">
                              <w:pPr>
                                <w:pStyle w:val="NormalWeb"/>
                                <w:spacing w:before="0" w:beforeAutospacing="0" w:after="0" w:afterAutospacing="0"/>
                                <w:jc w:val="center"/>
                              </w:pPr>
                              <w:r w:rsidRPr="00EF02C0">
                                <w:rPr>
                                  <w:rFonts w:ascii="Calibri" w:hAnsi="Calibri"/>
                                  <w:color w:val="FFFFFF"/>
                                  <w:kern w:val="24"/>
                                  <w:sz w:val="36"/>
                                  <w:szCs w:val="36"/>
                                </w:rPr>
                                <w:t>Meet Minimum criteria?</w:t>
                              </w:r>
                            </w:p>
                          </w:txbxContent>
                        </wps:txbx>
                        <wps:bodyPr rot="0" vert="horz" wrap="square" lIns="91440" tIns="45720" rIns="91440" bIns="45720" anchor="ctr" anchorCtr="0" upright="1">
                          <a:noAutofit/>
                        </wps:bodyPr>
                      </wps:wsp>
                      <wps:wsp>
                        <wps:cNvPr id="819" name="Rectangle 573"/>
                        <wps:cNvSpPr>
                          <a:spLocks noChangeArrowheads="1"/>
                        </wps:cNvSpPr>
                        <wps:spPr bwMode="auto">
                          <a:xfrm>
                            <a:off x="21336" y="6858"/>
                            <a:ext cx="23622" cy="3810"/>
                          </a:xfrm>
                          <a:prstGeom prst="rect">
                            <a:avLst/>
                          </a:prstGeom>
                          <a:solidFill>
                            <a:srgbClr val="4F81BD"/>
                          </a:solidFill>
                          <a:ln w="25400">
                            <a:solidFill>
                              <a:srgbClr val="243F60"/>
                            </a:solidFill>
                            <a:miter lim="800000"/>
                            <a:headEnd/>
                            <a:tailEnd/>
                          </a:ln>
                        </wps:spPr>
                        <wps:txbx>
                          <w:txbxContent>
                            <w:p w:rsidR="00B247C9" w:rsidRDefault="00B247C9" w:rsidP="0071027C">
                              <w:pPr>
                                <w:pStyle w:val="NormalWeb"/>
                                <w:spacing w:before="0" w:beforeAutospacing="0" w:after="0" w:afterAutospacing="0"/>
                                <w:jc w:val="center"/>
                              </w:pPr>
                              <w:r w:rsidRPr="00EF02C0">
                                <w:rPr>
                                  <w:rFonts w:ascii="Calibri" w:hAnsi="Calibri"/>
                                  <w:b/>
                                  <w:bCs/>
                                  <w:color w:val="FFFFFF"/>
                                  <w:kern w:val="24"/>
                                  <w:sz w:val="36"/>
                                  <w:szCs w:val="36"/>
                                </w:rPr>
                                <w:t>Assessment visit</w:t>
                              </w:r>
                            </w:p>
                          </w:txbxContent>
                        </wps:txbx>
                        <wps:bodyPr rot="0" vert="horz" wrap="square" lIns="91440" tIns="45720" rIns="91440" bIns="45720" anchor="ctr" anchorCtr="0" upright="1">
                          <a:noAutofit/>
                        </wps:bodyPr>
                      </wps:wsp>
                      <wps:wsp>
                        <wps:cNvPr id="820" name="Rectangle 589"/>
                        <wps:cNvSpPr>
                          <a:spLocks noChangeArrowheads="1"/>
                        </wps:cNvSpPr>
                        <wps:spPr bwMode="auto">
                          <a:xfrm>
                            <a:off x="53340" y="16002"/>
                            <a:ext cx="6096" cy="3810"/>
                          </a:xfrm>
                          <a:prstGeom prst="rect">
                            <a:avLst/>
                          </a:prstGeom>
                          <a:solidFill>
                            <a:srgbClr val="C0504D"/>
                          </a:solidFill>
                          <a:ln w="25400">
                            <a:solidFill>
                              <a:srgbClr val="243F60"/>
                            </a:solidFill>
                            <a:miter lim="800000"/>
                            <a:headEnd/>
                            <a:tailEnd/>
                          </a:ln>
                        </wps:spPr>
                        <wps:txbx>
                          <w:txbxContent>
                            <w:p w:rsidR="00B247C9" w:rsidRDefault="00B247C9" w:rsidP="0071027C">
                              <w:pPr>
                                <w:pStyle w:val="NormalWeb"/>
                                <w:spacing w:before="0" w:beforeAutospacing="0" w:after="0" w:afterAutospacing="0"/>
                                <w:jc w:val="center"/>
                              </w:pPr>
                              <w:r w:rsidRPr="00EF02C0">
                                <w:rPr>
                                  <w:rFonts w:ascii="Calibri" w:hAnsi="Calibri"/>
                                  <w:color w:val="FFFFFF"/>
                                  <w:kern w:val="24"/>
                                  <w:sz w:val="36"/>
                                  <w:szCs w:val="36"/>
                                </w:rPr>
                                <w:t>YES</w:t>
                              </w:r>
                            </w:p>
                          </w:txbxContent>
                        </wps:txbx>
                        <wps:bodyPr rot="0" vert="horz" wrap="square" lIns="91440" tIns="45720" rIns="91440" bIns="45720" anchor="ctr" anchorCtr="0" upright="1">
                          <a:noAutofit/>
                        </wps:bodyPr>
                      </wps:wsp>
                      <wps:wsp>
                        <wps:cNvPr id="821" name="Rectangle 590"/>
                        <wps:cNvSpPr>
                          <a:spLocks noChangeArrowheads="1"/>
                        </wps:cNvSpPr>
                        <wps:spPr bwMode="auto">
                          <a:xfrm>
                            <a:off x="24384" y="33147"/>
                            <a:ext cx="17526" cy="6726"/>
                          </a:xfrm>
                          <a:prstGeom prst="rect">
                            <a:avLst/>
                          </a:prstGeom>
                          <a:solidFill>
                            <a:srgbClr val="4F81BD"/>
                          </a:solidFill>
                          <a:ln w="25400">
                            <a:solidFill>
                              <a:srgbClr val="243F60"/>
                            </a:solidFill>
                            <a:miter lim="800000"/>
                            <a:headEnd/>
                            <a:tailEnd/>
                          </a:ln>
                        </wps:spPr>
                        <wps:txbx>
                          <w:txbxContent>
                            <w:p w:rsidR="00B247C9" w:rsidRDefault="00B247C9" w:rsidP="0071027C">
                              <w:pPr>
                                <w:pStyle w:val="NormalWeb"/>
                                <w:spacing w:before="0" w:beforeAutospacing="0" w:after="0" w:afterAutospacing="0"/>
                                <w:jc w:val="center"/>
                              </w:pPr>
                              <w:r w:rsidRPr="00EF02C0">
                                <w:rPr>
                                  <w:rFonts w:ascii="Calibri" w:hAnsi="Calibri"/>
                                  <w:color w:val="FFFFFF"/>
                                  <w:kern w:val="24"/>
                                  <w:sz w:val="36"/>
                                  <w:szCs w:val="36"/>
                                </w:rPr>
                                <w:t xml:space="preserve">Strengthening </w:t>
                              </w:r>
                            </w:p>
                            <w:p w:rsidR="00B247C9" w:rsidRDefault="00B247C9" w:rsidP="0071027C">
                              <w:pPr>
                                <w:pStyle w:val="NormalWeb"/>
                                <w:spacing w:before="0" w:beforeAutospacing="0" w:after="0" w:afterAutospacing="0"/>
                                <w:jc w:val="center"/>
                              </w:pPr>
                              <w:r w:rsidRPr="00EF02C0">
                                <w:rPr>
                                  <w:rFonts w:ascii="Calibri" w:hAnsi="Calibri"/>
                                  <w:color w:val="FFFFFF"/>
                                  <w:kern w:val="24"/>
                                  <w:sz w:val="36"/>
                                  <w:szCs w:val="36"/>
                                </w:rPr>
                                <w:t>Plan</w:t>
                              </w:r>
                            </w:p>
                          </w:txbxContent>
                        </wps:txbx>
                        <wps:bodyPr rot="0" vert="horz" wrap="square" lIns="91440" tIns="45720" rIns="91440" bIns="45720" anchor="ctr" anchorCtr="0" upright="1">
                          <a:noAutofit/>
                        </wps:bodyPr>
                      </wps:wsp>
                      <wps:wsp>
                        <wps:cNvPr id="822" name="Rectangle 591"/>
                        <wps:cNvSpPr>
                          <a:spLocks noChangeArrowheads="1"/>
                        </wps:cNvSpPr>
                        <wps:spPr bwMode="auto">
                          <a:xfrm>
                            <a:off x="24492" y="46917"/>
                            <a:ext cx="17526" cy="4572"/>
                          </a:xfrm>
                          <a:prstGeom prst="rect">
                            <a:avLst/>
                          </a:prstGeom>
                          <a:solidFill>
                            <a:srgbClr val="4F81BD"/>
                          </a:solidFill>
                          <a:ln w="25400">
                            <a:solidFill>
                              <a:srgbClr val="243F60"/>
                            </a:solidFill>
                            <a:miter lim="800000"/>
                            <a:headEnd/>
                            <a:tailEnd/>
                          </a:ln>
                        </wps:spPr>
                        <wps:txbx>
                          <w:txbxContent>
                            <w:p w:rsidR="00B247C9" w:rsidRDefault="00B247C9" w:rsidP="0071027C">
                              <w:pPr>
                                <w:pStyle w:val="NormalWeb"/>
                                <w:spacing w:before="0" w:beforeAutospacing="0" w:after="0" w:afterAutospacing="0"/>
                                <w:jc w:val="center"/>
                              </w:pPr>
                              <w:r w:rsidRPr="00EF02C0">
                                <w:rPr>
                                  <w:rFonts w:ascii="Calibri" w:hAnsi="Calibri"/>
                                  <w:color w:val="FFFFFF"/>
                                  <w:kern w:val="24"/>
                                  <w:sz w:val="36"/>
                                  <w:szCs w:val="36"/>
                                </w:rPr>
                                <w:t xml:space="preserve">Re-assessment </w:t>
                              </w:r>
                            </w:p>
                          </w:txbxContent>
                        </wps:txbx>
                        <wps:bodyPr rot="0" vert="horz" wrap="square" lIns="91440" tIns="45720" rIns="91440" bIns="45720" anchor="ctr" anchorCtr="0" upright="1">
                          <a:noAutofit/>
                        </wps:bodyPr>
                      </wps:wsp>
                      <wps:wsp>
                        <wps:cNvPr id="823" name="Rectangle 592"/>
                        <wps:cNvSpPr>
                          <a:spLocks noChangeArrowheads="1"/>
                        </wps:cNvSpPr>
                        <wps:spPr bwMode="auto">
                          <a:xfrm>
                            <a:off x="62693" y="18015"/>
                            <a:ext cx="17526" cy="6096"/>
                          </a:xfrm>
                          <a:prstGeom prst="rect">
                            <a:avLst/>
                          </a:prstGeom>
                          <a:solidFill>
                            <a:srgbClr val="4F81BD"/>
                          </a:solidFill>
                          <a:ln w="25400">
                            <a:solidFill>
                              <a:srgbClr val="243F60"/>
                            </a:solidFill>
                            <a:miter lim="800000"/>
                            <a:headEnd/>
                            <a:tailEnd/>
                          </a:ln>
                        </wps:spPr>
                        <wps:txbx>
                          <w:txbxContent>
                            <w:p w:rsidR="00B247C9" w:rsidRDefault="00B247C9" w:rsidP="0071027C">
                              <w:pPr>
                                <w:pStyle w:val="NormalWeb"/>
                                <w:spacing w:before="0" w:beforeAutospacing="0" w:after="0" w:afterAutospacing="0"/>
                                <w:jc w:val="center"/>
                              </w:pPr>
                              <w:r w:rsidRPr="00EF02C0">
                                <w:rPr>
                                  <w:rFonts w:ascii="Calibri" w:hAnsi="Calibri"/>
                                  <w:color w:val="FFFFFF"/>
                                  <w:kern w:val="24"/>
                                  <w:sz w:val="36"/>
                                  <w:szCs w:val="36"/>
                                </w:rPr>
                                <w:t>Issue code number</w:t>
                              </w:r>
                            </w:p>
                          </w:txbxContent>
                        </wps:txbx>
                        <wps:bodyPr rot="0" vert="horz" wrap="square" lIns="91440" tIns="45720" rIns="91440" bIns="45720" anchor="ctr" anchorCtr="0" upright="1">
                          <a:noAutofit/>
                        </wps:bodyPr>
                      </wps:wsp>
                      <wps:wsp>
                        <wps:cNvPr id="824" name="Rectangle 593"/>
                        <wps:cNvSpPr>
                          <a:spLocks noChangeArrowheads="1"/>
                        </wps:cNvSpPr>
                        <wps:spPr bwMode="auto">
                          <a:xfrm>
                            <a:off x="25254" y="26778"/>
                            <a:ext cx="6096" cy="3810"/>
                          </a:xfrm>
                          <a:prstGeom prst="rect">
                            <a:avLst/>
                          </a:prstGeom>
                          <a:solidFill>
                            <a:srgbClr val="C0504D"/>
                          </a:solidFill>
                          <a:ln w="25400">
                            <a:solidFill>
                              <a:srgbClr val="243F60"/>
                            </a:solidFill>
                            <a:miter lim="800000"/>
                            <a:headEnd/>
                            <a:tailEnd/>
                          </a:ln>
                        </wps:spPr>
                        <wps:txbx>
                          <w:txbxContent>
                            <w:p w:rsidR="00B247C9" w:rsidRDefault="00B247C9" w:rsidP="0071027C">
                              <w:pPr>
                                <w:pStyle w:val="NormalWeb"/>
                                <w:spacing w:before="0" w:beforeAutospacing="0" w:after="0" w:afterAutospacing="0"/>
                                <w:jc w:val="center"/>
                              </w:pPr>
                              <w:r w:rsidRPr="00EF02C0">
                                <w:rPr>
                                  <w:rFonts w:ascii="Calibri" w:hAnsi="Calibri"/>
                                  <w:b/>
                                  <w:bCs/>
                                  <w:color w:val="FFFFFF"/>
                                  <w:kern w:val="24"/>
                                  <w:sz w:val="36"/>
                                  <w:szCs w:val="36"/>
                                </w:rPr>
                                <w:t>NO</w:t>
                              </w:r>
                            </w:p>
                          </w:txbxContent>
                        </wps:txbx>
                        <wps:bodyPr rot="0" vert="horz" wrap="square" lIns="91440" tIns="45720" rIns="91440" bIns="45720" anchor="ctr" anchorCtr="0" upright="1">
                          <a:noAutofit/>
                        </wps:bodyPr>
                      </wps:wsp>
                      <wps:wsp>
                        <wps:cNvPr id="825" name="Rectangle 594"/>
                        <wps:cNvSpPr>
                          <a:spLocks noChangeArrowheads="1"/>
                        </wps:cNvSpPr>
                        <wps:spPr bwMode="auto">
                          <a:xfrm>
                            <a:off x="57970" y="43818"/>
                            <a:ext cx="15240" cy="3048"/>
                          </a:xfrm>
                          <a:prstGeom prst="rect">
                            <a:avLst/>
                          </a:prstGeom>
                          <a:solidFill>
                            <a:srgbClr val="4F81BD"/>
                          </a:solidFill>
                          <a:ln w="25400">
                            <a:solidFill>
                              <a:srgbClr val="243F60"/>
                            </a:solidFill>
                            <a:miter lim="800000"/>
                            <a:headEnd/>
                            <a:tailEnd/>
                          </a:ln>
                        </wps:spPr>
                        <wps:txbx>
                          <w:txbxContent>
                            <w:p w:rsidR="00B247C9" w:rsidRDefault="00B247C9" w:rsidP="0071027C">
                              <w:pPr>
                                <w:pStyle w:val="NormalWeb"/>
                                <w:spacing w:before="0" w:beforeAutospacing="0" w:after="0" w:afterAutospacing="0"/>
                                <w:jc w:val="center"/>
                              </w:pPr>
                              <w:r w:rsidRPr="00EF02C0">
                                <w:rPr>
                                  <w:rFonts w:ascii="Calibri" w:hAnsi="Calibri"/>
                                  <w:color w:val="FFFFFF"/>
                                  <w:kern w:val="24"/>
                                  <w:sz w:val="36"/>
                                  <w:szCs w:val="36"/>
                                </w:rPr>
                                <w:t>After 1 year</w:t>
                              </w:r>
                            </w:p>
                          </w:txbxContent>
                        </wps:txbx>
                        <wps:bodyPr rot="0" vert="horz" wrap="square" lIns="91440" tIns="45720" rIns="91440" bIns="45720" anchor="ctr" anchorCtr="0" upright="1">
                          <a:noAutofit/>
                        </wps:bodyPr>
                      </wps:wsp>
                      <wps:wsp>
                        <wps:cNvPr id="826" name="Straight Arrow Connector 595"/>
                        <wps:cNvCnPr>
                          <a:cxnSpLocks noChangeShapeType="1"/>
                        </wps:cNvCnPr>
                        <wps:spPr bwMode="auto">
                          <a:xfrm rot="16200000" flipH="1">
                            <a:off x="32043" y="12913"/>
                            <a:ext cx="4559" cy="67"/>
                          </a:xfrm>
                          <a:prstGeom prst="straightConnector1">
                            <a:avLst/>
                          </a:prstGeom>
                          <a:noFill/>
                          <a:ln w="2540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827" name="Straight Arrow Connector 596"/>
                        <wps:cNvCnPr>
                          <a:cxnSpLocks noChangeShapeType="1"/>
                        </wps:cNvCnPr>
                        <wps:spPr bwMode="auto">
                          <a:xfrm rot="5400000">
                            <a:off x="30529" y="29899"/>
                            <a:ext cx="6469" cy="389"/>
                          </a:xfrm>
                          <a:prstGeom prst="straightConnector1">
                            <a:avLst/>
                          </a:prstGeom>
                          <a:noFill/>
                          <a:ln w="2540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828" name="Straight Arrow Connector 597"/>
                        <wps:cNvCnPr>
                          <a:cxnSpLocks noChangeShapeType="1"/>
                        </wps:cNvCnPr>
                        <wps:spPr bwMode="auto">
                          <a:xfrm rot="16200000" flipH="1">
                            <a:off x="30152" y="43292"/>
                            <a:ext cx="6827" cy="163"/>
                          </a:xfrm>
                          <a:prstGeom prst="straightConnector1">
                            <a:avLst/>
                          </a:prstGeom>
                          <a:noFill/>
                          <a:ln w="2540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829" name="Straight Arrow Connector 598"/>
                        <wps:cNvCnPr>
                          <a:cxnSpLocks noChangeShapeType="1"/>
                        </wps:cNvCnPr>
                        <wps:spPr bwMode="auto">
                          <a:xfrm>
                            <a:off x="53340" y="20948"/>
                            <a:ext cx="9353" cy="115"/>
                          </a:xfrm>
                          <a:prstGeom prst="straightConnector1">
                            <a:avLst/>
                          </a:prstGeom>
                          <a:noFill/>
                          <a:ln w="2540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830" name="Straight Arrow Connector 599"/>
                        <wps:cNvCnPr>
                          <a:cxnSpLocks noChangeShapeType="1"/>
                        </wps:cNvCnPr>
                        <wps:spPr bwMode="auto">
                          <a:xfrm rot="10800000">
                            <a:off x="42018" y="49203"/>
                            <a:ext cx="31787" cy="109"/>
                          </a:xfrm>
                          <a:prstGeom prst="straightConnector1">
                            <a:avLst/>
                          </a:prstGeom>
                          <a:noFill/>
                          <a:ln w="2540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831" name="Straight Connector 600"/>
                        <wps:cNvCnPr/>
                        <wps:spPr bwMode="auto">
                          <a:xfrm rot="16200000" flipH="1">
                            <a:off x="61304" y="36701"/>
                            <a:ext cx="25020" cy="201"/>
                          </a:xfrm>
                          <a:prstGeom prst="line">
                            <a:avLst/>
                          </a:prstGeom>
                          <a:noFill/>
                          <a:ln w="25400">
                            <a:solidFill>
                              <a:srgbClr val="4579B8"/>
                            </a:solidFill>
                            <a:round/>
                            <a:headEnd/>
                            <a:tailEnd/>
                          </a:ln>
                          <a:extLst>
                            <a:ext uri="{909E8E84-426E-40DD-AFC4-6F175D3DCCD1}">
                              <a14:hiddenFill xmlns:a14="http://schemas.microsoft.com/office/drawing/2010/main">
                                <a:noFill/>
                              </a14:hiddenFill>
                            </a:ext>
                          </a:extLst>
                        </wps:spPr>
                        <wps:bodyPr/>
                      </wps:wsp>
                      <wps:wsp>
                        <wps:cNvPr id="9280" name="Straight Connector 601"/>
                        <wps:cNvCnPr/>
                        <wps:spPr bwMode="auto">
                          <a:xfrm rot="10800000" flipV="1">
                            <a:off x="8382" y="49203"/>
                            <a:ext cx="16110" cy="194"/>
                          </a:xfrm>
                          <a:prstGeom prst="line">
                            <a:avLst/>
                          </a:prstGeom>
                          <a:noFill/>
                          <a:ln w="25400">
                            <a:solidFill>
                              <a:srgbClr val="4579B8"/>
                            </a:solidFill>
                            <a:round/>
                            <a:headEnd/>
                            <a:tailEnd/>
                          </a:ln>
                          <a:extLst>
                            <a:ext uri="{909E8E84-426E-40DD-AFC4-6F175D3DCCD1}">
                              <a14:hiddenFill xmlns:a14="http://schemas.microsoft.com/office/drawing/2010/main">
                                <a:noFill/>
                              </a14:hiddenFill>
                            </a:ext>
                          </a:extLst>
                        </wps:spPr>
                        <wps:bodyPr/>
                      </wps:wsp>
                      <wps:wsp>
                        <wps:cNvPr id="9281" name="Straight Connector 602"/>
                        <wps:cNvCnPr/>
                        <wps:spPr bwMode="auto">
                          <a:xfrm rot="5400000">
                            <a:off x="-5206" y="34791"/>
                            <a:ext cx="27963" cy="787"/>
                          </a:xfrm>
                          <a:prstGeom prst="line">
                            <a:avLst/>
                          </a:prstGeom>
                          <a:noFill/>
                          <a:ln w="25400">
                            <a:solidFill>
                              <a:srgbClr val="4579B8"/>
                            </a:solidFill>
                            <a:round/>
                            <a:headEnd/>
                            <a:tailEnd/>
                          </a:ln>
                          <a:extLst>
                            <a:ext uri="{909E8E84-426E-40DD-AFC4-6F175D3DCCD1}">
                              <a14:hiddenFill xmlns:a14="http://schemas.microsoft.com/office/drawing/2010/main">
                                <a:noFill/>
                              </a14:hiddenFill>
                            </a:ext>
                          </a:extLst>
                        </wps:spPr>
                        <wps:bodyPr/>
                      </wps:wsp>
                      <wps:wsp>
                        <wps:cNvPr id="9282" name="Straight Arrow Connector 603"/>
                        <wps:cNvCnPr>
                          <a:cxnSpLocks noChangeShapeType="1"/>
                        </wps:cNvCnPr>
                        <wps:spPr bwMode="auto">
                          <a:xfrm flipV="1">
                            <a:off x="9169" y="21047"/>
                            <a:ext cx="5309" cy="455"/>
                          </a:xfrm>
                          <a:prstGeom prst="straightConnector1">
                            <a:avLst/>
                          </a:prstGeom>
                          <a:noFill/>
                          <a:ln w="25400">
                            <a:solidFill>
                              <a:srgbClr val="4579B8"/>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51" o:spid="_x0000_s1026" style="width:524.9pt;height:382.45pt;mso-position-horizontal-relative:char;mso-position-vertical-relative:line" coordorigin="8382,6858" coordsize="71837,44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">
                <v:shapetype id="_x0000_t4" coordsize="21600,21600" o:spt="4" path="m10800,l,10800,10800,21600,21600,10800xe">
                  <v:stroke joinstyle="miter"/>
                  <v:path gradientshapeok="t" o:connecttype="rect" textboxrect="5400,5400,16200,16200"/>
                </v:shapetype>
                <v:shape id="Diamond 572" o:spid="_x0000_s1027" type="#_x0000_t4" style="position:absolute;left:14478;top:15226;width:38862;height:11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Ci8AA&#10;AADcAAAADwAAAGRycy9kb3ducmV2LnhtbERPy4rCMBTdD8w/hDswuzGtMCIdo4igiBvxtb82d9po&#10;c1OSqNWvNwvB5eG8R5PONuJKPhjHCvJeBoK4dNpwpWC/m/8MQYSIrLFxTAruFGAy/vwYYaHdjTd0&#10;3cZKpBAOBSqoY2wLKUNZk8XQcy1x4v6dtxgT9JXUHm8p3Dayn2UDadFwaqixpVlN5Xl7sQr8Zr04&#10;naamO/7mD81uNTvEs1Hq+6ub/oGI1MW3+OVeagXDPK1NZ9IRkO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dCi8AAAADcAAAADwAAAAAAAAAAAAAAAACYAgAAZHJzL2Rvd25y&#10;ZXYueG1sUEsFBgAAAAAEAAQA9QAAAIUDAAAAAA==&#10;" fillcolor="#4f81bd" strokecolor="#243f60" strokeweight="2pt">
                  <v:textbox>
                    <w:txbxContent>
                      <w:p w:rsidR="00B247C9" w:rsidRDefault="00B247C9" w:rsidP="0071027C">
                        <w:pPr>
                          <w:pStyle w:val="NormalWeb"/>
                          <w:spacing w:before="0" w:beforeAutospacing="0" w:after="0" w:afterAutospacing="0"/>
                          <w:jc w:val="center"/>
                        </w:pPr>
                        <w:r w:rsidRPr="00EF02C0">
                          <w:rPr>
                            <w:rFonts w:ascii="Calibri" w:hAnsi="Calibri"/>
                            <w:color w:val="FFFFFF"/>
                            <w:kern w:val="24"/>
                            <w:sz w:val="36"/>
                            <w:szCs w:val="36"/>
                          </w:rPr>
                          <w:t xml:space="preserve">Does facility </w:t>
                        </w:r>
                      </w:p>
                      <w:p w:rsidR="00B247C9" w:rsidRDefault="00B247C9" w:rsidP="0071027C">
                        <w:pPr>
                          <w:pStyle w:val="NormalWeb"/>
                          <w:spacing w:before="0" w:beforeAutospacing="0" w:after="0" w:afterAutospacing="0"/>
                          <w:jc w:val="center"/>
                        </w:pPr>
                        <w:r w:rsidRPr="00EF02C0">
                          <w:rPr>
                            <w:rFonts w:ascii="Calibri" w:hAnsi="Calibri"/>
                            <w:color w:val="FFFFFF"/>
                            <w:kern w:val="24"/>
                            <w:sz w:val="36"/>
                            <w:szCs w:val="36"/>
                          </w:rPr>
                          <w:t>Meet Minimum criteria?</w:t>
                        </w:r>
                      </w:p>
                    </w:txbxContent>
                  </v:textbox>
                </v:shape>
                <v:rect id="Rectangle 573" o:spid="_x0000_s1028" style="position:absolute;left:21336;top:6858;width:2362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8QA&#10;AADcAAAADwAAAGRycy9kb3ducmV2LnhtbESPQYvCMBSE7wv+h/AEL8ua1oNo1ygquyDopdUf8Gie&#10;bbF5KUnUur9+Iwgeh5n5hlmsetOKGznfWFaQjhMQxKXVDVcKTsffrxkIH5A1tpZJwYM8rJaDjwVm&#10;2t45p1sRKhEh7DNUUIfQZVL6siaDfmw74uidrTMYonSV1A7vEW5aOUmSqTTYcFyosaNtTeWluBoF&#10;Pt1s/V8e0p/DdTc95A/3WXR7pUbDfv0NIlAf3uFXe6cVzNI5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fPvEAAAA3AAAAA8AAAAAAAAAAAAAAAAAmAIAAGRycy9k&#10;b3ducmV2LnhtbFBLBQYAAAAABAAEAPUAAACJAwAAAAA=&#10;" fillcolor="#4f81bd" strokecolor="#243f60" strokeweight="2pt">
                  <v:textbox>
                    <w:txbxContent>
                      <w:p w:rsidR="00B247C9" w:rsidRDefault="00B247C9" w:rsidP="0071027C">
                        <w:pPr>
                          <w:pStyle w:val="NormalWeb"/>
                          <w:spacing w:before="0" w:beforeAutospacing="0" w:after="0" w:afterAutospacing="0"/>
                          <w:jc w:val="center"/>
                        </w:pPr>
                        <w:r w:rsidRPr="00EF02C0">
                          <w:rPr>
                            <w:rFonts w:ascii="Calibri" w:hAnsi="Calibri"/>
                            <w:b/>
                            <w:bCs/>
                            <w:color w:val="FFFFFF"/>
                            <w:kern w:val="24"/>
                            <w:sz w:val="36"/>
                            <w:szCs w:val="36"/>
                          </w:rPr>
                          <w:t>Assessment visit</w:t>
                        </w:r>
                      </w:p>
                    </w:txbxContent>
                  </v:textbox>
                </v:rect>
                <v:rect id="Rectangle 589" o:spid="_x0000_s1029" style="position:absolute;left:53340;top:16002;width:6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UBMAA&#10;AADcAAAADwAAAGRycy9kb3ducmV2LnhtbERPS2vCQBC+C/6HZYRepG4SqGjqKqWl0JtPPA/ZMRvM&#10;zobsVNN/7x4KHj++92oz+FbdqI9NYAP5LANFXAXbcG3gdPx+XYCKgmyxDUwG/ijCZj0erbC04c57&#10;uh2kVimEY4kGnEhXah0rRx7jLHTEibuE3qMk2Nfa9nhP4b7VRZbNtceGU4PDjj4dVdfDrzfw5vLl&#10;Ms9229YWIqfz+TjF6suYl8nw8Q5KaJCn+N/9Yw0sijQ/nUlHQK8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BUBMAAAADcAAAADwAAAAAAAAAAAAAAAACYAgAAZHJzL2Rvd25y&#10;ZXYueG1sUEsFBgAAAAAEAAQA9QAAAIUDAAAAAA==&#10;" fillcolor="#c0504d" strokecolor="#243f60" strokeweight="2pt">
                  <v:textbox>
                    <w:txbxContent>
                      <w:p w:rsidR="00B247C9" w:rsidRDefault="00B247C9" w:rsidP="0071027C">
                        <w:pPr>
                          <w:pStyle w:val="NormalWeb"/>
                          <w:spacing w:before="0" w:beforeAutospacing="0" w:after="0" w:afterAutospacing="0"/>
                          <w:jc w:val="center"/>
                        </w:pPr>
                        <w:r w:rsidRPr="00EF02C0">
                          <w:rPr>
                            <w:rFonts w:ascii="Calibri" w:hAnsi="Calibri"/>
                            <w:color w:val="FFFFFF"/>
                            <w:kern w:val="24"/>
                            <w:sz w:val="36"/>
                            <w:szCs w:val="36"/>
                          </w:rPr>
                          <w:t>YES</w:t>
                        </w:r>
                      </w:p>
                    </w:txbxContent>
                  </v:textbox>
                </v:rect>
                <v:rect id="Rectangle 590" o:spid="_x0000_s1030" style="position:absolute;left:24384;top:33147;width:17526;height:6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6QMMA&#10;AADcAAAADwAAAGRycy9kb3ducmV2LnhtbESPQYvCMBSE74L/ITxhL6JpPYhUo6i4IKyXVn/Ao3m2&#10;xealJFGrv94sLOxxmJlvmNWmN614kPONZQXpNAFBXFrdcKXgcv6eLED4gKyxtUwKXuRhsx4OVphp&#10;++ScHkWoRISwz1BBHUKXSenLmgz6qe2Io3e1zmCI0lVSO3xGuGnlLEnm0mDDcaHGjvY1lbfibhT4&#10;dLf37zykh9P9OD/lLzcuuh+lvkb9dgkiUB/+w3/to1awmKXweyYeAb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C6QMMAAADcAAAADwAAAAAAAAAAAAAAAACYAgAAZHJzL2Rv&#10;d25yZXYueG1sUEsFBgAAAAAEAAQA9QAAAIgDAAAAAA==&#10;" fillcolor="#4f81bd" strokecolor="#243f60" strokeweight="2pt">
                  <v:textbox>
                    <w:txbxContent>
                      <w:p w:rsidR="00B247C9" w:rsidRDefault="00B247C9" w:rsidP="0071027C">
                        <w:pPr>
                          <w:pStyle w:val="NormalWeb"/>
                          <w:spacing w:before="0" w:beforeAutospacing="0" w:after="0" w:afterAutospacing="0"/>
                          <w:jc w:val="center"/>
                        </w:pPr>
                        <w:r w:rsidRPr="00EF02C0">
                          <w:rPr>
                            <w:rFonts w:ascii="Calibri" w:hAnsi="Calibri"/>
                            <w:color w:val="FFFFFF"/>
                            <w:kern w:val="24"/>
                            <w:sz w:val="36"/>
                            <w:szCs w:val="36"/>
                          </w:rPr>
                          <w:t xml:space="preserve">Strengthening </w:t>
                        </w:r>
                      </w:p>
                      <w:p w:rsidR="00B247C9" w:rsidRDefault="00B247C9" w:rsidP="0071027C">
                        <w:pPr>
                          <w:pStyle w:val="NormalWeb"/>
                          <w:spacing w:before="0" w:beforeAutospacing="0" w:after="0" w:afterAutospacing="0"/>
                          <w:jc w:val="center"/>
                        </w:pPr>
                        <w:r w:rsidRPr="00EF02C0">
                          <w:rPr>
                            <w:rFonts w:ascii="Calibri" w:hAnsi="Calibri"/>
                            <w:color w:val="FFFFFF"/>
                            <w:kern w:val="24"/>
                            <w:sz w:val="36"/>
                            <w:szCs w:val="36"/>
                          </w:rPr>
                          <w:t>Plan</w:t>
                        </w:r>
                      </w:p>
                    </w:txbxContent>
                  </v:textbox>
                </v:rect>
                <v:rect id="Rectangle 591" o:spid="_x0000_s1031" style="position:absolute;left:24492;top:46917;width:1752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kN8QA&#10;AADcAAAADwAAAGRycy9kb3ducmV2LnhtbESPQYvCMBSE7wv+h/AEL8uatgeRapRVFAS9tPoDHs3b&#10;tmzzUpKo1V9vhIU9DjPzDbNcD6YTN3K+tawgnSYgiCurW64VXM77rzkIH5A1dpZJwYM8rFejjyXm&#10;2t65oFsZahEh7HNU0ITQ51L6qiGDfmp74uj9WGcwROlqqR3eI9x0MkuSmTTYclxosKdtQ9VveTUK&#10;fLrZ+mcR0t3pepidiof7LPujUpPx8L0AEWgI/+G/9kErmGcZvM/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CJDfEAAAA3AAAAA8AAAAAAAAAAAAAAAAAmAIAAGRycy9k&#10;b3ducmV2LnhtbFBLBQYAAAAABAAEAPUAAACJAwAAAAA=&#10;" fillcolor="#4f81bd" strokecolor="#243f60" strokeweight="2pt">
                  <v:textbox>
                    <w:txbxContent>
                      <w:p w:rsidR="00B247C9" w:rsidRDefault="00B247C9" w:rsidP="0071027C">
                        <w:pPr>
                          <w:pStyle w:val="NormalWeb"/>
                          <w:spacing w:before="0" w:beforeAutospacing="0" w:after="0" w:afterAutospacing="0"/>
                          <w:jc w:val="center"/>
                        </w:pPr>
                        <w:r w:rsidRPr="00EF02C0">
                          <w:rPr>
                            <w:rFonts w:ascii="Calibri" w:hAnsi="Calibri"/>
                            <w:color w:val="FFFFFF"/>
                            <w:kern w:val="24"/>
                            <w:sz w:val="36"/>
                            <w:szCs w:val="36"/>
                          </w:rPr>
                          <w:t xml:space="preserve">Re-assessment </w:t>
                        </w:r>
                      </w:p>
                    </w:txbxContent>
                  </v:textbox>
                </v:rect>
                <v:rect id="Rectangle 592" o:spid="_x0000_s1032" style="position:absolute;left:62693;top:18015;width:1752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BrMQA&#10;AADcAAAADwAAAGRycy9kb3ducmV2LnhtbESP0YrCMBRE3wX/IdyFfRFN64JINcoqCsL60uoHXJpr&#10;W2xuShK17tdvFgQfh5k5wyzXvWnFnZxvLCtIJwkI4tLqhisF59N+PAfhA7LG1jIpeJKH9Wo4WGKm&#10;7YNzuhehEhHCPkMFdQhdJqUvazLoJ7Yjjt7FOoMhSldJ7fAR4aaV0ySZSYMNx4UaO9rWVF6Lm1Hg&#10;083W/+Yh3R1vh9kxf7pR0f0o9fnRfy9ABOrDO/xqH7SC+fQL/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OgazEAAAA3AAAAA8AAAAAAAAAAAAAAAAAmAIAAGRycy9k&#10;b3ducmV2LnhtbFBLBQYAAAAABAAEAPUAAACJAwAAAAA=&#10;" fillcolor="#4f81bd" strokecolor="#243f60" strokeweight="2pt">
                  <v:textbox>
                    <w:txbxContent>
                      <w:p w:rsidR="00B247C9" w:rsidRDefault="00B247C9" w:rsidP="0071027C">
                        <w:pPr>
                          <w:pStyle w:val="NormalWeb"/>
                          <w:spacing w:before="0" w:beforeAutospacing="0" w:after="0" w:afterAutospacing="0"/>
                          <w:jc w:val="center"/>
                        </w:pPr>
                        <w:r w:rsidRPr="00EF02C0">
                          <w:rPr>
                            <w:rFonts w:ascii="Calibri" w:hAnsi="Calibri"/>
                            <w:color w:val="FFFFFF"/>
                            <w:kern w:val="24"/>
                            <w:sz w:val="36"/>
                            <w:szCs w:val="36"/>
                          </w:rPr>
                          <w:t>Issue code number</w:t>
                        </w:r>
                      </w:p>
                    </w:txbxContent>
                  </v:textbox>
                </v:rect>
                <v:rect id="Rectangle 593" o:spid="_x0000_s1033" style="position:absolute;left:25254;top:26778;width:6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SB8QA&#10;AADcAAAADwAAAGRycy9kb3ducmV2LnhtbESPQWvCQBSE74X+h+UVeil1k6BFo6uUSsGbVsXzI/ua&#10;DWbfhuxT03/fFQo9DjPzDbNYDb5VV+pjE9hAPspAEVfBNlwbOB4+X6egoiBbbAOTgR+KsFo+Piyw&#10;tOHGX3TdS60ShGOJBpxIV2odK0ce4yh0xMn7Dr1HSbKvte3xluC+1UWWvWmPDacFhx19OKrO+4s3&#10;MHH5bJZnu21rC5Hj6XR4wWptzPPT8D4HJTTIf/ivvbEGpsUY7m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7UgfEAAAA3AAAAA8AAAAAAAAAAAAAAAAAmAIAAGRycy9k&#10;b3ducmV2LnhtbFBLBQYAAAAABAAEAPUAAACJAwAAAAA=&#10;" fillcolor="#c0504d" strokecolor="#243f60" strokeweight="2pt">
                  <v:textbox>
                    <w:txbxContent>
                      <w:p w:rsidR="00B247C9" w:rsidRDefault="00B247C9" w:rsidP="0071027C">
                        <w:pPr>
                          <w:pStyle w:val="NormalWeb"/>
                          <w:spacing w:before="0" w:beforeAutospacing="0" w:after="0" w:afterAutospacing="0"/>
                          <w:jc w:val="center"/>
                        </w:pPr>
                        <w:r w:rsidRPr="00EF02C0">
                          <w:rPr>
                            <w:rFonts w:ascii="Calibri" w:hAnsi="Calibri"/>
                            <w:b/>
                            <w:bCs/>
                            <w:color w:val="FFFFFF"/>
                            <w:kern w:val="24"/>
                            <w:sz w:val="36"/>
                            <w:szCs w:val="36"/>
                          </w:rPr>
                          <w:t>NO</w:t>
                        </w:r>
                      </w:p>
                    </w:txbxContent>
                  </v:textbox>
                </v:rect>
                <v:rect id="Rectangle 594" o:spid="_x0000_s1034" style="position:absolute;left:57970;top:43818;width:1524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8Q8QA&#10;AADcAAAADwAAAGRycy9kb3ducmV2LnhtbESP0YrCMBRE3wX/IdyFfRFNK6xINcoqCsL60uoHXJpr&#10;W2xuShK17tdvFgQfh5k5wyzXvWnFnZxvLCtIJwkI4tLqhisF59N+PAfhA7LG1jIpeJKH9Wo4WGKm&#10;7YNzuhehEhHCPkMFdQhdJqUvazLoJ7Yjjt7FOoMhSldJ7fAR4aaV0ySZSYMNx4UaO9rWVF6Lm1Hg&#10;083W/+Yh3R1vh9kxf7pR0f0o9fnRfy9ABOrDO/xqH7SC+fQL/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rvEPEAAAA3AAAAA8AAAAAAAAAAAAAAAAAmAIAAGRycy9k&#10;b3ducmV2LnhtbFBLBQYAAAAABAAEAPUAAACJAwAAAAA=&#10;" fillcolor="#4f81bd" strokecolor="#243f60" strokeweight="2pt">
                  <v:textbox>
                    <w:txbxContent>
                      <w:p w:rsidR="00B247C9" w:rsidRDefault="00B247C9" w:rsidP="0071027C">
                        <w:pPr>
                          <w:pStyle w:val="NormalWeb"/>
                          <w:spacing w:before="0" w:beforeAutospacing="0" w:after="0" w:afterAutospacing="0"/>
                          <w:jc w:val="center"/>
                        </w:pPr>
                        <w:r w:rsidRPr="00EF02C0">
                          <w:rPr>
                            <w:rFonts w:ascii="Calibri" w:hAnsi="Calibri"/>
                            <w:color w:val="FFFFFF"/>
                            <w:kern w:val="24"/>
                            <w:sz w:val="36"/>
                            <w:szCs w:val="36"/>
                          </w:rPr>
                          <w:t>After 1 year</w:t>
                        </w:r>
                      </w:p>
                    </w:txbxContent>
                  </v:textbox>
                </v:rect>
                <v:shapetype id="_x0000_t32" coordsize="21600,21600" o:spt="32" o:oned="t" path="m,l21600,21600e" filled="f">
                  <v:path arrowok="t" fillok="f" o:connecttype="none"/>
                  <o:lock v:ext="edit" shapetype="t"/>
                </v:shapetype>
                <v:shape id="Straight Arrow Connector 595" o:spid="_x0000_s1035" type="#_x0000_t32" style="position:absolute;left:32043;top:12913;width:4559;height:6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niHMIAAADcAAAADwAAAGRycy9kb3ducmV2LnhtbESPQYvCMBSE74L/ITxhb2uqoEg1igiK&#10;IChWxeujebbV5qU2Ubv/3ggLHoeZ+YaZzBpTiifVrrCsoNeNQBCnVhecKTgelr8jEM4jaywtk4I/&#10;cjCbtlsTjLV98Z6eic9EgLCLUUHufRVL6dKcDLqurYiDd7G1QR9knUld4yvATSn7UTSUBgsOCzlW&#10;tMgpvSUPo2Bj77RKzrcrn7a7wXXQyI3ZXpT66TTzMQhPjf+G/9trrWDUH8LnTDgCcv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niHMIAAADcAAAADwAAAAAAAAAAAAAA&#10;AAChAgAAZHJzL2Rvd25yZXYueG1sUEsFBgAAAAAEAAQA+QAAAJADAAAAAA==&#10;" strokecolor="#4579b8" strokeweight="2pt">
                  <v:stroke endarrow="open"/>
                </v:shape>
                <v:shape id="Straight Arrow Connector 596" o:spid="_x0000_s1036" type="#_x0000_t32" style="position:absolute;left:30529;top:29899;width:6469;height:38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rAoMMAAADcAAAADwAAAGRycy9kb3ducmV2LnhtbESPT4vCMBTE7wt+h/AEb9u04qrURinC&#10;igdB/Hd/Ns+22LyUJqvdb79ZEDwOM/MbJlv1phEP6lxtWUESxSCIC6trLhWcT9+fcxDOI2tsLJOC&#10;X3KwWg4+Mky1ffKBHkdfigBhl6KCyvs2ldIVFRl0kW2Jg3eznUEfZFdK3eEzwE0jx3E8lQZrDgsV&#10;trSuqLgff4yCw1eexBPcXXebsjnttbvkeE6UGg37fAHCU+/f4Vd7qxXMxzP4Px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KwKDDAAAA3AAAAA8AAAAAAAAAAAAA&#10;AAAAoQIAAGRycy9kb3ducmV2LnhtbFBLBQYAAAAABAAEAPkAAACRAwAAAAA=&#10;" strokecolor="#4579b8" strokeweight="2pt">
                  <v:stroke endarrow="open"/>
                </v:shape>
                <v:shape id="Straight Arrow Connector 597" o:spid="_x0000_s1037" type="#_x0000_t32" style="position:absolute;left:30152;top:43292;width:6827;height:16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rT9cAAAADcAAAADwAAAGRycy9kb3ducmV2LnhtbERPTYvCMBC9C/6HMII3myq4SDWKCIog&#10;uGxVvA7N2FabSW2i1n+/OQgeH+97tmhNJZ7UuNKygmEUgyDOrC45V3A8rAcTEM4ja6wsk4I3OVjM&#10;u50ZJtq++I+eqc9FCGGXoILC+zqR0mUFGXSRrYkDd7GNQR9gk0vd4CuEm0qO4vhHGiw5NBRY06qg&#10;7JY+jIKdvdMmPd+ufNr/jq/jVu7M/qJUv9cupyA8tf4r/ri3WsFkFNaGM+EIyP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MK0/XAAAAA3AAAAA8AAAAAAAAAAAAAAAAA&#10;oQIAAGRycy9kb3ducmV2LnhtbFBLBQYAAAAABAAEAPkAAACOAwAAAAA=&#10;" strokecolor="#4579b8" strokeweight="2pt">
                  <v:stroke endarrow="open"/>
                </v:shape>
                <v:shape id="Straight Arrow Connector 598" o:spid="_x0000_s1038" type="#_x0000_t32" style="position:absolute;left:53340;top:20948;width:9353;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sEMUAAADcAAAADwAAAGRycy9kb3ducmV2LnhtbESPQYvCMBSE74L/IbwFb5quqNRqFBFE&#10;vVTUZcHbo3nblm1eShO17q/fCILHYWa+YebL1lTiRo0rLSv4HEQgiDOrS84VfJ03/RiE88gaK8uk&#10;4EEOlotuZ46Jtnc+0u3kcxEg7BJUUHhfJ1K6rCCDbmBr4uD92MagD7LJpW7wHuCmksMomkiDJYeF&#10;AmtaF5T9nq5GQTUe/R22uN/F20nW2kuafk+PqVK9j3Y1A+Gp9e/wq73TCuLhFJ5nw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WsEMUAAADcAAAADwAAAAAAAAAA&#10;AAAAAAChAgAAZHJzL2Rvd25yZXYueG1sUEsFBgAAAAAEAAQA+QAAAJMDAAAAAA==&#10;" strokecolor="#4579b8" strokeweight="2pt">
                  <v:stroke endarrow="open"/>
                </v:shape>
                <v:shape id="Straight Arrow Connector 599" o:spid="_x0000_s1039" type="#_x0000_t32" style="position:absolute;left:42018;top:49203;width:31787;height:1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zQr4AAADcAAAADwAAAGRycy9kb3ducmV2LnhtbERPTYvCMBC9C/6HMIIX0VQXtFSjiEXY&#10;08KqB49DM7bFZlI6Ueu/3xyEPT7e92bXu0Y9qZPas4H5LAFFXHhbc2ngcj5OU1ASkC02nsnAmwR2&#10;2+Fgg5n1L/6l5ymUKoawZGigCqHNtJaiIocy8y1x5G6+cxgi7EptO3zFcNfoRZIstcOaY0OFLR0q&#10;Ku6nhzNAK85FyEt5neQ/6WOVNu9cjBmP+v0aVKA+/Is/7m9rIP2K8+OZeAT0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kXNCvgAAANwAAAAPAAAAAAAAAAAAAAAAAKEC&#10;AABkcnMvZG93bnJldi54bWxQSwUGAAAAAAQABAD5AAAAjAMAAAAA&#10;" strokecolor="#4579b8" strokeweight="2pt">
                  <v:stroke endarrow="open"/>
                </v:shape>
                <v:line id="Straight Connector 600" o:spid="_x0000_s1040" style="position:absolute;rotation:90;flip:x;visibility:visible;mso-wrap-style:square" from="61304,36701" to="86324,3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f2h8YAAADcAAAADwAAAGRycy9kb3ducmV2LnhtbESPX2sCMRDE3wW/Q9hC3zR3bRG5GkWE&#10;0iK24B+kj8tlvZy9bI4ketdv3xQEH4fZ+c3ObNHbRlzJh9qxgnycgSAuna65UnDYv42mIEJE1tg4&#10;JgW/FGAxHw5mWGjX8Zauu1iJBOFQoAITY1tIGUpDFsPYtcTJOzlvMSbpK6k9dgluG/mUZRNpsebU&#10;YLCllaHyZ3ex6Y3P8vTlzft+2cXz+fiyWX/nvFbq8aFfvoKI1Mf78S39oRVMn3P4H5MI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39ofGAAAA3AAAAA8AAAAAAAAA&#10;AAAAAAAAoQIAAGRycy9kb3ducmV2LnhtbFBLBQYAAAAABAAEAPkAAACUAwAAAAA=&#10;" strokecolor="#4579b8" strokeweight="2pt"/>
                <v:line id="Straight Connector 601" o:spid="_x0000_s1041" style="position:absolute;rotation:180;flip:y;visibility:visible;mso-wrap-style:square" from="8382,49203" to="24492,4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Q48QAAADdAAAADwAAAGRycy9kb3ducmV2LnhtbERPTUvDQBC9C/0Pywi9iN00iNTYbSlC&#10;sdSTbRW8DdkxiWZnw+60Sf69exB6fLzv5XpwrbpQiI1nA/NZBoq49LbhysDpuL1fgIqCbLH1TAZG&#10;irBeTW6WWFjf8ztdDlKpFMKxQAO1SFdoHcuaHMaZ74gT9+2DQ0kwVNoG7FO4a3WeZY/aYcOpocaO&#10;Xmoqfw9nZ+DrLgbp99vh823e/OTjq4wfD9aY6e2weQYlNMhV/O/eWQNP+SLtT2/SE9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H9DjxAAAAN0AAAAPAAAAAAAAAAAA&#10;AAAAAKECAABkcnMvZG93bnJldi54bWxQSwUGAAAAAAQABAD5AAAAkgMAAAAA&#10;" strokecolor="#4579b8" strokeweight="2pt"/>
                <v:line id="Straight Connector 602" o:spid="_x0000_s1042" style="position:absolute;rotation:90;visibility:visible;mso-wrap-style:square" from="-5206,34791" to="22757,35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pGF8YAAADdAAAADwAAAGRycy9kb3ducmV2LnhtbESPQWsCMRSE7wX/Q3iF3mpWD2JXs0sR&#10;W1ooiNsieHskz93FzcuSpLr66xuh4HGYmW+YZTnYTpzIh9axgsk4A0GsnWm5VvDz/fY8BxEissHO&#10;MSm4UICyGD0sMTfuzFs6VbEWCcIhRwVNjH0uZdANWQxj1xMn7+C8xZikr6XxeE5w28lpls2kxZbT&#10;QoM9rRrSx+rXKlhXRh+99/vtbjV8zjZWv1/dl1JPj8PrAkSkId7D/+0Po+BlOp/A7U16ArL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6RhfGAAAA3QAAAA8AAAAAAAAA&#10;AAAAAAAAoQIAAGRycy9kb3ducmV2LnhtbFBLBQYAAAAABAAEAPkAAACUAwAAAAA=&#10;" strokecolor="#4579b8" strokeweight="2pt"/>
                <v:shape id="Straight Arrow Connector 603" o:spid="_x0000_s1043" type="#_x0000_t32" style="position:absolute;left:9169;top:21047;width:5309;height:4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s4W8QAAADdAAAADwAAAGRycy9kb3ducmV2LnhtbESPQWsCMRSE7wX/Q3hCbzVxD7LdGkUU&#10;QbAHq/b+3Dx3VzcvSxJ1++8bodDjMDPfMNN5b1txJx8axxrGIwWCuHSm4UrD8bB+y0GEiGywdUwa&#10;fijAfDZ4mWJh3IO/6L6PlUgQDgVqqGPsCilDWZPFMHIdcfLOzluMSfpKGo+PBLetzJSaSIsNp4Ua&#10;O1rWVF73N6tBHTrpd8tTflp9xu13a47NRV21fh32iw8Qkfr4H/5rb4yG9yzP4PkmP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zhbxAAAAN0AAAAPAAAAAAAAAAAA&#10;AAAAAKECAABkcnMvZG93bnJldi54bWxQSwUGAAAAAAQABAD5AAAAkgMAAAAA&#10;" strokecolor="#4579b8" strokeweight="2pt">
                  <v:stroke endarrow="open"/>
                </v:shape>
                <w10:anchorlock/>
              </v:group>
            </w:pict>
          </mc:Fallback>
        </mc:AlternateContent>
      </w:r>
    </w:p>
    <w:p w:rsidR="0071027C" w:rsidRPr="00C203F3" w:rsidRDefault="0071027C" w:rsidP="00AA771C">
      <w:pPr>
        <w:autoSpaceDE w:val="0"/>
        <w:autoSpaceDN w:val="0"/>
        <w:adjustRightInd w:val="0"/>
        <w:spacing w:beforeLines="120" w:before="288" w:afterLines="120" w:after="288" w:line="312" w:lineRule="auto"/>
        <w:jc w:val="both"/>
        <w:rPr>
          <w:rFonts w:ascii="Arial Narrow" w:hAnsi="Arial Narrow"/>
          <w:sz w:val="24"/>
          <w:szCs w:val="24"/>
        </w:rPr>
      </w:pPr>
    </w:p>
    <w:p w:rsidR="0071027C" w:rsidRPr="00084533" w:rsidRDefault="0071027C" w:rsidP="0071027C">
      <w:pPr>
        <w:autoSpaceDE w:val="0"/>
        <w:autoSpaceDN w:val="0"/>
        <w:adjustRightInd w:val="0"/>
        <w:spacing w:before="120" w:after="120" w:line="240" w:lineRule="auto"/>
        <w:jc w:val="both"/>
        <w:rPr>
          <w:rFonts w:ascii="Arial" w:hAnsi="Arial" w:cs="Arial"/>
        </w:rPr>
      </w:pPr>
      <w:r w:rsidRPr="00084533">
        <w:rPr>
          <w:rFonts w:ascii="Arial" w:hAnsi="Arial" w:cs="Arial"/>
        </w:rPr>
        <w:t>Facilities are categorized on the basis of the availability of the following:</w:t>
      </w:r>
    </w:p>
    <w:p w:rsidR="0071027C" w:rsidRPr="00084533" w:rsidRDefault="0071027C" w:rsidP="00274941">
      <w:pPr>
        <w:widowControl/>
        <w:numPr>
          <w:ilvl w:val="0"/>
          <w:numId w:val="1"/>
        </w:numPr>
        <w:autoSpaceDE w:val="0"/>
        <w:autoSpaceDN w:val="0"/>
        <w:adjustRightInd w:val="0"/>
        <w:spacing w:before="120" w:after="120" w:line="240" w:lineRule="auto"/>
        <w:jc w:val="both"/>
        <w:rPr>
          <w:rFonts w:ascii="Arial" w:hAnsi="Arial" w:cs="Arial"/>
        </w:rPr>
      </w:pPr>
      <w:r w:rsidRPr="00084533">
        <w:rPr>
          <w:rFonts w:ascii="Arial" w:hAnsi="Arial" w:cs="Arial"/>
        </w:rPr>
        <w:t>Supervision from district level</w:t>
      </w:r>
    </w:p>
    <w:p w:rsidR="0071027C" w:rsidRPr="00084533" w:rsidRDefault="0071027C" w:rsidP="00274941">
      <w:pPr>
        <w:pStyle w:val="ListParagraph"/>
        <w:numPr>
          <w:ilvl w:val="1"/>
          <w:numId w:val="3"/>
        </w:numPr>
        <w:autoSpaceDE w:val="0"/>
        <w:autoSpaceDN w:val="0"/>
        <w:adjustRightInd w:val="0"/>
        <w:contextualSpacing w:val="0"/>
        <w:jc w:val="both"/>
        <w:rPr>
          <w:rFonts w:ascii="Arial" w:hAnsi="Arial" w:cs="Arial"/>
          <w:sz w:val="22"/>
          <w:szCs w:val="22"/>
        </w:rPr>
      </w:pPr>
      <w:r w:rsidRPr="00084533">
        <w:rPr>
          <w:rFonts w:ascii="Arial" w:hAnsi="Arial" w:cs="Arial"/>
          <w:sz w:val="22"/>
          <w:szCs w:val="22"/>
        </w:rPr>
        <w:t>Last visit from the District (CHMT, CTC staff) not longer than  3 months ago (so supervision at least quarterly)</w:t>
      </w:r>
    </w:p>
    <w:p w:rsidR="0071027C" w:rsidRPr="00836ED5" w:rsidRDefault="0071027C" w:rsidP="00274941">
      <w:pPr>
        <w:widowControl/>
        <w:numPr>
          <w:ilvl w:val="0"/>
          <w:numId w:val="1"/>
        </w:numPr>
        <w:autoSpaceDE w:val="0"/>
        <w:autoSpaceDN w:val="0"/>
        <w:adjustRightInd w:val="0"/>
        <w:spacing w:before="120" w:after="120" w:line="240" w:lineRule="auto"/>
        <w:jc w:val="both"/>
        <w:rPr>
          <w:rFonts w:ascii="Arial" w:hAnsi="Arial" w:cs="Arial"/>
        </w:rPr>
      </w:pPr>
      <w:r w:rsidRPr="00836ED5">
        <w:rPr>
          <w:rFonts w:ascii="Arial" w:hAnsi="Arial" w:cs="Arial"/>
        </w:rPr>
        <w:t>Adequate human resource (staff levels and qualifications)</w:t>
      </w:r>
    </w:p>
    <w:p w:rsidR="0071027C" w:rsidRPr="00836ED5" w:rsidRDefault="0071027C" w:rsidP="00274941">
      <w:pPr>
        <w:pStyle w:val="ListParagraph"/>
        <w:numPr>
          <w:ilvl w:val="1"/>
          <w:numId w:val="3"/>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lastRenderedPageBreak/>
        <w:t xml:space="preserve">At least one clinician  </w:t>
      </w:r>
    </w:p>
    <w:p w:rsidR="0071027C" w:rsidRPr="00836ED5" w:rsidRDefault="0071027C" w:rsidP="00274941">
      <w:pPr>
        <w:pStyle w:val="ListParagraph"/>
        <w:numPr>
          <w:ilvl w:val="1"/>
          <w:numId w:val="3"/>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 xml:space="preserve">At least one adherence counselor  </w:t>
      </w:r>
    </w:p>
    <w:p w:rsidR="0071027C" w:rsidRPr="00836ED5" w:rsidRDefault="0071027C" w:rsidP="00274941">
      <w:pPr>
        <w:pStyle w:val="ListParagraph"/>
        <w:numPr>
          <w:ilvl w:val="1"/>
          <w:numId w:val="3"/>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At least one other health worker</w:t>
      </w:r>
    </w:p>
    <w:p w:rsidR="0071027C" w:rsidRPr="00836ED5" w:rsidRDefault="0071027C" w:rsidP="00274941">
      <w:pPr>
        <w:pStyle w:val="ListParagraph"/>
        <w:numPr>
          <w:ilvl w:val="1"/>
          <w:numId w:val="3"/>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Dedicated Care and Treatment team consisting of at least 3 members</w:t>
      </w:r>
    </w:p>
    <w:p w:rsidR="0071027C" w:rsidRPr="00836ED5" w:rsidRDefault="0071027C" w:rsidP="00274941">
      <w:pPr>
        <w:pStyle w:val="ListParagraph"/>
        <w:numPr>
          <w:ilvl w:val="1"/>
          <w:numId w:val="3"/>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The Care and Treatment team as mentioned in 2.3 has been trained according to approved national curricula</w:t>
      </w:r>
    </w:p>
    <w:p w:rsidR="0071027C" w:rsidRPr="00836ED5" w:rsidRDefault="0071027C" w:rsidP="00274941">
      <w:pPr>
        <w:pStyle w:val="ListParagraph"/>
        <w:numPr>
          <w:ilvl w:val="1"/>
          <w:numId w:val="3"/>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Guidelines available and seen: National guidelines for the clinical management of HIV and AIDS and other HIV interventions guidelines</w:t>
      </w:r>
    </w:p>
    <w:p w:rsidR="0071027C" w:rsidRPr="00836ED5" w:rsidRDefault="0071027C" w:rsidP="00274941">
      <w:pPr>
        <w:widowControl/>
        <w:numPr>
          <w:ilvl w:val="0"/>
          <w:numId w:val="1"/>
        </w:numPr>
        <w:autoSpaceDE w:val="0"/>
        <w:autoSpaceDN w:val="0"/>
        <w:adjustRightInd w:val="0"/>
        <w:spacing w:before="120" w:after="120" w:line="240" w:lineRule="auto"/>
        <w:jc w:val="both"/>
        <w:rPr>
          <w:rFonts w:ascii="Arial" w:hAnsi="Arial" w:cs="Arial"/>
        </w:rPr>
      </w:pPr>
      <w:r w:rsidRPr="00836ED5">
        <w:rPr>
          <w:rFonts w:ascii="Arial" w:hAnsi="Arial" w:cs="Arial"/>
        </w:rPr>
        <w:t>Laboratory services</w:t>
      </w:r>
    </w:p>
    <w:p w:rsidR="0071027C" w:rsidRPr="00836ED5" w:rsidRDefault="0071027C" w:rsidP="00274941">
      <w:pPr>
        <w:pStyle w:val="ListParagraph"/>
        <w:numPr>
          <w:ilvl w:val="1"/>
          <w:numId w:val="3"/>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Adequate laboratory space, at least one large room or at least 2 smaller rooms</w:t>
      </w:r>
    </w:p>
    <w:p w:rsidR="0071027C" w:rsidRPr="00836ED5" w:rsidRDefault="0071027C" w:rsidP="00274941">
      <w:pPr>
        <w:pStyle w:val="ListParagraph"/>
        <w:numPr>
          <w:ilvl w:val="1"/>
          <w:numId w:val="3"/>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HIV testing (rapid)</w:t>
      </w:r>
    </w:p>
    <w:p w:rsidR="0071027C" w:rsidRPr="00836ED5" w:rsidRDefault="0071027C" w:rsidP="00274941">
      <w:pPr>
        <w:pStyle w:val="ListParagraph"/>
        <w:numPr>
          <w:ilvl w:val="1"/>
          <w:numId w:val="3"/>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Basic blood tests (haematology/biochemistry)</w:t>
      </w:r>
    </w:p>
    <w:p w:rsidR="0071027C" w:rsidRPr="00836ED5" w:rsidRDefault="0071027C" w:rsidP="00274941">
      <w:pPr>
        <w:pStyle w:val="ListParagraph"/>
        <w:numPr>
          <w:ilvl w:val="1"/>
          <w:numId w:val="3"/>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Malaria blood test</w:t>
      </w:r>
    </w:p>
    <w:p w:rsidR="0071027C" w:rsidRPr="00836ED5" w:rsidRDefault="0071027C" w:rsidP="00274941">
      <w:pPr>
        <w:pStyle w:val="ListParagraph"/>
        <w:numPr>
          <w:ilvl w:val="1"/>
          <w:numId w:val="3"/>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TB sputum smears (ZN stain) + STI test (Gram stain)</w:t>
      </w:r>
    </w:p>
    <w:p w:rsidR="0071027C" w:rsidRPr="00836ED5" w:rsidRDefault="0071027C" w:rsidP="00274941">
      <w:pPr>
        <w:pStyle w:val="ListParagraph"/>
        <w:numPr>
          <w:ilvl w:val="1"/>
          <w:numId w:val="3"/>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Routine testing of stool and urine</w:t>
      </w:r>
    </w:p>
    <w:p w:rsidR="0071027C" w:rsidRPr="00836ED5" w:rsidRDefault="0071027C" w:rsidP="00274941">
      <w:pPr>
        <w:widowControl/>
        <w:numPr>
          <w:ilvl w:val="0"/>
          <w:numId w:val="1"/>
        </w:numPr>
        <w:autoSpaceDE w:val="0"/>
        <w:autoSpaceDN w:val="0"/>
        <w:adjustRightInd w:val="0"/>
        <w:spacing w:before="120" w:after="120" w:line="240" w:lineRule="auto"/>
        <w:jc w:val="both"/>
        <w:rPr>
          <w:rFonts w:ascii="Arial" w:hAnsi="Arial" w:cs="Arial"/>
        </w:rPr>
      </w:pPr>
      <w:r w:rsidRPr="00836ED5">
        <w:rPr>
          <w:rFonts w:ascii="Arial" w:hAnsi="Arial" w:cs="Arial"/>
        </w:rPr>
        <w:t>Infrastructure, including drug store</w:t>
      </w:r>
    </w:p>
    <w:p w:rsidR="0071027C" w:rsidRPr="00836ED5" w:rsidRDefault="0071027C" w:rsidP="00274941">
      <w:pPr>
        <w:pStyle w:val="ListParagraph"/>
        <w:numPr>
          <w:ilvl w:val="1"/>
          <w:numId w:val="3"/>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One or more confidential consultation rooms</w:t>
      </w:r>
    </w:p>
    <w:p w:rsidR="0071027C" w:rsidRPr="00836ED5" w:rsidRDefault="0071027C" w:rsidP="00274941">
      <w:pPr>
        <w:pStyle w:val="ListParagraph"/>
        <w:numPr>
          <w:ilvl w:val="1"/>
          <w:numId w:val="3"/>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Locked area for medical records with limited access</w:t>
      </w:r>
    </w:p>
    <w:p w:rsidR="0071027C" w:rsidRPr="00836ED5" w:rsidRDefault="0071027C" w:rsidP="00274941">
      <w:pPr>
        <w:pStyle w:val="ListParagraph"/>
        <w:numPr>
          <w:ilvl w:val="1"/>
          <w:numId w:val="3"/>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 xml:space="preserve">Secure storage space large enough for three month supply   of ARVs and other medicines   </w:t>
      </w:r>
    </w:p>
    <w:p w:rsidR="0071027C" w:rsidRPr="00836ED5" w:rsidRDefault="0071027C" w:rsidP="00274941">
      <w:pPr>
        <w:widowControl/>
        <w:numPr>
          <w:ilvl w:val="0"/>
          <w:numId w:val="1"/>
        </w:numPr>
        <w:autoSpaceDE w:val="0"/>
        <w:autoSpaceDN w:val="0"/>
        <w:adjustRightInd w:val="0"/>
        <w:spacing w:before="120" w:after="120" w:line="240" w:lineRule="auto"/>
        <w:jc w:val="both"/>
        <w:rPr>
          <w:rFonts w:ascii="Arial" w:hAnsi="Arial" w:cs="Arial"/>
        </w:rPr>
      </w:pPr>
      <w:r w:rsidRPr="00836ED5">
        <w:rPr>
          <w:rFonts w:ascii="Arial" w:hAnsi="Arial" w:cs="Arial"/>
        </w:rPr>
        <w:t>Proper patient records and reporting system</w:t>
      </w:r>
    </w:p>
    <w:p w:rsidR="0071027C" w:rsidRPr="00836ED5" w:rsidRDefault="0071027C" w:rsidP="00274941">
      <w:pPr>
        <w:pStyle w:val="ListParagraph"/>
        <w:numPr>
          <w:ilvl w:val="1"/>
          <w:numId w:val="3"/>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An established and working medical record system</w:t>
      </w:r>
    </w:p>
    <w:p w:rsidR="0071027C" w:rsidRPr="00836ED5" w:rsidRDefault="0071027C" w:rsidP="00274941">
      <w:pPr>
        <w:widowControl/>
        <w:numPr>
          <w:ilvl w:val="0"/>
          <w:numId w:val="1"/>
        </w:numPr>
        <w:autoSpaceDE w:val="0"/>
        <w:autoSpaceDN w:val="0"/>
        <w:adjustRightInd w:val="0"/>
        <w:spacing w:before="120" w:after="120" w:line="240" w:lineRule="auto"/>
        <w:jc w:val="both"/>
        <w:rPr>
          <w:rFonts w:ascii="Arial" w:hAnsi="Arial" w:cs="Arial"/>
        </w:rPr>
      </w:pPr>
      <w:r w:rsidRPr="00836ED5">
        <w:rPr>
          <w:rFonts w:ascii="Arial" w:hAnsi="Arial" w:cs="Arial"/>
        </w:rPr>
        <w:t>Counseling and testing services</w:t>
      </w:r>
    </w:p>
    <w:p w:rsidR="0071027C" w:rsidRPr="00836ED5" w:rsidRDefault="0071027C" w:rsidP="00274941">
      <w:pPr>
        <w:pStyle w:val="ListParagraph"/>
        <w:numPr>
          <w:ilvl w:val="1"/>
          <w:numId w:val="3"/>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 xml:space="preserve">One confidential room for counselling and testing      </w:t>
      </w:r>
    </w:p>
    <w:p w:rsidR="0071027C" w:rsidRPr="00836ED5" w:rsidRDefault="0071027C" w:rsidP="00274941">
      <w:pPr>
        <w:pStyle w:val="ListParagraph"/>
        <w:numPr>
          <w:ilvl w:val="1"/>
          <w:numId w:val="3"/>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One VCT counsellor</w:t>
      </w:r>
    </w:p>
    <w:p w:rsidR="0071027C" w:rsidRPr="00836ED5" w:rsidRDefault="0071027C" w:rsidP="00274941">
      <w:pPr>
        <w:widowControl/>
        <w:numPr>
          <w:ilvl w:val="0"/>
          <w:numId w:val="1"/>
        </w:numPr>
        <w:autoSpaceDE w:val="0"/>
        <w:autoSpaceDN w:val="0"/>
        <w:adjustRightInd w:val="0"/>
        <w:spacing w:before="120" w:after="120" w:line="240" w:lineRule="auto"/>
        <w:jc w:val="both"/>
        <w:rPr>
          <w:rFonts w:ascii="Arial" w:hAnsi="Arial" w:cs="Arial"/>
        </w:rPr>
      </w:pPr>
      <w:r w:rsidRPr="00836ED5">
        <w:rPr>
          <w:rFonts w:ascii="Arial" w:hAnsi="Arial" w:cs="Arial"/>
        </w:rPr>
        <w:t>Continuum of care (including community home based care)</w:t>
      </w:r>
    </w:p>
    <w:p w:rsidR="0071027C" w:rsidRPr="00836ED5" w:rsidRDefault="0071027C" w:rsidP="00274941">
      <w:pPr>
        <w:pStyle w:val="ListParagraph"/>
        <w:numPr>
          <w:ilvl w:val="1"/>
          <w:numId w:val="3"/>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Effective linkages between health facility and relevant community services</w:t>
      </w:r>
    </w:p>
    <w:p w:rsidR="0071027C" w:rsidRPr="00836ED5" w:rsidRDefault="0071027C" w:rsidP="0071027C">
      <w:pPr>
        <w:pStyle w:val="Heading2"/>
        <w:rPr>
          <w:szCs w:val="24"/>
        </w:rPr>
      </w:pPr>
      <w:bookmarkStart w:id="84" w:name="_Toc373762856"/>
      <w:bookmarkStart w:id="85" w:name="_Toc378258095"/>
      <w:bookmarkStart w:id="86" w:name="_Toc382213951"/>
      <w:r w:rsidRPr="00836ED5">
        <w:rPr>
          <w:szCs w:val="24"/>
        </w:rPr>
        <w:t>2.7 Management of Antiretroviral Medicines</w:t>
      </w:r>
      <w:bookmarkEnd w:id="84"/>
      <w:bookmarkEnd w:id="85"/>
      <w:bookmarkEnd w:id="86"/>
    </w:p>
    <w:p w:rsidR="0071027C" w:rsidRPr="00836ED5" w:rsidRDefault="0071027C" w:rsidP="0071027C">
      <w:pPr>
        <w:pStyle w:val="Heading3"/>
        <w:rPr>
          <w:szCs w:val="24"/>
        </w:rPr>
      </w:pPr>
      <w:bookmarkStart w:id="87" w:name="_Toc373762857"/>
      <w:bookmarkStart w:id="88" w:name="_Toc378258096"/>
      <w:bookmarkStart w:id="89" w:name="_Toc382213952"/>
      <w:r w:rsidRPr="00836ED5">
        <w:rPr>
          <w:szCs w:val="24"/>
        </w:rPr>
        <w:t>2.7.1 Introduction</w:t>
      </w:r>
      <w:bookmarkEnd w:id="87"/>
      <w:bookmarkEnd w:id="88"/>
      <w:bookmarkEnd w:id="89"/>
    </w:p>
    <w:p w:rsidR="0071027C" w:rsidRPr="00836ED5" w:rsidRDefault="0071027C" w:rsidP="0071027C">
      <w:pPr>
        <w:autoSpaceDE w:val="0"/>
        <w:autoSpaceDN w:val="0"/>
        <w:adjustRightInd w:val="0"/>
        <w:spacing w:before="120" w:after="120" w:line="240" w:lineRule="auto"/>
        <w:jc w:val="both"/>
        <w:rPr>
          <w:rFonts w:ascii="Arial" w:hAnsi="Arial" w:cs="Arial"/>
        </w:rPr>
      </w:pPr>
      <w:r w:rsidRPr="00836ED5">
        <w:rPr>
          <w:rFonts w:ascii="Arial" w:hAnsi="Arial" w:cs="Arial"/>
        </w:rPr>
        <w:t>Proper management of medicines ensures optimal use of resources to avail quality medicines and other medical supplies to patients when they need them. The process of management involves identification of the medicines and other medical supplies needed, and acquisition of the needed medicines and supplies from reliable sources (e.g. MSD) and ensuring proper utilization of them to the end user point.</w:t>
      </w:r>
    </w:p>
    <w:p w:rsidR="0071027C" w:rsidRPr="00836ED5" w:rsidRDefault="0071027C" w:rsidP="0071027C">
      <w:pPr>
        <w:autoSpaceDE w:val="0"/>
        <w:autoSpaceDN w:val="0"/>
        <w:adjustRightInd w:val="0"/>
        <w:spacing w:before="120" w:after="120" w:line="240" w:lineRule="auto"/>
        <w:jc w:val="both"/>
        <w:rPr>
          <w:rFonts w:ascii="Arial" w:hAnsi="Arial" w:cs="Arial"/>
        </w:rPr>
      </w:pPr>
      <w:r w:rsidRPr="00836ED5">
        <w:rPr>
          <w:rFonts w:ascii="Arial" w:hAnsi="Arial" w:cs="Arial"/>
        </w:rPr>
        <w:t>HIV and AIDS related commodities are relatively expensive and therefore they require proper handling to ensure effective use.</w:t>
      </w:r>
    </w:p>
    <w:p w:rsidR="0071027C" w:rsidRPr="00836ED5" w:rsidRDefault="0071027C" w:rsidP="0071027C">
      <w:pPr>
        <w:pStyle w:val="Heading3"/>
      </w:pPr>
      <w:bookmarkStart w:id="90" w:name="_Toc373762858"/>
      <w:bookmarkStart w:id="91" w:name="_Toc378258097"/>
      <w:bookmarkStart w:id="92" w:name="_Toc382213953"/>
      <w:r w:rsidRPr="00836ED5">
        <w:t>2.7.2 Rational Use of Medicines</w:t>
      </w:r>
      <w:bookmarkEnd w:id="90"/>
      <w:bookmarkEnd w:id="91"/>
      <w:bookmarkEnd w:id="92"/>
    </w:p>
    <w:p w:rsidR="0071027C" w:rsidRPr="00836ED5" w:rsidRDefault="0071027C" w:rsidP="0071027C">
      <w:pPr>
        <w:autoSpaceDE w:val="0"/>
        <w:autoSpaceDN w:val="0"/>
        <w:adjustRightInd w:val="0"/>
        <w:spacing w:before="120" w:after="120" w:line="240" w:lineRule="auto"/>
        <w:jc w:val="both"/>
        <w:rPr>
          <w:rFonts w:ascii="Arial" w:hAnsi="Arial" w:cs="Arial"/>
        </w:rPr>
      </w:pPr>
      <w:r w:rsidRPr="00836ED5">
        <w:rPr>
          <w:rFonts w:ascii="Arial" w:hAnsi="Arial" w:cs="Arial"/>
        </w:rPr>
        <w:t>Rational drug use is the process of delivering medication that is appropriate to a patient’s clinical needs at the appropriate frequency and duration and at the lowest cost.</w:t>
      </w:r>
    </w:p>
    <w:p w:rsidR="0071027C" w:rsidRPr="00836ED5" w:rsidRDefault="0071027C" w:rsidP="0071027C">
      <w:pPr>
        <w:autoSpaceDE w:val="0"/>
        <w:autoSpaceDN w:val="0"/>
        <w:adjustRightInd w:val="0"/>
        <w:spacing w:before="120" w:after="120" w:line="240" w:lineRule="auto"/>
        <w:jc w:val="both"/>
        <w:rPr>
          <w:rFonts w:ascii="Arial" w:hAnsi="Arial" w:cs="Arial"/>
        </w:rPr>
      </w:pPr>
      <w:r w:rsidRPr="00836ED5">
        <w:rPr>
          <w:rFonts w:ascii="Arial" w:hAnsi="Arial" w:cs="Arial"/>
        </w:rPr>
        <w:t xml:space="preserve">ART is a lifelong treatment that is in constant development. It is therefore very important to use </w:t>
      </w:r>
      <w:r w:rsidRPr="00836ED5">
        <w:rPr>
          <w:rFonts w:ascii="Arial" w:hAnsi="Arial" w:cs="Arial"/>
        </w:rPr>
        <w:lastRenderedPageBreak/>
        <w:t>drugs rationally since irrational drug use may have unwanted consequences at both individual and population levels, including:</w:t>
      </w:r>
    </w:p>
    <w:p w:rsidR="0071027C" w:rsidRPr="00836ED5" w:rsidRDefault="0071027C" w:rsidP="00274941">
      <w:pPr>
        <w:pStyle w:val="ListParagraph"/>
        <w:numPr>
          <w:ilvl w:val="0"/>
          <w:numId w:val="3"/>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Treatment failure</w:t>
      </w:r>
    </w:p>
    <w:p w:rsidR="0071027C" w:rsidRPr="00836ED5" w:rsidRDefault="0071027C" w:rsidP="00274941">
      <w:pPr>
        <w:pStyle w:val="ListParagraph"/>
        <w:numPr>
          <w:ilvl w:val="0"/>
          <w:numId w:val="3"/>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Widespread drug resistance</w:t>
      </w:r>
    </w:p>
    <w:p w:rsidR="0071027C" w:rsidRPr="00836ED5" w:rsidRDefault="0071027C" w:rsidP="00274941">
      <w:pPr>
        <w:pStyle w:val="ListParagraph"/>
        <w:numPr>
          <w:ilvl w:val="0"/>
          <w:numId w:val="3"/>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An increase in the risk of toxicity</w:t>
      </w:r>
    </w:p>
    <w:p w:rsidR="0071027C" w:rsidRPr="00836ED5" w:rsidRDefault="0071027C" w:rsidP="00274941">
      <w:pPr>
        <w:pStyle w:val="ListParagraph"/>
        <w:numPr>
          <w:ilvl w:val="0"/>
          <w:numId w:val="3"/>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Increased cost for treatment of patients due to the need to use expensive medication as a result of irrational use and treatment failure.</w:t>
      </w:r>
    </w:p>
    <w:p w:rsidR="0071027C" w:rsidRPr="00836ED5" w:rsidRDefault="0071027C" w:rsidP="0071027C">
      <w:pPr>
        <w:pStyle w:val="Heading3"/>
      </w:pPr>
      <w:bookmarkStart w:id="93" w:name="_Toc373762859"/>
      <w:bookmarkStart w:id="94" w:name="_Toc378258098"/>
      <w:bookmarkStart w:id="95" w:name="_Toc382213954"/>
      <w:r w:rsidRPr="00836ED5">
        <w:t>2.7.3 Prescriptions</w:t>
      </w:r>
      <w:bookmarkEnd w:id="93"/>
      <w:bookmarkEnd w:id="94"/>
      <w:bookmarkEnd w:id="95"/>
    </w:p>
    <w:p w:rsidR="0071027C" w:rsidRPr="00836ED5" w:rsidRDefault="0071027C" w:rsidP="0071027C">
      <w:pPr>
        <w:autoSpaceDE w:val="0"/>
        <w:autoSpaceDN w:val="0"/>
        <w:adjustRightInd w:val="0"/>
        <w:spacing w:before="120" w:after="120" w:line="240" w:lineRule="auto"/>
        <w:jc w:val="both"/>
        <w:rPr>
          <w:rFonts w:ascii="Arial" w:hAnsi="Arial" w:cs="Arial"/>
        </w:rPr>
      </w:pPr>
      <w:r w:rsidRPr="00836ED5">
        <w:rPr>
          <w:rFonts w:ascii="Arial" w:hAnsi="Arial" w:cs="Arial"/>
        </w:rPr>
        <w:t>Only trained and authorized prescribers in certified health care facilities are allowed to write ARV prescriptions.</w:t>
      </w:r>
    </w:p>
    <w:p w:rsidR="0071027C" w:rsidRPr="00836ED5" w:rsidRDefault="0071027C" w:rsidP="0071027C">
      <w:pPr>
        <w:autoSpaceDE w:val="0"/>
        <w:autoSpaceDN w:val="0"/>
        <w:adjustRightInd w:val="0"/>
        <w:spacing w:before="120" w:after="120" w:line="240" w:lineRule="auto"/>
        <w:jc w:val="both"/>
        <w:rPr>
          <w:rFonts w:ascii="Arial" w:hAnsi="Arial" w:cs="Arial"/>
        </w:rPr>
      </w:pPr>
      <w:r w:rsidRPr="00836ED5">
        <w:rPr>
          <w:rFonts w:ascii="Arial" w:hAnsi="Arial" w:cs="Arial"/>
        </w:rPr>
        <w:t>ARV</w:t>
      </w:r>
      <w:r>
        <w:rPr>
          <w:rFonts w:ascii="Arial" w:hAnsi="Arial" w:cs="Arial"/>
        </w:rPr>
        <w:t xml:space="preserve"> </w:t>
      </w:r>
      <w:r w:rsidRPr="00836ED5">
        <w:rPr>
          <w:rFonts w:ascii="Arial" w:hAnsi="Arial" w:cs="Arial"/>
        </w:rPr>
        <w:t>prescription should indicate name, age, sex of patient, medicines and dosage, and should also include name, signature and prescriber’s code</w:t>
      </w:r>
      <w:r>
        <w:rPr>
          <w:rFonts w:ascii="Arial" w:hAnsi="Arial" w:cs="Arial"/>
        </w:rPr>
        <w:t>.</w:t>
      </w:r>
      <w:r w:rsidRPr="00836ED5">
        <w:rPr>
          <w:rFonts w:ascii="Arial" w:hAnsi="Arial" w:cs="Arial"/>
        </w:rPr>
        <w:t xml:space="preserve"> </w:t>
      </w:r>
    </w:p>
    <w:p w:rsidR="0071027C" w:rsidRPr="00836ED5" w:rsidRDefault="0071027C" w:rsidP="0071027C">
      <w:pPr>
        <w:pStyle w:val="Heading3"/>
      </w:pPr>
      <w:bookmarkStart w:id="96" w:name="_Toc373762860"/>
      <w:bookmarkStart w:id="97" w:name="_Toc378258099"/>
      <w:bookmarkStart w:id="98" w:name="_Toc382213955"/>
      <w:r w:rsidRPr="00836ED5">
        <w:t>2.7.4 Dispensing</w:t>
      </w:r>
      <w:bookmarkEnd w:id="96"/>
      <w:bookmarkEnd w:id="97"/>
      <w:bookmarkEnd w:id="98"/>
    </w:p>
    <w:p w:rsidR="0071027C" w:rsidRPr="00836ED5" w:rsidRDefault="0071027C" w:rsidP="0071027C">
      <w:pPr>
        <w:autoSpaceDE w:val="0"/>
        <w:autoSpaceDN w:val="0"/>
        <w:adjustRightInd w:val="0"/>
        <w:spacing w:before="120" w:after="120" w:line="240" w:lineRule="auto"/>
        <w:jc w:val="both"/>
        <w:rPr>
          <w:rFonts w:ascii="Arial" w:hAnsi="Arial" w:cs="Arial"/>
        </w:rPr>
      </w:pPr>
      <w:r w:rsidRPr="00836ED5">
        <w:rPr>
          <w:rFonts w:ascii="Arial" w:hAnsi="Arial" w:cs="Arial"/>
        </w:rPr>
        <w:t>Antiretroviral drugs are prescription-only medicines to be dispensed to treatment-ready patients with instructions and advice</w:t>
      </w:r>
      <w:r>
        <w:rPr>
          <w:rFonts w:ascii="Arial" w:hAnsi="Arial" w:cs="Arial"/>
        </w:rPr>
        <w:t xml:space="preserve"> </w:t>
      </w:r>
      <w:r w:rsidRPr="00836ED5">
        <w:rPr>
          <w:rFonts w:ascii="Arial" w:hAnsi="Arial" w:cs="Arial"/>
        </w:rPr>
        <w:t>given through a named patient or appointed adherence assistant. Adequate time should be scheduled for antiretroviral dispensing and counselling.</w:t>
      </w:r>
    </w:p>
    <w:p w:rsidR="0071027C" w:rsidRPr="00836ED5" w:rsidRDefault="0071027C" w:rsidP="0071027C">
      <w:pPr>
        <w:autoSpaceDE w:val="0"/>
        <w:autoSpaceDN w:val="0"/>
        <w:adjustRightInd w:val="0"/>
        <w:spacing w:before="120" w:after="120" w:line="240" w:lineRule="auto"/>
        <w:jc w:val="both"/>
        <w:rPr>
          <w:rFonts w:ascii="Arial" w:hAnsi="Arial" w:cs="Arial"/>
        </w:rPr>
      </w:pPr>
      <w:r w:rsidRPr="00836ED5">
        <w:rPr>
          <w:rFonts w:ascii="Arial" w:hAnsi="Arial" w:cs="Arial"/>
        </w:rPr>
        <w:t>The pharmacist/dispenser should ensure the patient understands the dosage and drug intake schedule and instructions for storage and food requirements. The dispenser should also inform</w:t>
      </w:r>
      <w:r>
        <w:rPr>
          <w:rFonts w:ascii="Arial" w:hAnsi="Arial" w:cs="Arial"/>
        </w:rPr>
        <w:t xml:space="preserve"> </w:t>
      </w:r>
      <w:r w:rsidRPr="00836ED5">
        <w:rPr>
          <w:rFonts w:ascii="Arial" w:hAnsi="Arial" w:cs="Arial"/>
        </w:rPr>
        <w:t>patients about possible side effects, respond to specific questions and problems encountered by patients and advise</w:t>
      </w:r>
      <w:r>
        <w:rPr>
          <w:rFonts w:ascii="Arial" w:hAnsi="Arial" w:cs="Arial"/>
        </w:rPr>
        <w:t xml:space="preserve"> </w:t>
      </w:r>
      <w:r w:rsidRPr="00836ED5">
        <w:rPr>
          <w:rFonts w:ascii="Arial" w:hAnsi="Arial" w:cs="Arial"/>
        </w:rPr>
        <w:t>on measures to be taken to reduce side effects including immediate return to the clinic when that happens.</w:t>
      </w:r>
    </w:p>
    <w:p w:rsidR="0071027C" w:rsidRPr="00836ED5" w:rsidRDefault="0071027C" w:rsidP="0071027C">
      <w:pPr>
        <w:pStyle w:val="Heading3"/>
        <w:rPr>
          <w:szCs w:val="24"/>
        </w:rPr>
      </w:pPr>
      <w:bookmarkStart w:id="99" w:name="_Toc373762861"/>
      <w:bookmarkStart w:id="100" w:name="_Toc378258100"/>
      <w:bookmarkStart w:id="101" w:name="_Toc382213956"/>
      <w:r w:rsidRPr="00836ED5">
        <w:rPr>
          <w:szCs w:val="24"/>
        </w:rPr>
        <w:t>2.7.5 Records</w:t>
      </w:r>
      <w:bookmarkEnd w:id="99"/>
      <w:bookmarkEnd w:id="100"/>
      <w:bookmarkEnd w:id="101"/>
    </w:p>
    <w:p w:rsidR="0071027C" w:rsidRPr="00836ED5" w:rsidRDefault="0071027C" w:rsidP="0071027C">
      <w:pPr>
        <w:autoSpaceDE w:val="0"/>
        <w:autoSpaceDN w:val="0"/>
        <w:adjustRightInd w:val="0"/>
        <w:spacing w:before="120" w:after="120" w:line="240" w:lineRule="auto"/>
        <w:jc w:val="both"/>
        <w:rPr>
          <w:rFonts w:ascii="Arial" w:hAnsi="Arial" w:cs="Arial"/>
        </w:rPr>
      </w:pPr>
      <w:r w:rsidRPr="00836ED5">
        <w:rPr>
          <w:rFonts w:ascii="Arial" w:hAnsi="Arial" w:cs="Arial"/>
        </w:rPr>
        <w:t>To facilitate efficient administration and management of ARVs, all information regarding ARV issuance should be recorded in a dedicated register book (Dispensing registers/ or in the pharmacy database-module) and ART patient card.</w:t>
      </w:r>
    </w:p>
    <w:p w:rsidR="0071027C" w:rsidRPr="00836ED5" w:rsidRDefault="0071027C" w:rsidP="0071027C">
      <w:pPr>
        <w:pStyle w:val="Heading3"/>
        <w:rPr>
          <w:szCs w:val="24"/>
        </w:rPr>
      </w:pPr>
      <w:bookmarkStart w:id="102" w:name="_Toc373762862"/>
      <w:bookmarkStart w:id="103" w:name="_Toc378258101"/>
      <w:bookmarkStart w:id="104" w:name="_Toc382213957"/>
      <w:r w:rsidRPr="00836ED5">
        <w:rPr>
          <w:szCs w:val="24"/>
        </w:rPr>
        <w:t>2.7.6 Pharmacy Register</w:t>
      </w:r>
      <w:bookmarkEnd w:id="102"/>
      <w:bookmarkEnd w:id="103"/>
      <w:bookmarkEnd w:id="104"/>
    </w:p>
    <w:p w:rsidR="0071027C" w:rsidRPr="00836ED5" w:rsidRDefault="0071027C" w:rsidP="0071027C">
      <w:pPr>
        <w:autoSpaceDE w:val="0"/>
        <w:autoSpaceDN w:val="0"/>
        <w:adjustRightInd w:val="0"/>
        <w:spacing w:before="120" w:after="120" w:line="240" w:lineRule="auto"/>
        <w:jc w:val="both"/>
        <w:rPr>
          <w:rFonts w:ascii="Arial" w:hAnsi="Arial" w:cs="Arial"/>
        </w:rPr>
      </w:pPr>
      <w:r w:rsidRPr="00836ED5">
        <w:rPr>
          <w:rFonts w:ascii="Arial" w:hAnsi="Arial" w:cs="Arial"/>
        </w:rPr>
        <w:t>The pharmacist/dispenser should record all dispensed ARVs in a</w:t>
      </w:r>
      <w:r>
        <w:rPr>
          <w:rFonts w:ascii="Arial" w:hAnsi="Arial" w:cs="Arial"/>
        </w:rPr>
        <w:t xml:space="preserve"> </w:t>
      </w:r>
      <w:r w:rsidRPr="00836ED5">
        <w:rPr>
          <w:rFonts w:ascii="Arial" w:hAnsi="Arial" w:cs="Arial"/>
        </w:rPr>
        <w:t>register. In the facilities where pharmacy electronic database is available, patients’ information and medication should also be recorded. Reports on medicines consumption and stocks of medicines should be kept to enable facilities understand</w:t>
      </w:r>
      <w:r>
        <w:rPr>
          <w:rFonts w:ascii="Arial" w:hAnsi="Arial" w:cs="Arial"/>
        </w:rPr>
        <w:t xml:space="preserve"> </w:t>
      </w:r>
      <w:r w:rsidRPr="00836ED5">
        <w:rPr>
          <w:rFonts w:ascii="Arial" w:hAnsi="Arial" w:cs="Arial"/>
        </w:rPr>
        <w:t>their requirements. The reports should on a regular basis be sent to the MoHSW through the DMO for program monitoring and forecasting.</w:t>
      </w:r>
    </w:p>
    <w:p w:rsidR="0071027C" w:rsidRPr="00836ED5" w:rsidRDefault="0071027C" w:rsidP="0071027C">
      <w:pPr>
        <w:pStyle w:val="Heading3"/>
        <w:rPr>
          <w:szCs w:val="24"/>
        </w:rPr>
      </w:pPr>
      <w:bookmarkStart w:id="105" w:name="_Toc373762863"/>
      <w:bookmarkStart w:id="106" w:name="_Toc378258102"/>
      <w:bookmarkStart w:id="107" w:name="_Toc382213958"/>
      <w:r w:rsidRPr="00836ED5">
        <w:rPr>
          <w:szCs w:val="24"/>
        </w:rPr>
        <w:t>2.7.7 Patient Identification Cards</w:t>
      </w:r>
      <w:bookmarkEnd w:id="105"/>
      <w:bookmarkEnd w:id="106"/>
      <w:bookmarkEnd w:id="107"/>
    </w:p>
    <w:p w:rsidR="0071027C" w:rsidRPr="00836ED5" w:rsidRDefault="0071027C" w:rsidP="0071027C">
      <w:pPr>
        <w:autoSpaceDE w:val="0"/>
        <w:autoSpaceDN w:val="0"/>
        <w:adjustRightInd w:val="0"/>
        <w:spacing w:before="120" w:after="120" w:line="240" w:lineRule="auto"/>
        <w:jc w:val="both"/>
        <w:rPr>
          <w:rFonts w:ascii="Arial" w:hAnsi="Arial" w:cs="Arial"/>
        </w:rPr>
      </w:pPr>
      <w:r w:rsidRPr="00836ED5">
        <w:rPr>
          <w:rFonts w:ascii="Arial" w:hAnsi="Arial" w:cs="Arial"/>
        </w:rPr>
        <w:t>Each patient must be issued with a patient identification card, include for medication (CTC 1). Patients (or appointed adherence assistants) must present the cards to the dispenser every time they collect medicines and all medications must be recorded on the card.</w:t>
      </w:r>
    </w:p>
    <w:p w:rsidR="0071027C" w:rsidRPr="00836ED5" w:rsidRDefault="0071027C" w:rsidP="0071027C">
      <w:pPr>
        <w:pStyle w:val="Heading3"/>
      </w:pPr>
      <w:bookmarkStart w:id="108" w:name="_Toc373762864"/>
      <w:bookmarkStart w:id="109" w:name="_Toc378258103"/>
      <w:bookmarkStart w:id="110" w:name="_Toc382213959"/>
      <w:r w:rsidRPr="00836ED5">
        <w:t>2.7.8 Storage</w:t>
      </w:r>
      <w:bookmarkEnd w:id="108"/>
      <w:bookmarkEnd w:id="109"/>
      <w:bookmarkEnd w:id="110"/>
    </w:p>
    <w:p w:rsidR="0071027C" w:rsidRPr="00836ED5" w:rsidRDefault="0071027C" w:rsidP="0071027C">
      <w:pPr>
        <w:autoSpaceDE w:val="0"/>
        <w:autoSpaceDN w:val="0"/>
        <w:adjustRightInd w:val="0"/>
        <w:spacing w:before="120" w:after="120" w:line="240" w:lineRule="auto"/>
        <w:jc w:val="both"/>
        <w:rPr>
          <w:rFonts w:ascii="Arial" w:hAnsi="Arial" w:cs="Arial"/>
        </w:rPr>
      </w:pPr>
      <w:r w:rsidRPr="00836ED5">
        <w:rPr>
          <w:rFonts w:ascii="Arial" w:hAnsi="Arial" w:cs="Arial"/>
        </w:rPr>
        <w:t>For proper control and safety</w:t>
      </w:r>
      <w:r>
        <w:rPr>
          <w:rFonts w:ascii="Arial" w:hAnsi="Arial" w:cs="Arial"/>
        </w:rPr>
        <w:t xml:space="preserve"> </w:t>
      </w:r>
      <w:r w:rsidRPr="00836ED5">
        <w:rPr>
          <w:rFonts w:ascii="Arial" w:hAnsi="Arial" w:cs="Arial"/>
        </w:rPr>
        <w:t>of ARVs, the following procedures should be followed by facility pharmacies:</w:t>
      </w:r>
    </w:p>
    <w:p w:rsidR="0071027C" w:rsidRPr="00836ED5" w:rsidRDefault="0071027C" w:rsidP="00274941">
      <w:pPr>
        <w:pStyle w:val="ListParagraph"/>
        <w:numPr>
          <w:ilvl w:val="0"/>
          <w:numId w:val="4"/>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Stock must be stored in a secure area with one pharmacist/technician responsible for receipts and issues.</w:t>
      </w:r>
    </w:p>
    <w:p w:rsidR="0071027C" w:rsidRPr="00836ED5" w:rsidRDefault="0071027C" w:rsidP="00274941">
      <w:pPr>
        <w:pStyle w:val="ListParagraph"/>
        <w:numPr>
          <w:ilvl w:val="0"/>
          <w:numId w:val="4"/>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lastRenderedPageBreak/>
        <w:t xml:space="preserve">Stock records be kept for all receipts and issues with running balances, and make a ledger for each item. </w:t>
      </w:r>
    </w:p>
    <w:p w:rsidR="0071027C" w:rsidRPr="00836ED5" w:rsidRDefault="0071027C" w:rsidP="00274941">
      <w:pPr>
        <w:pStyle w:val="ListParagraph"/>
        <w:numPr>
          <w:ilvl w:val="0"/>
          <w:numId w:val="4"/>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 xml:space="preserve">ARVs must be stored at appropriate temperatures and refrigerated where recommended e.g. suspensions. </w:t>
      </w:r>
    </w:p>
    <w:p w:rsidR="0071027C" w:rsidRPr="00836ED5" w:rsidRDefault="0071027C" w:rsidP="00274941">
      <w:pPr>
        <w:pStyle w:val="ListParagraph"/>
        <w:numPr>
          <w:ilvl w:val="0"/>
          <w:numId w:val="4"/>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Commodities must be stored according to first-to-expire first-out (FEFO) procedure and stock management.</w:t>
      </w:r>
    </w:p>
    <w:p w:rsidR="0071027C" w:rsidRPr="00836ED5" w:rsidRDefault="0071027C" w:rsidP="00274941">
      <w:pPr>
        <w:pStyle w:val="ListParagraph"/>
        <w:numPr>
          <w:ilvl w:val="0"/>
          <w:numId w:val="4"/>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Damaged/expired commodities to be separated in the inventory and disposed using laid-out procedures</w:t>
      </w:r>
    </w:p>
    <w:p w:rsidR="0071027C" w:rsidRPr="00836ED5" w:rsidRDefault="0071027C" w:rsidP="00274941">
      <w:pPr>
        <w:pStyle w:val="ListParagraph"/>
        <w:numPr>
          <w:ilvl w:val="0"/>
          <w:numId w:val="4"/>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Adequate stocks of ARVs (first line, second line, adults, pediatric etc) should be maintained at all times.</w:t>
      </w:r>
    </w:p>
    <w:p w:rsidR="0071027C" w:rsidRPr="00836ED5" w:rsidRDefault="0071027C" w:rsidP="0071027C">
      <w:pPr>
        <w:pStyle w:val="Heading3"/>
      </w:pPr>
      <w:bookmarkStart w:id="111" w:name="_Toc373762865"/>
      <w:bookmarkStart w:id="112" w:name="_Toc378258104"/>
      <w:bookmarkStart w:id="113" w:name="_Toc382213960"/>
      <w:r w:rsidRPr="00836ED5">
        <w:t>2.7.9 Procurement</w:t>
      </w:r>
      <w:bookmarkEnd w:id="111"/>
      <w:bookmarkEnd w:id="112"/>
      <w:bookmarkEnd w:id="113"/>
    </w:p>
    <w:p w:rsidR="0071027C" w:rsidRPr="00836ED5" w:rsidRDefault="0071027C" w:rsidP="0071027C">
      <w:pPr>
        <w:autoSpaceDE w:val="0"/>
        <w:autoSpaceDN w:val="0"/>
        <w:adjustRightInd w:val="0"/>
        <w:spacing w:before="120" w:after="120" w:line="240" w:lineRule="auto"/>
        <w:jc w:val="both"/>
        <w:rPr>
          <w:rFonts w:ascii="Arial" w:hAnsi="Arial" w:cs="Arial"/>
        </w:rPr>
      </w:pPr>
      <w:r w:rsidRPr="00836ED5">
        <w:rPr>
          <w:rFonts w:ascii="Arial" w:hAnsi="Arial" w:cs="Arial"/>
        </w:rPr>
        <w:t>Procurement of ARVs is done by Medical Stores Department (MSD) which also</w:t>
      </w:r>
      <w:r>
        <w:rPr>
          <w:rFonts w:ascii="Arial" w:hAnsi="Arial" w:cs="Arial"/>
        </w:rPr>
        <w:t xml:space="preserve"> </w:t>
      </w:r>
      <w:r w:rsidRPr="00836ED5">
        <w:rPr>
          <w:rFonts w:ascii="Arial" w:hAnsi="Arial" w:cs="Arial"/>
        </w:rPr>
        <w:t>distributes medicines to health facilities. Requisition of antiretroviral drugs from the facilities follows the same</w:t>
      </w:r>
      <w:r>
        <w:rPr>
          <w:rFonts w:ascii="Arial" w:hAnsi="Arial" w:cs="Arial"/>
        </w:rPr>
        <w:t xml:space="preserve"> </w:t>
      </w:r>
      <w:r w:rsidRPr="00836ED5">
        <w:rPr>
          <w:rFonts w:ascii="Arial" w:hAnsi="Arial" w:cs="Arial"/>
        </w:rPr>
        <w:t>procedure as for other drugs except that a separate requisition form is used.</w:t>
      </w:r>
    </w:p>
    <w:p w:rsidR="0071027C" w:rsidRPr="00836ED5" w:rsidRDefault="0071027C" w:rsidP="0071027C">
      <w:pPr>
        <w:autoSpaceDE w:val="0"/>
        <w:autoSpaceDN w:val="0"/>
        <w:adjustRightInd w:val="0"/>
        <w:spacing w:before="120" w:after="120" w:line="240" w:lineRule="auto"/>
        <w:jc w:val="both"/>
        <w:rPr>
          <w:rFonts w:ascii="Arial" w:hAnsi="Arial" w:cs="Arial"/>
        </w:rPr>
      </w:pPr>
      <w:r w:rsidRPr="00836ED5">
        <w:rPr>
          <w:rFonts w:ascii="Arial" w:hAnsi="Arial" w:cs="Arial"/>
        </w:rPr>
        <w:t>On delivery</w:t>
      </w:r>
      <w:r>
        <w:rPr>
          <w:rFonts w:ascii="Arial" w:hAnsi="Arial" w:cs="Arial"/>
        </w:rPr>
        <w:t xml:space="preserve"> </w:t>
      </w:r>
      <w:r w:rsidRPr="00836ED5">
        <w:rPr>
          <w:rFonts w:ascii="Arial" w:hAnsi="Arial" w:cs="Arial"/>
        </w:rPr>
        <w:t>at the facility, the pharmacist shall check the ARVs brought by MSD and sign a</w:t>
      </w:r>
      <w:r>
        <w:rPr>
          <w:rFonts w:ascii="Arial" w:hAnsi="Arial" w:cs="Arial"/>
        </w:rPr>
        <w:t xml:space="preserve"> </w:t>
      </w:r>
      <w:r w:rsidRPr="00836ED5">
        <w:rPr>
          <w:rFonts w:ascii="Arial" w:hAnsi="Arial" w:cs="Arial"/>
        </w:rPr>
        <w:t>delivery note.</w:t>
      </w:r>
    </w:p>
    <w:p w:rsidR="0071027C" w:rsidRPr="00836ED5" w:rsidRDefault="0071027C" w:rsidP="0071027C">
      <w:pPr>
        <w:autoSpaceDE w:val="0"/>
        <w:autoSpaceDN w:val="0"/>
        <w:adjustRightInd w:val="0"/>
        <w:spacing w:before="120" w:after="120" w:line="240" w:lineRule="auto"/>
        <w:jc w:val="both"/>
        <w:rPr>
          <w:rFonts w:ascii="Arial" w:hAnsi="Arial" w:cs="Arial"/>
        </w:rPr>
      </w:pPr>
      <w:r w:rsidRPr="00836ED5">
        <w:rPr>
          <w:rFonts w:ascii="Arial" w:hAnsi="Arial" w:cs="Arial"/>
        </w:rPr>
        <w:t>An adequate buffer stock of drugs must be kept at all times and closely monitored to avoid stock outs.</w:t>
      </w:r>
    </w:p>
    <w:p w:rsidR="0071027C" w:rsidRPr="00836ED5" w:rsidRDefault="0071027C" w:rsidP="0071027C">
      <w:pPr>
        <w:pStyle w:val="Heading3"/>
        <w:rPr>
          <w:szCs w:val="24"/>
        </w:rPr>
      </w:pPr>
      <w:bookmarkStart w:id="114" w:name="_Toc373762866"/>
      <w:bookmarkStart w:id="115" w:name="_Toc378258105"/>
      <w:bookmarkStart w:id="116" w:name="_Toc382213961"/>
      <w:r w:rsidRPr="00836ED5">
        <w:rPr>
          <w:szCs w:val="24"/>
        </w:rPr>
        <w:t>2.7.10 Ordering ARVs</w:t>
      </w:r>
      <w:bookmarkEnd w:id="114"/>
      <w:bookmarkEnd w:id="115"/>
      <w:bookmarkEnd w:id="116"/>
    </w:p>
    <w:p w:rsidR="0071027C" w:rsidRPr="00836ED5" w:rsidRDefault="0071027C" w:rsidP="0071027C">
      <w:pPr>
        <w:autoSpaceDE w:val="0"/>
        <w:autoSpaceDN w:val="0"/>
        <w:adjustRightInd w:val="0"/>
        <w:spacing w:before="120" w:after="120"/>
        <w:jc w:val="both"/>
        <w:rPr>
          <w:rFonts w:ascii="Arial" w:hAnsi="Arial" w:cs="Arial"/>
        </w:rPr>
      </w:pPr>
      <w:r w:rsidRPr="00836ED5">
        <w:rPr>
          <w:rFonts w:ascii="Arial" w:hAnsi="Arial" w:cs="Arial"/>
        </w:rPr>
        <w:t>Ordering of ARVs will be done by the pharmacist using the “Integrated Logistic System” (ILS) forms:  The built-in inventory control system is designed to ensure that drugs are ordered on quarterly basis using existing stock levels and not morbidity data.</w:t>
      </w:r>
    </w:p>
    <w:p w:rsidR="0071027C" w:rsidRPr="00836ED5" w:rsidRDefault="0071027C" w:rsidP="0071027C">
      <w:pPr>
        <w:autoSpaceDE w:val="0"/>
        <w:autoSpaceDN w:val="0"/>
        <w:adjustRightInd w:val="0"/>
        <w:spacing w:before="120" w:after="120"/>
        <w:jc w:val="both"/>
        <w:rPr>
          <w:rFonts w:ascii="Arial" w:hAnsi="Arial" w:cs="Arial"/>
        </w:rPr>
      </w:pPr>
      <w:r w:rsidRPr="00836ED5">
        <w:rPr>
          <w:rFonts w:ascii="Arial" w:hAnsi="Arial" w:cs="Arial"/>
        </w:rPr>
        <w:t>Data on the consumption of antiretroviral medicines must be kept and sent to the MOHSW yearly</w:t>
      </w:r>
    </w:p>
    <w:p w:rsidR="0071027C" w:rsidRPr="00836ED5" w:rsidRDefault="0071027C" w:rsidP="0071027C">
      <w:pPr>
        <w:autoSpaceDE w:val="0"/>
        <w:autoSpaceDN w:val="0"/>
        <w:adjustRightInd w:val="0"/>
        <w:spacing w:before="120" w:after="120"/>
        <w:jc w:val="both"/>
        <w:rPr>
          <w:rFonts w:ascii="Arial" w:hAnsi="Arial" w:cs="Arial"/>
        </w:rPr>
      </w:pPr>
      <w:r w:rsidRPr="00836ED5">
        <w:rPr>
          <w:rFonts w:ascii="Arial" w:hAnsi="Arial" w:cs="Arial"/>
        </w:rPr>
        <w:t>Orders to MSD should be made well in advance to allow supplies to reach the facilities in good time.</w:t>
      </w:r>
    </w:p>
    <w:p w:rsidR="0071027C" w:rsidRPr="00836ED5" w:rsidRDefault="0071027C" w:rsidP="0071027C">
      <w:pPr>
        <w:pStyle w:val="Heading3"/>
        <w:rPr>
          <w:szCs w:val="24"/>
        </w:rPr>
      </w:pPr>
      <w:bookmarkStart w:id="117" w:name="_Toc373762867"/>
      <w:bookmarkStart w:id="118" w:name="_Toc378258106"/>
      <w:bookmarkStart w:id="119" w:name="_Toc382213962"/>
      <w:r w:rsidRPr="00836ED5">
        <w:rPr>
          <w:szCs w:val="24"/>
        </w:rPr>
        <w:t>2.7.11 Collaborating with Clinical Staff</w:t>
      </w:r>
      <w:bookmarkEnd w:id="117"/>
      <w:bookmarkEnd w:id="118"/>
      <w:bookmarkEnd w:id="119"/>
    </w:p>
    <w:p w:rsidR="0071027C" w:rsidRPr="00836ED5" w:rsidRDefault="0071027C" w:rsidP="0071027C">
      <w:pPr>
        <w:autoSpaceDE w:val="0"/>
        <w:autoSpaceDN w:val="0"/>
        <w:adjustRightInd w:val="0"/>
        <w:spacing w:before="120" w:after="120"/>
        <w:jc w:val="both"/>
        <w:rPr>
          <w:rFonts w:ascii="Arial" w:hAnsi="Arial" w:cs="Arial"/>
        </w:rPr>
      </w:pPr>
      <w:r w:rsidRPr="00836ED5">
        <w:rPr>
          <w:rFonts w:ascii="Arial" w:hAnsi="Arial" w:cs="Arial"/>
        </w:rPr>
        <w:t>The pharmacist works with clinical staff to estimate the number of expected patients to be enrolled.</w:t>
      </w:r>
    </w:p>
    <w:p w:rsidR="0071027C" w:rsidRPr="00836ED5" w:rsidRDefault="0071027C" w:rsidP="0071027C">
      <w:pPr>
        <w:autoSpaceDE w:val="0"/>
        <w:autoSpaceDN w:val="0"/>
        <w:adjustRightInd w:val="0"/>
        <w:spacing w:before="120" w:after="120"/>
        <w:jc w:val="both"/>
        <w:rPr>
          <w:rFonts w:ascii="Arial" w:hAnsi="Arial" w:cs="Arial"/>
        </w:rPr>
      </w:pPr>
      <w:r w:rsidRPr="00836ED5">
        <w:rPr>
          <w:rFonts w:ascii="Arial" w:hAnsi="Arial" w:cs="Arial"/>
        </w:rPr>
        <w:t xml:space="preserve">The pharmacist needs to keep clinical staff informed of ARV stock levels </w:t>
      </w:r>
      <w:r>
        <w:rPr>
          <w:rFonts w:ascii="Arial" w:hAnsi="Arial" w:cs="Arial"/>
        </w:rPr>
        <w:t xml:space="preserve">on </w:t>
      </w:r>
      <w:r w:rsidRPr="00836ED5">
        <w:rPr>
          <w:rFonts w:ascii="Arial" w:hAnsi="Arial" w:cs="Arial"/>
        </w:rPr>
        <w:t>regular</w:t>
      </w:r>
      <w:r>
        <w:rPr>
          <w:rFonts w:ascii="Arial" w:hAnsi="Arial" w:cs="Arial"/>
        </w:rPr>
        <w:t xml:space="preserve"> basis</w:t>
      </w:r>
      <w:r w:rsidRPr="00836ED5">
        <w:rPr>
          <w:rFonts w:ascii="Arial" w:hAnsi="Arial" w:cs="Arial"/>
        </w:rPr>
        <w:t>. Supply shortages should be communicated</w:t>
      </w:r>
      <w:r>
        <w:rPr>
          <w:rFonts w:ascii="Arial" w:hAnsi="Arial" w:cs="Arial"/>
        </w:rPr>
        <w:t xml:space="preserve"> </w:t>
      </w:r>
      <w:r w:rsidRPr="00836ED5">
        <w:rPr>
          <w:rFonts w:ascii="Arial" w:hAnsi="Arial" w:cs="Arial"/>
        </w:rPr>
        <w:t>to clinical staff by the pharmacist so that the best course of action can be pursued.</w:t>
      </w:r>
    </w:p>
    <w:p w:rsidR="0071027C" w:rsidRPr="00836ED5" w:rsidRDefault="0071027C" w:rsidP="0071027C">
      <w:pPr>
        <w:pStyle w:val="Heading3"/>
        <w:rPr>
          <w:szCs w:val="24"/>
        </w:rPr>
      </w:pPr>
      <w:bookmarkStart w:id="120" w:name="_Toc373762868"/>
      <w:bookmarkStart w:id="121" w:name="_Toc378258107"/>
      <w:bookmarkStart w:id="122" w:name="_Toc382213963"/>
      <w:r w:rsidRPr="00836ED5">
        <w:rPr>
          <w:szCs w:val="24"/>
        </w:rPr>
        <w:t>2.7.12 Monitoring of Adverse Drug Events</w:t>
      </w:r>
      <w:bookmarkEnd w:id="120"/>
      <w:bookmarkEnd w:id="121"/>
      <w:bookmarkEnd w:id="122"/>
    </w:p>
    <w:p w:rsidR="0071027C" w:rsidRPr="00836ED5" w:rsidRDefault="0071027C" w:rsidP="0071027C">
      <w:pPr>
        <w:autoSpaceDE w:val="0"/>
        <w:autoSpaceDN w:val="0"/>
        <w:adjustRightInd w:val="0"/>
        <w:spacing w:before="120" w:after="120"/>
        <w:jc w:val="both"/>
        <w:rPr>
          <w:rFonts w:ascii="Arial" w:hAnsi="Arial" w:cs="Arial"/>
        </w:rPr>
      </w:pPr>
      <w:r w:rsidRPr="00836ED5">
        <w:rPr>
          <w:rFonts w:ascii="Arial" w:hAnsi="Arial" w:cs="Arial"/>
        </w:rPr>
        <w:t>Monitoring involves continuous reviewing of program performance against its targets. Drug Management system monitoring helps to ensure that:</w:t>
      </w:r>
    </w:p>
    <w:p w:rsidR="0071027C" w:rsidRPr="00836ED5" w:rsidRDefault="0071027C" w:rsidP="00274941">
      <w:pPr>
        <w:pStyle w:val="ListParagraph"/>
        <w:numPr>
          <w:ilvl w:val="0"/>
          <w:numId w:val="4"/>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clients get the health commodities they need when they need them</w:t>
      </w:r>
    </w:p>
    <w:p w:rsidR="0071027C" w:rsidRPr="00836ED5" w:rsidRDefault="0071027C" w:rsidP="00274941">
      <w:pPr>
        <w:pStyle w:val="ListParagraph"/>
        <w:numPr>
          <w:ilvl w:val="0"/>
          <w:numId w:val="4"/>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planned logistics activities are carried out according to schedule</w:t>
      </w:r>
    </w:p>
    <w:p w:rsidR="0071027C" w:rsidRPr="00836ED5" w:rsidRDefault="0071027C" w:rsidP="00274941">
      <w:pPr>
        <w:pStyle w:val="ListParagraph"/>
        <w:numPr>
          <w:ilvl w:val="0"/>
          <w:numId w:val="4"/>
        </w:numPr>
        <w:autoSpaceDE w:val="0"/>
        <w:autoSpaceDN w:val="0"/>
        <w:adjustRightInd w:val="0"/>
        <w:contextualSpacing w:val="0"/>
        <w:jc w:val="both"/>
        <w:rPr>
          <w:rFonts w:ascii="Arial" w:hAnsi="Arial" w:cs="Arial"/>
          <w:sz w:val="22"/>
          <w:szCs w:val="22"/>
        </w:rPr>
      </w:pPr>
      <w:r w:rsidRPr="00836ED5">
        <w:rPr>
          <w:rFonts w:ascii="Arial" w:hAnsi="Arial" w:cs="Arial"/>
          <w:sz w:val="22"/>
          <w:szCs w:val="22"/>
        </w:rPr>
        <w:t>records are well</w:t>
      </w:r>
      <w:r>
        <w:rPr>
          <w:rFonts w:ascii="Arial" w:hAnsi="Arial" w:cs="Arial"/>
          <w:sz w:val="22"/>
          <w:szCs w:val="22"/>
        </w:rPr>
        <w:t xml:space="preserve"> </w:t>
      </w:r>
      <w:r w:rsidRPr="00836ED5">
        <w:rPr>
          <w:rFonts w:ascii="Arial" w:hAnsi="Arial" w:cs="Arial"/>
          <w:sz w:val="22"/>
          <w:szCs w:val="22"/>
        </w:rPr>
        <w:t xml:space="preserve">maintained and reports submitted in a timely manner for re-supply </w:t>
      </w:r>
    </w:p>
    <w:p w:rsidR="0071027C" w:rsidRPr="00836ED5" w:rsidRDefault="0071027C" w:rsidP="0071027C">
      <w:pPr>
        <w:autoSpaceDE w:val="0"/>
        <w:autoSpaceDN w:val="0"/>
        <w:adjustRightInd w:val="0"/>
        <w:spacing w:before="120" w:after="120"/>
        <w:jc w:val="both"/>
        <w:rPr>
          <w:rFonts w:ascii="Arial" w:hAnsi="Arial" w:cs="Arial"/>
        </w:rPr>
      </w:pPr>
      <w:r w:rsidRPr="00836ED5">
        <w:rPr>
          <w:rFonts w:ascii="Arial" w:hAnsi="Arial" w:cs="Arial"/>
        </w:rPr>
        <w:t xml:space="preserve">Monitoring and reporting of adverse drug events should be done according to Tanzania Food </w:t>
      </w:r>
      <w:r w:rsidRPr="00836ED5">
        <w:rPr>
          <w:rFonts w:ascii="Arial" w:hAnsi="Arial" w:cs="Arial"/>
        </w:rPr>
        <w:lastRenderedPageBreak/>
        <w:t>and Drug Authority guideline. Adverse drug reactions reporting forms (yellow forms) will be distributed to all CTCs.</w:t>
      </w:r>
    </w:p>
    <w:p w:rsidR="0071027C" w:rsidRPr="00836ED5" w:rsidRDefault="0071027C" w:rsidP="0071027C">
      <w:pPr>
        <w:pStyle w:val="Heading3"/>
        <w:rPr>
          <w:szCs w:val="24"/>
        </w:rPr>
      </w:pPr>
      <w:bookmarkStart w:id="123" w:name="_Toc373762869"/>
      <w:bookmarkStart w:id="124" w:name="_Toc378258108"/>
      <w:bookmarkStart w:id="125" w:name="_Toc382213964"/>
      <w:r w:rsidRPr="00836ED5">
        <w:rPr>
          <w:szCs w:val="24"/>
        </w:rPr>
        <w:t>2.7.13 Audit</w:t>
      </w:r>
      <w:bookmarkEnd w:id="123"/>
      <w:bookmarkEnd w:id="124"/>
      <w:bookmarkEnd w:id="125"/>
    </w:p>
    <w:p w:rsidR="0071027C" w:rsidRPr="00836ED5" w:rsidRDefault="0071027C" w:rsidP="0071027C">
      <w:pPr>
        <w:autoSpaceDE w:val="0"/>
        <w:autoSpaceDN w:val="0"/>
        <w:adjustRightInd w:val="0"/>
        <w:spacing w:before="120" w:after="120"/>
        <w:jc w:val="both"/>
        <w:rPr>
          <w:rFonts w:ascii="Arial" w:hAnsi="Arial" w:cs="Arial"/>
        </w:rPr>
      </w:pPr>
      <w:r w:rsidRPr="00836ED5">
        <w:rPr>
          <w:rFonts w:ascii="Arial" w:hAnsi="Arial" w:cs="Arial"/>
        </w:rPr>
        <w:t>Procurement, storage, distribution, dispensing procedures, records and stocks will be subject to internal and external audit. Given the cost and complexities of handling ARVs, frequent auditing is anticipated.</w:t>
      </w:r>
      <w:bookmarkEnd w:id="80"/>
    </w:p>
    <w:p w:rsidR="0071027C" w:rsidRPr="00836ED5" w:rsidRDefault="0071027C" w:rsidP="0071027C">
      <w:pPr>
        <w:autoSpaceDE w:val="0"/>
        <w:autoSpaceDN w:val="0"/>
        <w:adjustRightInd w:val="0"/>
        <w:spacing w:before="120" w:after="120"/>
        <w:jc w:val="both"/>
        <w:rPr>
          <w:rFonts w:ascii="Arial" w:hAnsi="Arial" w:cs="Arial"/>
        </w:rPr>
      </w:pPr>
    </w:p>
    <w:p w:rsidR="00F4045D" w:rsidRDefault="00F4045D"/>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AE55A9" w:rsidRDefault="00AE55A9" w:rsidP="0071027C">
      <w:pPr>
        <w:pStyle w:val="Heading1"/>
        <w:rPr>
          <w:rFonts w:eastAsia="Times New Roman"/>
        </w:rPr>
        <w:sectPr w:rsidR="00AE55A9" w:rsidSect="0027452F">
          <w:pgSz w:w="12240" w:h="15840"/>
          <w:pgMar w:top="1440" w:right="1440" w:bottom="1440" w:left="1440" w:header="720" w:footer="720" w:gutter="0"/>
          <w:cols w:space="720"/>
          <w:docGrid w:linePitch="360"/>
        </w:sectPr>
      </w:pPr>
      <w:bookmarkStart w:id="126" w:name="_Toc373761270"/>
      <w:bookmarkStart w:id="127" w:name="_Toc378258109"/>
      <w:bookmarkStart w:id="128" w:name="_Toc382213965"/>
    </w:p>
    <w:p w:rsidR="0071027C" w:rsidRPr="007E20BD" w:rsidRDefault="0071027C" w:rsidP="0071027C">
      <w:pPr>
        <w:pStyle w:val="Heading1"/>
        <w:rPr>
          <w:rFonts w:eastAsia="Times New Roman"/>
        </w:rPr>
      </w:pPr>
      <w:r w:rsidRPr="007E20BD">
        <w:rPr>
          <w:rFonts w:eastAsia="Times New Roman"/>
        </w:rPr>
        <w:lastRenderedPageBreak/>
        <w:t>CHAPTER 3: HIV TESTING AND COUNSELING (HTC)</w:t>
      </w:r>
      <w:bookmarkEnd w:id="126"/>
      <w:bookmarkEnd w:id="127"/>
      <w:bookmarkEnd w:id="128"/>
    </w:p>
    <w:p w:rsidR="0071027C" w:rsidRPr="00A27C90" w:rsidRDefault="0071027C" w:rsidP="0071027C">
      <w:pPr>
        <w:pStyle w:val="Heading2"/>
        <w:rPr>
          <w:rFonts w:ascii="Times New Roman" w:eastAsia="MS Mincho" w:hAnsi="Times New Roman"/>
          <w:lang w:val="en-GB" w:eastAsia="ja-JP"/>
        </w:rPr>
      </w:pPr>
      <w:bookmarkStart w:id="129" w:name="_Toc373761271"/>
      <w:bookmarkStart w:id="130" w:name="_Toc378258110"/>
      <w:bookmarkStart w:id="131" w:name="_Toc382213966"/>
      <w:r>
        <w:rPr>
          <w:rFonts w:eastAsia="Times New Roman"/>
        </w:rPr>
        <w:t xml:space="preserve">3.1 </w:t>
      </w:r>
      <w:r w:rsidRPr="00A27C90">
        <w:rPr>
          <w:rFonts w:eastAsia="Times New Roman"/>
        </w:rPr>
        <w:t>Introduction</w:t>
      </w:r>
      <w:bookmarkEnd w:id="129"/>
      <w:bookmarkEnd w:id="130"/>
      <w:bookmarkEnd w:id="131"/>
    </w:p>
    <w:p w:rsidR="0071027C" w:rsidRPr="00493F3C" w:rsidRDefault="0071027C" w:rsidP="0071027C">
      <w:pPr>
        <w:autoSpaceDE w:val="0"/>
        <w:autoSpaceDN w:val="0"/>
        <w:adjustRightInd w:val="0"/>
        <w:spacing w:before="120" w:after="120" w:line="240" w:lineRule="auto"/>
        <w:jc w:val="both"/>
        <w:rPr>
          <w:rFonts w:ascii="Arial" w:eastAsia="Calibri" w:hAnsi="Arial" w:cs="Arial"/>
        </w:rPr>
      </w:pPr>
      <w:r w:rsidRPr="00493F3C">
        <w:rPr>
          <w:rFonts w:ascii="Arial" w:hAnsi="Arial" w:cs="Arial"/>
        </w:rPr>
        <w:t>People access HIV</w:t>
      </w:r>
      <w:r>
        <w:rPr>
          <w:rFonts w:ascii="Arial" w:hAnsi="Arial" w:cs="Arial"/>
        </w:rPr>
        <w:t xml:space="preserve"> </w:t>
      </w:r>
      <w:r w:rsidRPr="00493F3C">
        <w:rPr>
          <w:rFonts w:ascii="Arial" w:hAnsi="Arial" w:cs="Arial"/>
        </w:rPr>
        <w:t>treatment, care, support and prevention services through the gateway of HIV testing and counseling. Through HTC people</w:t>
      </w:r>
      <w:r w:rsidRPr="00493F3C">
        <w:rPr>
          <w:rFonts w:ascii="Arial" w:eastAsia="MS Mincho" w:hAnsi="Arial" w:cs="Arial"/>
          <w:lang w:val="en-GB" w:eastAsia="ja-JP"/>
        </w:rPr>
        <w:t xml:space="preserve"> learn their HIV status and make informed decisions about their health, based on their HIV status and reinforce HIV prevention efforts by providing clients/ patients with key messages on risk reduction and behaviour change. The key components of all HTC services are pre-test session, HIV test, post-test session, linkage to follow-up services and on-going support</w:t>
      </w:r>
      <w:r w:rsidRPr="00493F3C">
        <w:rPr>
          <w:rFonts w:ascii="Arial" w:eastAsia="Calibri" w:hAnsi="Arial" w:cs="Arial"/>
        </w:rPr>
        <w:t xml:space="preserve">The primary approaches for providing HIV Testing and Counseling are: Provider Initiated Testing and Counseling (PITC); Client initiated Voluntary Counseling and Testing (VCT); Home Based HIV Testing and Counseling (HBCT); </w:t>
      </w:r>
      <w:r w:rsidRPr="00493F3C" w:rsidDel="006C2964">
        <w:rPr>
          <w:rFonts w:ascii="Arial" w:eastAsia="MS Mincho" w:hAnsi="Arial" w:cs="Arial"/>
          <w:lang w:val="en-GB" w:eastAsia="ja-JP"/>
        </w:rPr>
        <w:t xml:space="preserve">In line with national and international standards for health care service delivery and human rights principles, </w:t>
      </w:r>
      <w:r w:rsidRPr="00493F3C">
        <w:rPr>
          <w:rFonts w:ascii="Arial" w:eastAsia="MS Mincho" w:hAnsi="Arial" w:cs="Arial"/>
          <w:lang w:val="en-GB" w:eastAsia="ja-JP"/>
        </w:rPr>
        <w:t>HIV testing and counselling (</w:t>
      </w:r>
      <w:r w:rsidRPr="00493F3C" w:rsidDel="006C2964">
        <w:rPr>
          <w:rFonts w:ascii="Arial" w:eastAsia="MS Mincho" w:hAnsi="Arial" w:cs="Arial"/>
          <w:lang w:val="en-GB" w:eastAsia="ja-JP"/>
        </w:rPr>
        <w:t>HTC</w:t>
      </w:r>
      <w:r w:rsidRPr="00493F3C">
        <w:rPr>
          <w:rFonts w:ascii="Arial" w:eastAsia="MS Mincho" w:hAnsi="Arial" w:cs="Arial"/>
          <w:lang w:val="en-GB" w:eastAsia="ja-JP"/>
        </w:rPr>
        <w:t>)</w:t>
      </w:r>
      <w:r w:rsidRPr="00493F3C" w:rsidDel="006C2964">
        <w:rPr>
          <w:rFonts w:ascii="Arial" w:eastAsia="MS Mincho" w:hAnsi="Arial" w:cs="Arial"/>
          <w:lang w:val="en-GB" w:eastAsia="ja-JP"/>
        </w:rPr>
        <w:t xml:space="preserve"> services sh</w:t>
      </w:r>
      <w:r w:rsidRPr="00493F3C">
        <w:rPr>
          <w:rFonts w:ascii="Arial" w:eastAsia="MS Mincho" w:hAnsi="Arial" w:cs="Arial"/>
          <w:lang w:val="en-GB" w:eastAsia="ja-JP"/>
        </w:rPr>
        <w:t>all</w:t>
      </w:r>
      <w:r w:rsidRPr="00493F3C" w:rsidDel="006C2964">
        <w:rPr>
          <w:rFonts w:ascii="Arial" w:eastAsia="MS Mincho" w:hAnsi="Arial" w:cs="Arial"/>
          <w:lang w:val="en-GB" w:eastAsia="ja-JP"/>
        </w:rPr>
        <w:t xml:space="preserve"> be conducted with the best interests of clients and patients in mind, and sh</w:t>
      </w:r>
      <w:r w:rsidRPr="00493F3C">
        <w:rPr>
          <w:rFonts w:ascii="Arial" w:eastAsia="MS Mincho" w:hAnsi="Arial" w:cs="Arial"/>
          <w:lang w:val="en-GB" w:eastAsia="ja-JP"/>
        </w:rPr>
        <w:t>all</w:t>
      </w:r>
      <w:r w:rsidRPr="00493F3C" w:rsidDel="006C2964">
        <w:rPr>
          <w:rFonts w:ascii="Arial" w:eastAsia="MS Mincho" w:hAnsi="Arial" w:cs="Arial"/>
          <w:lang w:val="en-GB" w:eastAsia="ja-JP"/>
        </w:rPr>
        <w:t xml:space="preserve"> respond to the needs and risks of clients and patients</w:t>
      </w:r>
      <w:r w:rsidRPr="00493F3C">
        <w:rPr>
          <w:rFonts w:ascii="Arial" w:eastAsia="MS Mincho" w:hAnsi="Arial" w:cs="Arial"/>
          <w:lang w:val="en-GB" w:eastAsia="ja-JP"/>
        </w:rPr>
        <w:t xml:space="preserve">. </w:t>
      </w:r>
    </w:p>
    <w:p w:rsidR="0071027C" w:rsidRPr="00A27C90" w:rsidRDefault="0071027C" w:rsidP="0071027C">
      <w:pPr>
        <w:pStyle w:val="Heading3"/>
      </w:pPr>
      <w:bookmarkStart w:id="132" w:name="_Toc382213967"/>
      <w:r>
        <w:t xml:space="preserve">3.1.1 </w:t>
      </w:r>
      <w:r w:rsidRPr="00A27C90">
        <w:t>HIV Testing and Counselling: Guiding Principles</w:t>
      </w:r>
      <w:bookmarkEnd w:id="132"/>
    </w:p>
    <w:p w:rsidR="0071027C" w:rsidRPr="00493F3C" w:rsidRDefault="0071027C" w:rsidP="0071027C">
      <w:pPr>
        <w:autoSpaceDE w:val="0"/>
        <w:autoSpaceDN w:val="0"/>
        <w:adjustRightInd w:val="0"/>
        <w:spacing w:before="120" w:after="120" w:line="240" w:lineRule="auto"/>
        <w:jc w:val="both"/>
        <w:rPr>
          <w:rFonts w:ascii="Arial" w:hAnsi="Arial" w:cs="Arial"/>
        </w:rPr>
      </w:pPr>
      <w:r w:rsidRPr="00493F3C">
        <w:rPr>
          <w:rFonts w:ascii="Arial" w:hAnsi="Arial" w:cs="Arial"/>
        </w:rPr>
        <w:t xml:space="preserve">All forms of HIV testing and counselling should be voluntary and adhere to the five C’s: Consent, Confidentiality, Counselling, Correct test results and Connections to care, treatment and prevention services..(For further details refer to National HTC guidelines 2014). People being tested for HIV must give informed consent to be tested; they must be informed of the process for HTC; services that will be available depending on the test results and their right to refuse testingand may not be denied access to other health services. </w:t>
      </w:r>
    </w:p>
    <w:p w:rsidR="0071027C" w:rsidRPr="00493F3C" w:rsidRDefault="0071027C" w:rsidP="0071027C">
      <w:pPr>
        <w:autoSpaceDE w:val="0"/>
        <w:autoSpaceDN w:val="0"/>
        <w:adjustRightInd w:val="0"/>
        <w:jc w:val="both"/>
        <w:rPr>
          <w:rFonts w:ascii="Arial" w:eastAsia="PMingLiU" w:hAnsi="Arial" w:cs="Arial"/>
          <w:lang w:val="en-GB" w:eastAsia="ja-JP"/>
        </w:rPr>
      </w:pPr>
      <w:r w:rsidRPr="00493F3C">
        <w:rPr>
          <w:rFonts w:ascii="Arial" w:eastAsia="PMingLiU" w:hAnsi="Arial" w:cs="Arial"/>
          <w:lang w:val="en-GB" w:eastAsia="ja-JP"/>
        </w:rPr>
        <w:t xml:space="preserve">Mandatory testing is not permitted in Tanzania. This is with accordance to the </w:t>
      </w:r>
      <w:r w:rsidRPr="00493F3C">
        <w:rPr>
          <w:rFonts w:ascii="Arial" w:eastAsia="PMingLiU" w:hAnsi="Arial" w:cs="Arial"/>
          <w:i/>
          <w:lang w:val="en-GB" w:eastAsia="ja-JP"/>
        </w:rPr>
        <w:t>HIV/AIDS Prevention and Control Act (2008)</w:t>
      </w:r>
      <w:r w:rsidRPr="00493F3C">
        <w:rPr>
          <w:rFonts w:ascii="Arial" w:eastAsia="PMingLiU" w:hAnsi="Arial" w:cs="Arial"/>
          <w:lang w:val="en-GB" w:eastAsia="ja-JP"/>
        </w:rPr>
        <w:t xml:space="preserve">, the only situations in which mandatory testing are permitted are: </w:t>
      </w:r>
    </w:p>
    <w:p w:rsidR="0071027C" w:rsidRPr="00493F3C" w:rsidRDefault="0071027C" w:rsidP="00274941">
      <w:pPr>
        <w:pStyle w:val="ListParagraph"/>
        <w:widowControl w:val="0"/>
        <w:numPr>
          <w:ilvl w:val="0"/>
          <w:numId w:val="20"/>
        </w:numPr>
        <w:autoSpaceDE w:val="0"/>
        <w:autoSpaceDN w:val="0"/>
        <w:adjustRightInd w:val="0"/>
        <w:contextualSpacing w:val="0"/>
        <w:jc w:val="both"/>
        <w:rPr>
          <w:rFonts w:ascii="Arial" w:eastAsia="PMingLiU" w:hAnsi="Arial" w:cs="Arial"/>
          <w:lang w:val="en-GB" w:eastAsia="ja-JP"/>
        </w:rPr>
      </w:pPr>
      <w:r w:rsidRPr="00493F3C">
        <w:rPr>
          <w:rFonts w:ascii="Arial" w:eastAsia="PMingLiU" w:hAnsi="Arial" w:cs="Arial"/>
          <w:lang w:val="en-GB" w:eastAsia="ja-JP"/>
        </w:rPr>
        <w:t xml:space="preserve">By court order; </w:t>
      </w:r>
    </w:p>
    <w:p w:rsidR="0071027C" w:rsidRPr="00493F3C" w:rsidRDefault="0071027C" w:rsidP="00274941">
      <w:pPr>
        <w:pStyle w:val="ListParagraph"/>
        <w:widowControl w:val="0"/>
        <w:numPr>
          <w:ilvl w:val="0"/>
          <w:numId w:val="20"/>
        </w:numPr>
        <w:autoSpaceDE w:val="0"/>
        <w:autoSpaceDN w:val="0"/>
        <w:adjustRightInd w:val="0"/>
        <w:contextualSpacing w:val="0"/>
        <w:jc w:val="both"/>
        <w:rPr>
          <w:rFonts w:ascii="Arial" w:eastAsia="PMingLiU" w:hAnsi="Arial" w:cs="Arial"/>
          <w:lang w:val="en-GB" w:eastAsia="ja-JP"/>
        </w:rPr>
      </w:pPr>
      <w:r w:rsidRPr="00493F3C">
        <w:rPr>
          <w:rFonts w:ascii="Arial" w:eastAsia="PMingLiU" w:hAnsi="Arial" w:cs="Arial"/>
          <w:lang w:val="en-GB" w:eastAsia="ja-JP"/>
        </w:rPr>
        <w:t>For donors of human organs and tissues;</w:t>
      </w:r>
    </w:p>
    <w:p w:rsidR="0071027C" w:rsidRPr="00493F3C" w:rsidRDefault="0071027C" w:rsidP="00274941">
      <w:pPr>
        <w:pStyle w:val="ListParagraph"/>
        <w:widowControl w:val="0"/>
        <w:numPr>
          <w:ilvl w:val="0"/>
          <w:numId w:val="20"/>
        </w:numPr>
        <w:autoSpaceDE w:val="0"/>
        <w:autoSpaceDN w:val="0"/>
        <w:adjustRightInd w:val="0"/>
        <w:contextualSpacing w:val="0"/>
        <w:jc w:val="both"/>
        <w:rPr>
          <w:rFonts w:ascii="Arial" w:eastAsia="PMingLiU" w:hAnsi="Arial" w:cs="Arial"/>
          <w:lang w:val="en-GB" w:eastAsia="ja-JP"/>
        </w:rPr>
      </w:pPr>
      <w:r w:rsidRPr="00493F3C">
        <w:rPr>
          <w:rFonts w:ascii="Arial" w:eastAsia="PMingLiU" w:hAnsi="Arial" w:cs="Arial"/>
          <w:lang w:val="en-GB" w:eastAsia="ja-JP"/>
        </w:rPr>
        <w:t>To sexual offenders;</w:t>
      </w:r>
    </w:p>
    <w:p w:rsidR="0071027C" w:rsidRPr="00493F3C" w:rsidRDefault="0071027C" w:rsidP="00274941">
      <w:pPr>
        <w:pStyle w:val="ListParagraph"/>
        <w:widowControl w:val="0"/>
        <w:numPr>
          <w:ilvl w:val="0"/>
          <w:numId w:val="20"/>
        </w:numPr>
        <w:autoSpaceDE w:val="0"/>
        <w:autoSpaceDN w:val="0"/>
        <w:adjustRightInd w:val="0"/>
        <w:contextualSpacing w:val="0"/>
        <w:jc w:val="both"/>
        <w:rPr>
          <w:rFonts w:ascii="Arial" w:eastAsia="PMingLiU" w:hAnsi="Arial" w:cs="Arial"/>
          <w:lang w:val="en-GB" w:eastAsia="ja-JP"/>
        </w:rPr>
      </w:pPr>
      <w:r w:rsidRPr="00493F3C">
        <w:rPr>
          <w:rFonts w:ascii="Arial" w:eastAsia="PMingLiU" w:hAnsi="Arial" w:cs="Arial"/>
          <w:lang w:val="en-GB" w:eastAsia="ja-JP"/>
        </w:rPr>
        <w:t>If the person is unconscious and unable to give consent; and</w:t>
      </w:r>
    </w:p>
    <w:p w:rsidR="0071027C" w:rsidRPr="00493F3C" w:rsidRDefault="0071027C" w:rsidP="00274941">
      <w:pPr>
        <w:pStyle w:val="ListParagraph"/>
        <w:widowControl w:val="0"/>
        <w:numPr>
          <w:ilvl w:val="0"/>
          <w:numId w:val="20"/>
        </w:numPr>
        <w:autoSpaceDE w:val="0"/>
        <w:autoSpaceDN w:val="0"/>
        <w:adjustRightInd w:val="0"/>
        <w:contextualSpacing w:val="0"/>
        <w:jc w:val="both"/>
        <w:rPr>
          <w:rFonts w:ascii="Arial" w:eastAsia="Batang" w:hAnsi="Arial" w:cs="Arial"/>
          <w:color w:val="000000"/>
          <w:lang w:val="en-GB" w:eastAsia="ja-JP"/>
        </w:rPr>
      </w:pPr>
      <w:r w:rsidRPr="00493F3C">
        <w:rPr>
          <w:rFonts w:ascii="Arial" w:eastAsia="PMingLiU" w:hAnsi="Arial" w:cs="Arial"/>
          <w:lang w:val="en-GB" w:eastAsia="ja-JP"/>
        </w:rPr>
        <w:t>The medical practitioner reasonably believes that such a test is clinically necessary or desirable in the interest of that person.</w:t>
      </w:r>
    </w:p>
    <w:p w:rsidR="0071027C" w:rsidRPr="00493F3C" w:rsidRDefault="0071027C" w:rsidP="0071027C">
      <w:pPr>
        <w:pStyle w:val="Heading2"/>
        <w:rPr>
          <w:rFonts w:eastAsia="Times New Roman"/>
        </w:rPr>
      </w:pPr>
      <w:bookmarkStart w:id="133" w:name="_Toc373761273"/>
      <w:bookmarkStart w:id="134" w:name="_Toc378258112"/>
      <w:bookmarkStart w:id="135" w:name="_Toc382213968"/>
      <w:r w:rsidRPr="00493F3C">
        <w:rPr>
          <w:rFonts w:eastAsia="Times New Roman"/>
        </w:rPr>
        <w:t>3.2 HIV Testing and Counseling approaches</w:t>
      </w:r>
      <w:bookmarkEnd w:id="133"/>
      <w:bookmarkEnd w:id="134"/>
      <w:bookmarkEnd w:id="135"/>
    </w:p>
    <w:p w:rsidR="0071027C" w:rsidRDefault="0071027C" w:rsidP="0071027C">
      <w:pPr>
        <w:pStyle w:val="Heading3"/>
        <w:rPr>
          <w:rFonts w:eastAsia="Times New Roman"/>
        </w:rPr>
      </w:pPr>
      <w:bookmarkStart w:id="136" w:name="_Toc373761274"/>
      <w:bookmarkStart w:id="137" w:name="_Toc378258113"/>
      <w:bookmarkStart w:id="138" w:name="_Toc382213969"/>
      <w:r w:rsidRPr="007E20BD">
        <w:rPr>
          <w:rFonts w:eastAsia="Times New Roman"/>
        </w:rPr>
        <w:t>3.2.1 Provider Initiated Testing and Counseling (PITC)</w:t>
      </w:r>
      <w:bookmarkEnd w:id="136"/>
      <w:bookmarkEnd w:id="137"/>
      <w:bookmarkEnd w:id="138"/>
    </w:p>
    <w:p w:rsidR="0071027C" w:rsidRPr="00493F3C" w:rsidRDefault="0071027C" w:rsidP="0071027C">
      <w:pPr>
        <w:spacing w:before="120" w:after="120" w:line="240" w:lineRule="auto"/>
        <w:jc w:val="both"/>
        <w:rPr>
          <w:rFonts w:ascii="Arial" w:eastAsia="PMingLiU" w:hAnsi="Arial" w:cs="Arial"/>
          <w:lang w:val="en-GB" w:eastAsia="ja-JP"/>
        </w:rPr>
      </w:pPr>
      <w:r w:rsidRPr="00493F3C">
        <w:rPr>
          <w:rFonts w:ascii="Arial" w:eastAsia="PMingLiU" w:hAnsi="Arial" w:cs="Arial"/>
          <w:lang w:val="en-GB" w:eastAsia="ja-JP"/>
        </w:rPr>
        <w:t xml:space="preserve">PITC contributes to increased rates of HIV testing and early identification of persons living with HIV (PLHIV). Health care </w:t>
      </w:r>
      <w:r w:rsidRPr="00493F3C">
        <w:rPr>
          <w:rFonts w:ascii="Arial" w:eastAsia="Calibri" w:hAnsi="Arial" w:cs="Arial"/>
        </w:rPr>
        <w:t>provider</w:t>
      </w:r>
      <w:r w:rsidRPr="00493F3C">
        <w:rPr>
          <w:rFonts w:ascii="Arial" w:eastAsia="PMingLiU" w:hAnsi="Arial" w:cs="Arial"/>
          <w:lang w:val="en-GB" w:eastAsia="ja-JP"/>
        </w:rPr>
        <w:t>recommends and offers HTC to individuals, couples, families, or groups attending clinical services in the public or private</w:t>
      </w:r>
      <w:r>
        <w:rPr>
          <w:rFonts w:ascii="Arial" w:eastAsia="PMingLiU" w:hAnsi="Arial" w:cs="Arial"/>
          <w:lang w:val="en-GB" w:eastAsia="ja-JP"/>
        </w:rPr>
        <w:t xml:space="preserve"> </w:t>
      </w:r>
      <w:r w:rsidRPr="00493F3C">
        <w:rPr>
          <w:rFonts w:ascii="Arial" w:eastAsia="PMingLiU" w:hAnsi="Arial" w:cs="Arial"/>
          <w:lang w:val="en-GB" w:eastAsia="ja-JP"/>
        </w:rPr>
        <w:t>health facilities.</w:t>
      </w:r>
      <w:r w:rsidRPr="00493F3C">
        <w:rPr>
          <w:rFonts w:ascii="Arial" w:eastAsia="Calibri" w:hAnsi="Arial" w:cs="Arial"/>
        </w:rPr>
        <w:t>Health care providers should recommend HIV testing as a standard of care to all patients attending a health care facility regardless of whether they have sign or symptoms of HIV infection. This allows Health care providers to make specific medical decision that would not be possible without knowledge of the patient’s HIV status.</w:t>
      </w:r>
    </w:p>
    <w:p w:rsidR="0071027C" w:rsidRPr="00493F3C" w:rsidRDefault="0071027C" w:rsidP="0071027C">
      <w:pPr>
        <w:spacing w:before="120" w:after="120" w:line="240" w:lineRule="auto"/>
        <w:jc w:val="both"/>
        <w:rPr>
          <w:rFonts w:ascii="Arial" w:eastAsia="PMingLiU" w:hAnsi="Arial" w:cs="Arial"/>
          <w:lang w:val="en-GB" w:eastAsia="ja-JP"/>
        </w:rPr>
      </w:pPr>
    </w:p>
    <w:p w:rsidR="0071027C" w:rsidRPr="00493F3C" w:rsidRDefault="0071027C" w:rsidP="0071027C">
      <w:pPr>
        <w:spacing w:before="120" w:after="120" w:line="240" w:lineRule="auto"/>
        <w:jc w:val="both"/>
        <w:rPr>
          <w:rFonts w:ascii="Arial" w:eastAsia="Calibri" w:hAnsi="Arial" w:cs="Arial"/>
        </w:rPr>
      </w:pPr>
      <w:r w:rsidRPr="00493F3C">
        <w:rPr>
          <w:rFonts w:ascii="Arial" w:eastAsia="Calibri" w:hAnsi="Arial" w:cs="Arial"/>
        </w:rPr>
        <w:lastRenderedPageBreak/>
        <w:t>Under this approach, clients shall be tested for HIV by offering an informed consent.</w:t>
      </w:r>
      <w:r>
        <w:rPr>
          <w:rFonts w:ascii="Arial" w:eastAsia="Calibri" w:hAnsi="Arial" w:cs="Arial"/>
        </w:rPr>
        <w:t xml:space="preserve"> However incase of </w:t>
      </w:r>
      <w:r w:rsidRPr="00493F3C">
        <w:rPr>
          <w:rFonts w:ascii="Arial" w:eastAsia="Calibri" w:hAnsi="Arial" w:cs="Arial"/>
        </w:rPr>
        <w:t>mature minor they shall consent on their own. As outlined in the National Guidelines for HIV Testing and Counselling 2013.</w:t>
      </w:r>
    </w:p>
    <w:p w:rsidR="0071027C" w:rsidRPr="00493F3C" w:rsidRDefault="0071027C" w:rsidP="0071027C">
      <w:pPr>
        <w:spacing w:before="120" w:after="120" w:line="240" w:lineRule="auto"/>
        <w:jc w:val="both"/>
        <w:rPr>
          <w:rFonts w:ascii="Arial" w:eastAsia="Calibri" w:hAnsi="Arial" w:cs="Arial"/>
        </w:rPr>
      </w:pPr>
      <w:r w:rsidRPr="00493F3C">
        <w:rPr>
          <w:rFonts w:ascii="Arial" w:eastAsia="Calibri" w:hAnsi="Arial" w:cs="Arial"/>
        </w:rPr>
        <w:t>In order to implement PITC services the following should be taken into consideration:</w:t>
      </w:r>
    </w:p>
    <w:p w:rsidR="0071027C" w:rsidRPr="00493F3C" w:rsidRDefault="0071027C" w:rsidP="00274941">
      <w:pPr>
        <w:numPr>
          <w:ilvl w:val="0"/>
          <w:numId w:val="5"/>
        </w:numPr>
        <w:spacing w:after="0" w:line="240" w:lineRule="auto"/>
        <w:jc w:val="both"/>
        <w:rPr>
          <w:rFonts w:ascii="Arial" w:eastAsia="Calibri" w:hAnsi="Arial" w:cs="Arial"/>
        </w:rPr>
      </w:pPr>
      <w:r w:rsidRPr="00493F3C">
        <w:rPr>
          <w:rFonts w:ascii="Arial" w:eastAsia="Calibri" w:hAnsi="Arial" w:cs="Arial"/>
        </w:rPr>
        <w:t xml:space="preserve">Should be provided by healthcare providers trained to provide PITC services </w:t>
      </w:r>
    </w:p>
    <w:p w:rsidR="0071027C" w:rsidRPr="00493F3C" w:rsidRDefault="0071027C" w:rsidP="00274941">
      <w:pPr>
        <w:numPr>
          <w:ilvl w:val="0"/>
          <w:numId w:val="5"/>
        </w:numPr>
        <w:spacing w:after="0" w:line="240" w:lineRule="auto"/>
        <w:jc w:val="both"/>
        <w:rPr>
          <w:rFonts w:ascii="Arial" w:eastAsia="Calibri" w:hAnsi="Arial" w:cs="Arial"/>
          <w:lang w:val="af-ZA"/>
        </w:rPr>
      </w:pPr>
      <w:r w:rsidRPr="00493F3C">
        <w:rPr>
          <w:rFonts w:ascii="Arial" w:eastAsia="Calibri" w:hAnsi="Arial" w:cs="Arial"/>
        </w:rPr>
        <w:t>PITC  is provided within; OPD, IPD,</w:t>
      </w:r>
      <w:r w:rsidRPr="00493F3C">
        <w:rPr>
          <w:rFonts w:ascii="Arial" w:eastAsia="Calibri" w:hAnsi="Arial" w:cs="Arial"/>
          <w:lang w:val="af-ZA"/>
        </w:rPr>
        <w:t>CTC, TB , STI,RCH/PMTCT including referrals to other support services</w:t>
      </w:r>
    </w:p>
    <w:p w:rsidR="0071027C" w:rsidRPr="00493F3C" w:rsidRDefault="0071027C" w:rsidP="00274941">
      <w:pPr>
        <w:numPr>
          <w:ilvl w:val="0"/>
          <w:numId w:val="5"/>
        </w:numPr>
        <w:spacing w:after="0" w:line="240" w:lineRule="auto"/>
        <w:jc w:val="both"/>
        <w:rPr>
          <w:rFonts w:ascii="Arial" w:eastAsia="Calibri" w:hAnsi="Arial" w:cs="Arial"/>
        </w:rPr>
      </w:pPr>
      <w:r w:rsidRPr="00493F3C">
        <w:rPr>
          <w:rFonts w:ascii="Arial" w:eastAsia="Calibri" w:hAnsi="Arial" w:cs="Arial"/>
        </w:rPr>
        <w:t xml:space="preserve">The first user of the test result is the health care provider who uses the HIV test to make diagnosis and provide appropriate treatment and/or referral. </w:t>
      </w:r>
    </w:p>
    <w:p w:rsidR="0071027C" w:rsidRPr="00493F3C" w:rsidRDefault="0071027C" w:rsidP="00274941">
      <w:pPr>
        <w:numPr>
          <w:ilvl w:val="0"/>
          <w:numId w:val="6"/>
        </w:numPr>
        <w:spacing w:after="0" w:line="240" w:lineRule="auto"/>
        <w:jc w:val="both"/>
        <w:rPr>
          <w:rFonts w:ascii="Arial" w:eastAsia="Calibri" w:hAnsi="Arial" w:cs="Arial"/>
        </w:rPr>
      </w:pPr>
      <w:r w:rsidRPr="00493F3C">
        <w:rPr>
          <w:rFonts w:ascii="Arial" w:eastAsia="Calibri" w:hAnsi="Arial" w:cs="Arial"/>
        </w:rPr>
        <w:t>HIV testing and counseling is conducted in a health care setting and outreach using a blend of both open and close ended questions. This is because the session is not as long as it is during client initiated counseling (VCT).</w:t>
      </w:r>
    </w:p>
    <w:p w:rsidR="0071027C" w:rsidRPr="00493F3C" w:rsidRDefault="0071027C" w:rsidP="0071027C">
      <w:pPr>
        <w:pStyle w:val="Heading3"/>
        <w:rPr>
          <w:szCs w:val="24"/>
        </w:rPr>
      </w:pPr>
      <w:bookmarkStart w:id="139" w:name="_Toc373761275"/>
      <w:bookmarkStart w:id="140" w:name="_Toc378258114"/>
      <w:bookmarkStart w:id="141" w:name="_Toc382213970"/>
      <w:r w:rsidRPr="00493F3C">
        <w:rPr>
          <w:szCs w:val="24"/>
        </w:rPr>
        <w:t>3.2.2 Client Initiated HIV Testing and Counseling (CITC)</w:t>
      </w:r>
      <w:bookmarkEnd w:id="139"/>
      <w:bookmarkEnd w:id="140"/>
      <w:bookmarkEnd w:id="141"/>
    </w:p>
    <w:p w:rsidR="0071027C" w:rsidRPr="00493F3C" w:rsidRDefault="0071027C" w:rsidP="0071027C">
      <w:pPr>
        <w:spacing w:before="120" w:after="120" w:line="240" w:lineRule="auto"/>
        <w:jc w:val="both"/>
        <w:rPr>
          <w:rFonts w:ascii="Arial" w:eastAsia="Calibri" w:hAnsi="Arial" w:cs="Arial"/>
        </w:rPr>
      </w:pPr>
      <w:r w:rsidRPr="00493F3C">
        <w:rPr>
          <w:rFonts w:ascii="Arial" w:eastAsia="MS Mincho" w:hAnsi="Arial" w:cs="Arial"/>
          <w:lang w:val="en-GB" w:eastAsia="ja-JP"/>
        </w:rPr>
        <w:t>In this approach, also known as Voluntary Counselling and Testing (VCT), client(s) voluntarily make the decision to learn their HIV status as an individual, couple, or family</w:t>
      </w:r>
      <w:r w:rsidRPr="00493F3C">
        <w:rPr>
          <w:rFonts w:ascii="Arial" w:eastAsia="Calibri" w:hAnsi="Arial" w:cs="Arial"/>
        </w:rPr>
        <w:t xml:space="preserve"> and seeks counselling and testing services out of his or her own will for the purpose of prevention of HIV infection and personal life decision making. </w:t>
      </w:r>
    </w:p>
    <w:p w:rsidR="0071027C" w:rsidRPr="00493F3C" w:rsidRDefault="0071027C" w:rsidP="00274941">
      <w:pPr>
        <w:numPr>
          <w:ilvl w:val="0"/>
          <w:numId w:val="5"/>
        </w:numPr>
        <w:spacing w:after="0" w:line="240" w:lineRule="auto"/>
        <w:jc w:val="both"/>
        <w:rPr>
          <w:rFonts w:ascii="Arial" w:eastAsia="Calibri" w:hAnsi="Arial" w:cs="Arial"/>
        </w:rPr>
      </w:pPr>
      <w:r w:rsidRPr="00493F3C">
        <w:rPr>
          <w:rFonts w:ascii="Arial" w:eastAsia="Calibri" w:hAnsi="Arial" w:cs="Arial"/>
        </w:rPr>
        <w:t>Client Initiated Counselling and Testing should be provided by a specifically trained counselor for VCT services.</w:t>
      </w:r>
    </w:p>
    <w:p w:rsidR="0071027C" w:rsidRPr="00493F3C" w:rsidRDefault="0071027C" w:rsidP="00274941">
      <w:pPr>
        <w:numPr>
          <w:ilvl w:val="0"/>
          <w:numId w:val="5"/>
        </w:numPr>
        <w:spacing w:after="0" w:line="240" w:lineRule="auto"/>
        <w:jc w:val="both"/>
        <w:rPr>
          <w:rFonts w:ascii="Arial" w:eastAsia="Calibri" w:hAnsi="Arial" w:cs="Arial"/>
        </w:rPr>
      </w:pPr>
      <w:r w:rsidRPr="00493F3C">
        <w:rPr>
          <w:rFonts w:ascii="Arial" w:eastAsia="Calibri" w:hAnsi="Arial" w:cs="Arial"/>
        </w:rPr>
        <w:t xml:space="preserve">The counselling gives focus predominantly on addressing risk behavior and risk reduction aiming to prevent HIV transmission. </w:t>
      </w:r>
    </w:p>
    <w:p w:rsidR="0071027C" w:rsidRPr="00493F3C" w:rsidRDefault="0071027C" w:rsidP="00274941">
      <w:pPr>
        <w:numPr>
          <w:ilvl w:val="0"/>
          <w:numId w:val="5"/>
        </w:numPr>
        <w:spacing w:after="0" w:line="240" w:lineRule="auto"/>
        <w:jc w:val="both"/>
        <w:rPr>
          <w:rFonts w:ascii="Arial" w:eastAsia="Calibri" w:hAnsi="Arial" w:cs="Arial"/>
        </w:rPr>
      </w:pPr>
      <w:r w:rsidRPr="00493F3C">
        <w:rPr>
          <w:rFonts w:ascii="Arial" w:eastAsia="Calibri" w:hAnsi="Arial" w:cs="Arial"/>
        </w:rPr>
        <w:t>The services offered can be distinctive (client may offer to reveal their identity) or anonymous (client may not reveal their identity)</w:t>
      </w:r>
    </w:p>
    <w:p w:rsidR="0071027C" w:rsidRPr="00493F3C" w:rsidRDefault="0071027C" w:rsidP="00274941">
      <w:pPr>
        <w:numPr>
          <w:ilvl w:val="0"/>
          <w:numId w:val="5"/>
        </w:numPr>
        <w:spacing w:after="0" w:line="240" w:lineRule="auto"/>
        <w:jc w:val="both"/>
        <w:rPr>
          <w:rFonts w:ascii="Arial" w:eastAsia="Calibri" w:hAnsi="Arial" w:cs="Arial"/>
        </w:rPr>
      </w:pPr>
      <w:r w:rsidRPr="00493F3C">
        <w:rPr>
          <w:rFonts w:ascii="Arial" w:eastAsia="Calibri" w:hAnsi="Arial" w:cs="Arial"/>
        </w:rPr>
        <w:t xml:space="preserve">Counsellors need to strictly adhere to confidentiality </w:t>
      </w:r>
    </w:p>
    <w:p w:rsidR="0071027C" w:rsidRPr="00493F3C" w:rsidRDefault="0071027C" w:rsidP="00274941">
      <w:pPr>
        <w:numPr>
          <w:ilvl w:val="0"/>
          <w:numId w:val="5"/>
        </w:numPr>
        <w:spacing w:after="0" w:line="240" w:lineRule="auto"/>
        <w:jc w:val="both"/>
        <w:rPr>
          <w:rFonts w:ascii="Arial" w:eastAsia="Calibri" w:hAnsi="Arial" w:cs="Arial"/>
        </w:rPr>
      </w:pPr>
      <w:r w:rsidRPr="00493F3C">
        <w:rPr>
          <w:rFonts w:ascii="Arial" w:eastAsia="Calibri" w:hAnsi="Arial" w:cs="Arial"/>
        </w:rPr>
        <w:t xml:space="preserve">Post testing counselling is equally important for clients who test HIV negative as well as who test HIV positive. </w:t>
      </w:r>
    </w:p>
    <w:p w:rsidR="0071027C" w:rsidRPr="00493F3C" w:rsidRDefault="0071027C" w:rsidP="00274941">
      <w:pPr>
        <w:numPr>
          <w:ilvl w:val="0"/>
          <w:numId w:val="5"/>
        </w:numPr>
        <w:spacing w:after="0" w:line="240" w:lineRule="auto"/>
        <w:jc w:val="both"/>
        <w:rPr>
          <w:rFonts w:ascii="Arial" w:eastAsia="Calibri" w:hAnsi="Arial" w:cs="Arial"/>
        </w:rPr>
      </w:pPr>
      <w:r w:rsidRPr="00493F3C">
        <w:rPr>
          <w:rFonts w:ascii="Arial" w:eastAsia="Calibri" w:hAnsi="Arial" w:cs="Arial"/>
        </w:rPr>
        <w:t xml:space="preserve">HIV positive clients are referred to medical care services and other support services, some of which are in the community. </w:t>
      </w:r>
    </w:p>
    <w:p w:rsidR="0071027C" w:rsidRPr="00493F3C" w:rsidRDefault="0071027C" w:rsidP="0071027C">
      <w:pPr>
        <w:spacing w:before="120" w:after="120" w:line="240" w:lineRule="auto"/>
        <w:jc w:val="both"/>
        <w:rPr>
          <w:rFonts w:ascii="Arial" w:eastAsia="Calibri" w:hAnsi="Arial" w:cs="Arial"/>
        </w:rPr>
      </w:pPr>
      <w:r w:rsidRPr="00493F3C">
        <w:rPr>
          <w:rFonts w:ascii="Arial" w:eastAsia="Calibri" w:hAnsi="Arial" w:cs="Arial"/>
        </w:rPr>
        <w:t xml:space="preserve">In case of couples and families, it will not include individualized risk assessment. Rather counsellors discuss the couple’s HIV risk concerns, and focus the counselling on the present situation and plans for future. </w:t>
      </w:r>
    </w:p>
    <w:p w:rsidR="0071027C" w:rsidRDefault="0071027C" w:rsidP="0071027C">
      <w:pPr>
        <w:pStyle w:val="Heading3"/>
      </w:pPr>
    </w:p>
    <w:p w:rsidR="0071027C" w:rsidRPr="00493F3C" w:rsidRDefault="0071027C" w:rsidP="0071027C">
      <w:pPr>
        <w:pStyle w:val="Heading3"/>
        <w:rPr>
          <w:rFonts w:eastAsia="Calibri"/>
        </w:rPr>
      </w:pPr>
      <w:bookmarkStart w:id="142" w:name="_Toc382213971"/>
      <w:r>
        <w:t xml:space="preserve">3.2.3 </w:t>
      </w:r>
      <w:r w:rsidRPr="00493F3C">
        <w:t>Community-Based HIV</w:t>
      </w:r>
      <w:r>
        <w:t xml:space="preserve"> Testing a</w:t>
      </w:r>
      <w:r w:rsidRPr="00493F3C">
        <w:t>nd Counselling</w:t>
      </w:r>
      <w:bookmarkEnd w:id="142"/>
    </w:p>
    <w:p w:rsidR="0071027C" w:rsidRPr="00493F3C" w:rsidRDefault="0071027C" w:rsidP="0071027C">
      <w:pPr>
        <w:autoSpaceDE w:val="0"/>
        <w:autoSpaceDN w:val="0"/>
        <w:adjustRightInd w:val="0"/>
        <w:spacing w:before="120" w:after="120" w:line="240" w:lineRule="auto"/>
        <w:jc w:val="both"/>
        <w:rPr>
          <w:rFonts w:ascii="Arial" w:hAnsi="Arial" w:cs="Arial"/>
        </w:rPr>
      </w:pPr>
      <w:r w:rsidRPr="00493F3C">
        <w:rPr>
          <w:rFonts w:ascii="Arial" w:hAnsi="Arial" w:cs="Arial"/>
        </w:rPr>
        <w:t>In addition to providing HIV testing and counselling in clinical settings, HIV testing and</w:t>
      </w:r>
      <w:r>
        <w:rPr>
          <w:rFonts w:ascii="Arial" w:hAnsi="Arial" w:cs="Arial"/>
        </w:rPr>
        <w:t xml:space="preserve"> </w:t>
      </w:r>
      <w:r w:rsidRPr="00493F3C">
        <w:rPr>
          <w:rFonts w:ascii="Arial" w:hAnsi="Arial" w:cs="Arial"/>
        </w:rPr>
        <w:t>counselling can be offered in a variety of settings in the community. Community based testing approaches may reach people with HIV earlier in the course of HIV disease as well as reaching populations that may not</w:t>
      </w:r>
      <w:r>
        <w:rPr>
          <w:rFonts w:ascii="Arial" w:hAnsi="Arial" w:cs="Arial"/>
        </w:rPr>
        <w:t xml:space="preserve"> </w:t>
      </w:r>
      <w:r w:rsidRPr="00493F3C">
        <w:rPr>
          <w:rFonts w:ascii="Arial" w:hAnsi="Arial" w:cs="Arial"/>
        </w:rPr>
        <w:t>normally attend health services. The scale up of community-based testing to complement facility</w:t>
      </w:r>
      <w:r>
        <w:rPr>
          <w:rFonts w:ascii="Arial" w:hAnsi="Arial" w:cs="Arial"/>
        </w:rPr>
        <w:t xml:space="preserve"> </w:t>
      </w:r>
      <w:r w:rsidRPr="00493F3C">
        <w:rPr>
          <w:rFonts w:ascii="Arial" w:hAnsi="Arial" w:cs="Arial"/>
        </w:rPr>
        <w:t>based</w:t>
      </w:r>
      <w:r>
        <w:rPr>
          <w:rFonts w:ascii="Arial" w:hAnsi="Arial" w:cs="Arial"/>
        </w:rPr>
        <w:t xml:space="preserve"> t</w:t>
      </w:r>
      <w:r w:rsidRPr="00493F3C">
        <w:rPr>
          <w:rFonts w:ascii="Arial" w:hAnsi="Arial" w:cs="Arial"/>
        </w:rPr>
        <w:t>esting is an important consideration in achieving universal knowledge of HIV status</w:t>
      </w:r>
      <w:r w:rsidR="00AE55A9">
        <w:rPr>
          <w:rFonts w:ascii="Arial" w:hAnsi="Arial" w:cs="Arial"/>
        </w:rPr>
        <w:t xml:space="preserve"> </w:t>
      </w:r>
      <w:r w:rsidRPr="00493F3C">
        <w:rPr>
          <w:rFonts w:ascii="Arial" w:hAnsi="Arial" w:cs="Arial"/>
        </w:rPr>
        <w:t>and earlier diagnosis linked to care and treatment.</w:t>
      </w:r>
      <w:r w:rsidR="00AE55A9">
        <w:rPr>
          <w:rFonts w:ascii="Arial" w:hAnsi="Arial" w:cs="Arial"/>
        </w:rPr>
        <w:t xml:space="preserve"> </w:t>
      </w:r>
      <w:r w:rsidRPr="00493F3C">
        <w:rPr>
          <w:rFonts w:ascii="Arial" w:hAnsi="Arial" w:cs="Arial"/>
        </w:rPr>
        <w:t>Community-based testing should be implemented in addition to provider-initiated testing and counselling. Multiple approaches shall be used including, home-based testing, mobile outreach (including in workplaces, schools, universities, special testing campaigns and events) and multi-disease campaigns tailored</w:t>
      </w:r>
      <w:r w:rsidR="00AE55A9">
        <w:rPr>
          <w:rFonts w:ascii="Arial" w:hAnsi="Arial" w:cs="Arial"/>
        </w:rPr>
        <w:t xml:space="preserve"> </w:t>
      </w:r>
      <w:r w:rsidRPr="00493F3C">
        <w:rPr>
          <w:rFonts w:ascii="Arial" w:hAnsi="Arial" w:cs="Arial"/>
        </w:rPr>
        <w:t>to epidemiological and social contexts.</w:t>
      </w:r>
    </w:p>
    <w:p w:rsidR="0071027C" w:rsidRPr="00493F3C" w:rsidRDefault="0071027C" w:rsidP="0071027C">
      <w:pPr>
        <w:pStyle w:val="Heading4"/>
        <w:rPr>
          <w:rFonts w:eastAsia="MS Mincho"/>
          <w:lang w:val="en-GB" w:eastAsia="ja-JP"/>
        </w:rPr>
      </w:pPr>
      <w:r>
        <w:rPr>
          <w:rFonts w:eastAsia="MS Mincho"/>
          <w:lang w:val="en-GB" w:eastAsia="ja-JP"/>
        </w:rPr>
        <w:lastRenderedPageBreak/>
        <w:t xml:space="preserve">3.2.3.1 </w:t>
      </w:r>
      <w:r w:rsidRPr="00493F3C">
        <w:rPr>
          <w:rFonts w:eastAsia="MS Mincho"/>
          <w:lang w:val="en-GB" w:eastAsia="ja-JP"/>
        </w:rPr>
        <w:t>Strategies for Home-Based HTC</w:t>
      </w:r>
    </w:p>
    <w:p w:rsidR="0071027C" w:rsidRPr="00493F3C" w:rsidRDefault="0071027C" w:rsidP="0071027C">
      <w:pPr>
        <w:spacing w:before="120" w:after="120" w:line="240" w:lineRule="auto"/>
        <w:jc w:val="both"/>
        <w:rPr>
          <w:rFonts w:ascii="Arial" w:eastAsia="MS Mincho" w:hAnsi="Arial" w:cs="Arial"/>
          <w:lang w:val="en-GB" w:eastAsia="ja-JP"/>
        </w:rPr>
      </w:pPr>
      <w:r w:rsidRPr="00493F3C">
        <w:rPr>
          <w:rFonts w:ascii="Arial" w:eastAsia="MS Mincho" w:hAnsi="Arial" w:cs="Arial"/>
          <w:lang w:val="en-GB" w:eastAsia="ja-JP"/>
        </w:rPr>
        <w:t>Home-based HTC refers to a situation whereby an HTC provider visits a household and offers HTC services to individuals, couples, and families within the household setting. Alternatively, clients or patients may request HTC providers to visit their home to conduct HTC with themselves or their family members. Thus, home-based HTC testing includes aspects of both PITC and CITC.</w:t>
      </w:r>
    </w:p>
    <w:p w:rsidR="0071027C" w:rsidRPr="00493F3C" w:rsidRDefault="0071027C" w:rsidP="0071027C">
      <w:pPr>
        <w:pStyle w:val="Heading4"/>
        <w:rPr>
          <w:rFonts w:eastAsia="MS Mincho"/>
          <w:lang w:val="en-GB" w:eastAsia="ja-JP"/>
        </w:rPr>
      </w:pPr>
      <w:r w:rsidRPr="00493F3C">
        <w:rPr>
          <w:rFonts w:eastAsia="MS Mincho"/>
          <w:lang w:val="en-GB" w:eastAsia="ja-JP"/>
        </w:rPr>
        <w:t>3.</w:t>
      </w:r>
      <w:r>
        <w:rPr>
          <w:rFonts w:eastAsia="MS Mincho"/>
          <w:lang w:val="en-GB" w:eastAsia="ja-JP"/>
        </w:rPr>
        <w:t>2</w:t>
      </w:r>
      <w:r w:rsidRPr="00493F3C">
        <w:rPr>
          <w:rFonts w:eastAsia="MS Mincho"/>
          <w:lang w:val="en-GB" w:eastAsia="ja-JP"/>
        </w:rPr>
        <w:t>.</w:t>
      </w:r>
      <w:r>
        <w:rPr>
          <w:rFonts w:eastAsia="MS Mincho"/>
          <w:lang w:val="en-GB" w:eastAsia="ja-JP"/>
        </w:rPr>
        <w:t>3.</w:t>
      </w:r>
      <w:r w:rsidRPr="00493F3C">
        <w:rPr>
          <w:rFonts w:eastAsia="MS Mincho"/>
          <w:lang w:val="en-GB" w:eastAsia="ja-JP"/>
        </w:rPr>
        <w:t>2 Home-Based HTC Models</w:t>
      </w:r>
    </w:p>
    <w:p w:rsidR="0071027C" w:rsidRPr="00493F3C" w:rsidRDefault="0071027C" w:rsidP="0071027C">
      <w:pPr>
        <w:spacing w:before="120" w:after="120" w:line="240" w:lineRule="auto"/>
        <w:jc w:val="both"/>
        <w:rPr>
          <w:rFonts w:ascii="Arial" w:eastAsia="MS Mincho" w:hAnsi="Arial" w:cs="Arial"/>
          <w:lang w:val="en-GB" w:eastAsia="ja-JP"/>
        </w:rPr>
      </w:pPr>
      <w:r w:rsidRPr="00493F3C">
        <w:rPr>
          <w:rFonts w:ascii="Arial" w:eastAsia="MS Mincho" w:hAnsi="Arial" w:cs="Arial"/>
          <w:lang w:val="en-GB" w:eastAsia="ja-JP"/>
        </w:rPr>
        <w:t xml:space="preserve">There are two primary models for conducting home-based HTC in Tanzania: </w:t>
      </w:r>
      <w:r w:rsidRPr="00493F3C">
        <w:rPr>
          <w:rFonts w:ascii="Arial" w:eastAsia="MS Mincho" w:hAnsi="Arial" w:cs="Arial"/>
          <w:i/>
          <w:lang w:val="en-GB" w:eastAsia="ja-JP"/>
        </w:rPr>
        <w:t>door-to-door</w:t>
      </w:r>
      <w:r w:rsidRPr="00493F3C">
        <w:rPr>
          <w:rFonts w:ascii="Arial" w:eastAsia="MS Mincho" w:hAnsi="Arial" w:cs="Arial"/>
          <w:lang w:val="en-GB" w:eastAsia="ja-JP"/>
        </w:rPr>
        <w:t xml:space="preserve"> and via an </w:t>
      </w:r>
      <w:r w:rsidRPr="00493F3C">
        <w:rPr>
          <w:rFonts w:ascii="Arial" w:eastAsia="MS Mincho" w:hAnsi="Arial" w:cs="Arial"/>
          <w:i/>
          <w:lang w:val="en-GB" w:eastAsia="ja-JP"/>
        </w:rPr>
        <w:t>index-patient</w:t>
      </w:r>
      <w:r w:rsidRPr="00493F3C">
        <w:rPr>
          <w:rFonts w:ascii="Arial" w:eastAsia="MS Mincho" w:hAnsi="Arial" w:cs="Arial"/>
          <w:lang w:val="en-GB" w:eastAsia="ja-JP"/>
        </w:rPr>
        <w:t xml:space="preserve">.  </w:t>
      </w:r>
    </w:p>
    <w:p w:rsidR="0071027C" w:rsidRPr="00493F3C" w:rsidRDefault="0071027C" w:rsidP="0071027C">
      <w:pPr>
        <w:spacing w:before="120" w:after="120" w:line="240" w:lineRule="auto"/>
        <w:jc w:val="both"/>
        <w:rPr>
          <w:rFonts w:ascii="Arial" w:eastAsia="MS Mincho" w:hAnsi="Arial" w:cs="Arial"/>
          <w:lang w:val="en-GB" w:eastAsia="ja-JP"/>
        </w:rPr>
      </w:pPr>
    </w:p>
    <w:p w:rsidR="0071027C" w:rsidRPr="00F43DEF" w:rsidRDefault="0071027C" w:rsidP="00274941">
      <w:pPr>
        <w:widowControl/>
        <w:numPr>
          <w:ilvl w:val="0"/>
          <w:numId w:val="16"/>
        </w:numPr>
        <w:spacing w:before="120" w:after="120" w:line="240" w:lineRule="auto"/>
        <w:jc w:val="both"/>
        <w:rPr>
          <w:rFonts w:ascii="Arial" w:eastAsia="MS Mincho" w:hAnsi="Arial" w:cs="Arial"/>
          <w:lang w:val="en-GB" w:eastAsia="ja-JP"/>
        </w:rPr>
      </w:pPr>
      <w:r w:rsidRPr="00F43DEF">
        <w:rPr>
          <w:rFonts w:ascii="Arial" w:eastAsia="MS Mincho" w:hAnsi="Arial" w:cs="Arial"/>
          <w:b/>
          <w:lang w:val="en-GB" w:eastAsia="ja-JP"/>
        </w:rPr>
        <w:t>Door-to-door model:</w:t>
      </w:r>
      <w:r w:rsidRPr="00F43DEF">
        <w:rPr>
          <w:rFonts w:ascii="Arial" w:eastAsia="MS Mincho" w:hAnsi="Arial" w:cs="Arial"/>
          <w:lang w:val="en-GB" w:eastAsia="ja-JP"/>
        </w:rPr>
        <w:t xml:space="preserve"> HTC providers aim to provide HTC services in all homes within a specific, pre-defined geographic area. This approach is best utilized in areas with high population density (for obtaining access to a large number of people and ease of getting around within the community), low numbers of people previously tested (to increase access to persons who don’t know their HIV status), or to areas with high HIV prevalence (to increase identification and referral of PLHIV and discordant couples). This model requires strong community linkages and advance preparation to ensure acceptance into the community and homes. </w:t>
      </w:r>
    </w:p>
    <w:p w:rsidR="0071027C" w:rsidRPr="00F43DEF" w:rsidRDefault="0071027C" w:rsidP="00274941">
      <w:pPr>
        <w:widowControl/>
        <w:numPr>
          <w:ilvl w:val="0"/>
          <w:numId w:val="16"/>
        </w:numPr>
        <w:spacing w:before="120" w:after="120" w:line="240" w:lineRule="auto"/>
        <w:jc w:val="both"/>
        <w:rPr>
          <w:rFonts w:ascii="Arial" w:eastAsia="MS Mincho" w:hAnsi="Arial" w:cs="Arial"/>
          <w:lang w:val="en-GB" w:eastAsia="ja-JP"/>
        </w:rPr>
      </w:pPr>
      <w:r w:rsidRPr="00F43DEF">
        <w:rPr>
          <w:rFonts w:ascii="Arial" w:eastAsia="MS Mincho" w:hAnsi="Arial" w:cs="Arial"/>
          <w:b/>
          <w:lang w:val="en-GB" w:eastAsia="ja-JP"/>
        </w:rPr>
        <w:t xml:space="preserve">Index patient model: </w:t>
      </w:r>
      <w:r w:rsidRPr="00F43DEF">
        <w:rPr>
          <w:rFonts w:ascii="Arial" w:eastAsia="MS Mincho" w:hAnsi="Arial" w:cs="Arial"/>
          <w:lang w:val="en-GB" w:eastAsia="ja-JP"/>
        </w:rPr>
        <w:t>The trained health care professionals or HTC providers visit the home of a</w:t>
      </w:r>
      <w:r w:rsidR="00AE55A9">
        <w:rPr>
          <w:rFonts w:ascii="Arial" w:eastAsia="MS Mincho" w:hAnsi="Arial" w:cs="Arial"/>
          <w:lang w:val="en-GB" w:eastAsia="ja-JP"/>
        </w:rPr>
        <w:t xml:space="preserve"> </w:t>
      </w:r>
      <w:r w:rsidRPr="00F43DEF">
        <w:rPr>
          <w:rFonts w:ascii="Arial" w:eastAsia="MS Mincho" w:hAnsi="Arial" w:cs="Arial"/>
          <w:lang w:val="en-GB" w:eastAsia="ja-JP"/>
        </w:rPr>
        <w:t xml:space="preserve">known HIV-infected person (e.g. a patient currently enrolled in pre-ART care or treatment) with their consent, and offer HTC services to their partner(s), spouse(s), or family member(s). The index patient model may be most effective for facilitating disclosure of HIV status among couples, and for increasing identification and referral of adults and children living with HIV and discordant couples. </w:t>
      </w:r>
    </w:p>
    <w:p w:rsidR="0071027C" w:rsidRPr="00F43DEF" w:rsidRDefault="0071027C" w:rsidP="0071027C">
      <w:pPr>
        <w:pStyle w:val="Heading4"/>
        <w:rPr>
          <w:lang w:val="en-GB"/>
        </w:rPr>
      </w:pPr>
      <w:r w:rsidRPr="00F43DEF">
        <w:rPr>
          <w:lang w:val="en-GB"/>
        </w:rPr>
        <w:t>3.</w:t>
      </w:r>
      <w:r>
        <w:rPr>
          <w:lang w:val="en-GB"/>
        </w:rPr>
        <w:t>2</w:t>
      </w:r>
      <w:r w:rsidRPr="00F43DEF">
        <w:rPr>
          <w:lang w:val="en-GB"/>
        </w:rPr>
        <w:t>.3</w:t>
      </w:r>
      <w:r>
        <w:rPr>
          <w:lang w:val="en-GB"/>
        </w:rPr>
        <w:t>.3</w:t>
      </w:r>
      <w:r w:rsidRPr="00F43DEF">
        <w:rPr>
          <w:lang w:val="en-GB"/>
        </w:rPr>
        <w:t xml:space="preserve"> Integrating Home-Based HTC </w:t>
      </w:r>
    </w:p>
    <w:p w:rsidR="0071027C" w:rsidRDefault="0071027C" w:rsidP="0071027C">
      <w:pPr>
        <w:spacing w:before="120" w:after="120" w:line="240" w:lineRule="auto"/>
        <w:jc w:val="both"/>
        <w:rPr>
          <w:rFonts w:ascii="Arial" w:hAnsi="Arial" w:cs="Arial"/>
          <w:bCs/>
          <w:lang w:val="en-GB"/>
        </w:rPr>
      </w:pPr>
      <w:r w:rsidRPr="00F43DEF">
        <w:rPr>
          <w:rFonts w:ascii="Arial" w:hAnsi="Arial" w:cs="Arial"/>
          <w:lang w:val="en-GB"/>
        </w:rPr>
        <w:t xml:space="preserve">Home-based HTC shall be </w:t>
      </w:r>
      <w:r w:rsidRPr="00F43DEF">
        <w:rPr>
          <w:rFonts w:ascii="Arial" w:hAnsi="Arial" w:cs="Arial"/>
          <w:b/>
          <w:i/>
          <w:lang w:val="en-GB"/>
        </w:rPr>
        <w:t>integrated with other community health services</w:t>
      </w:r>
      <w:r w:rsidRPr="00F43DEF">
        <w:rPr>
          <w:rFonts w:ascii="Arial" w:hAnsi="Arial" w:cs="Arial"/>
          <w:lang w:val="en-GB"/>
        </w:rPr>
        <w:t>, or other health services may be added to home-based HTC. Examples of integrated services with home-based HTC include home-based HIV care, TB screening and treatment, immunization, malaria screening, or other community care or health education services. One advantage of this approach is that it shall build upon the community health platform and facilitate linkages with other health services. However, it shall also require additional training and extended roles for HTC, community health, or other health care providers. Programmes implementing community health services shall consider integrating home-based HTC to maximize access to HTC services and linkage to follow-up care, treatment, prevention and support services</w:t>
      </w:r>
      <w:r w:rsidRPr="00F43DEF">
        <w:rPr>
          <w:rFonts w:ascii="Arial" w:hAnsi="Arial" w:cs="Arial"/>
          <w:b/>
          <w:lang w:val="en-GB"/>
        </w:rPr>
        <w:t xml:space="preserve">. </w:t>
      </w:r>
      <w:r w:rsidRPr="00F43DEF">
        <w:rPr>
          <w:rFonts w:ascii="Arial" w:hAnsi="Arial" w:cs="Arial"/>
          <w:bCs/>
          <w:lang w:val="en-GB"/>
        </w:rPr>
        <w:t xml:space="preserve">However, HTC providers must undergo the relevant trainings to empower them to provide the services. </w:t>
      </w:r>
      <w:bookmarkStart w:id="143" w:name="_Toc373761276"/>
      <w:bookmarkStart w:id="144" w:name="_Toc378258115"/>
    </w:p>
    <w:p w:rsidR="0071027C" w:rsidRDefault="0071027C" w:rsidP="0071027C">
      <w:pPr>
        <w:pStyle w:val="Heading3"/>
        <w:rPr>
          <w:rFonts w:eastAsia="Times New Roman"/>
        </w:rPr>
      </w:pPr>
    </w:p>
    <w:p w:rsidR="0071027C" w:rsidRDefault="0071027C" w:rsidP="0071027C">
      <w:pPr>
        <w:pStyle w:val="Heading3"/>
      </w:pPr>
      <w:bookmarkStart w:id="145" w:name="_Toc382213972"/>
      <w:r w:rsidRPr="00493F3C">
        <w:rPr>
          <w:rFonts w:eastAsia="Times New Roman"/>
        </w:rPr>
        <w:t>3.2.</w:t>
      </w:r>
      <w:r>
        <w:rPr>
          <w:rFonts w:eastAsia="Times New Roman"/>
        </w:rPr>
        <w:t>4</w:t>
      </w:r>
      <w:r w:rsidRPr="00493F3C">
        <w:rPr>
          <w:rFonts w:eastAsia="Times New Roman"/>
        </w:rPr>
        <w:t xml:space="preserve"> Couple HIV Testing and Counseling (CHTC)</w:t>
      </w:r>
      <w:bookmarkEnd w:id="143"/>
      <w:bookmarkEnd w:id="144"/>
      <w:bookmarkEnd w:id="145"/>
    </w:p>
    <w:p w:rsidR="0071027C" w:rsidRPr="00C65769" w:rsidRDefault="0071027C" w:rsidP="0071027C">
      <w:pPr>
        <w:spacing w:before="120" w:after="120" w:line="240" w:lineRule="auto"/>
        <w:jc w:val="both"/>
        <w:rPr>
          <w:b/>
          <w:bCs/>
        </w:rPr>
      </w:pPr>
      <w:r w:rsidRPr="00493F3C">
        <w:rPr>
          <w:rFonts w:ascii="Arial" w:hAnsi="Arial" w:cs="Arial"/>
          <w:lang w:val="en-GB"/>
        </w:rPr>
        <w:t>Two or more persons who are in or are planning to be in a sexual relationship are considered a couple</w:t>
      </w:r>
      <w:r>
        <w:rPr>
          <w:rFonts w:ascii="Arial" w:hAnsi="Arial" w:cs="Arial"/>
          <w:lang w:val="en-GB"/>
        </w:rPr>
        <w:t>.</w:t>
      </w:r>
      <w:r w:rsidRPr="00493F3C">
        <w:rPr>
          <w:rFonts w:ascii="Arial" w:eastAsia="Calibri" w:hAnsi="Arial" w:cs="Arial"/>
        </w:rPr>
        <w:t xml:space="preserve"> </w:t>
      </w:r>
      <w:r>
        <w:rPr>
          <w:rFonts w:ascii="Arial" w:eastAsia="Calibri" w:hAnsi="Arial" w:cs="Arial"/>
        </w:rPr>
        <w:t>E</w:t>
      </w:r>
      <w:r w:rsidRPr="00493F3C">
        <w:rPr>
          <w:rFonts w:ascii="Arial" w:eastAsia="Calibri" w:hAnsi="Arial" w:cs="Arial"/>
        </w:rPr>
        <w:t>ach of these persons is referred to as a “partner” in the relationship.</w:t>
      </w:r>
      <w:r>
        <w:rPr>
          <w:rFonts w:ascii="Arial" w:eastAsia="Calibri" w:hAnsi="Arial" w:cs="Arial"/>
        </w:rPr>
        <w:t xml:space="preserve"> </w:t>
      </w:r>
      <w:r w:rsidRPr="00493F3C">
        <w:rPr>
          <w:rFonts w:ascii="Arial" w:hAnsi="Arial" w:cs="Arial"/>
        </w:rPr>
        <w:t xml:space="preserve">Services should be offered to married and cohabiting couples, premarital couples, polygamous unions and any other partnerships. As with all HIV testing and counselling approaches, couples HIV testing and counselling should be voluntary. Healthcare providers must be aware of the potential for intimate partner–based violence and should support individuals when they do not want to test </w:t>
      </w:r>
      <w:r w:rsidRPr="00493F3C">
        <w:rPr>
          <w:rFonts w:ascii="Arial" w:hAnsi="Arial" w:cs="Arial"/>
        </w:rPr>
        <w:lastRenderedPageBreak/>
        <w:t>with their partners. Couples HIV testing and counselling can be offered in all settings</w:t>
      </w:r>
      <w:r>
        <w:rPr>
          <w:rFonts w:ascii="Arial" w:hAnsi="Arial" w:cs="Arial"/>
        </w:rPr>
        <w:t xml:space="preserve"> </w:t>
      </w:r>
      <w:r w:rsidRPr="00493F3C">
        <w:rPr>
          <w:rFonts w:ascii="Arial" w:hAnsi="Arial" w:cs="Arial"/>
        </w:rPr>
        <w:t>where HIV testing and counselling is provided, including antenatal care and TB services. Health Care workers should support</w:t>
      </w:r>
      <w:r w:rsidR="00AE55A9">
        <w:rPr>
          <w:rFonts w:ascii="Arial" w:hAnsi="Arial" w:cs="Arial"/>
        </w:rPr>
        <w:t xml:space="preserve"> </w:t>
      </w:r>
      <w:r w:rsidRPr="00493F3C">
        <w:rPr>
          <w:rFonts w:ascii="Arial" w:hAnsi="Arial" w:cs="Arial"/>
        </w:rPr>
        <w:t>and encourage the testing of the partners of people living with HIV who then can benefit from treatment.</w:t>
      </w:r>
      <w:r w:rsidR="00AE55A9">
        <w:rPr>
          <w:rFonts w:ascii="Arial" w:hAnsi="Arial" w:cs="Arial"/>
        </w:rPr>
        <w:t xml:space="preserve"> </w:t>
      </w:r>
      <w:r w:rsidRPr="00493F3C">
        <w:rPr>
          <w:rFonts w:ascii="Arial" w:hAnsi="Arial" w:cs="Arial"/>
        </w:rPr>
        <w:t>Furthermore, couples HIV testing and counselling can be an important intervention to</w:t>
      </w:r>
      <w:r w:rsidR="00AE55A9">
        <w:rPr>
          <w:rFonts w:ascii="Arial" w:hAnsi="Arial" w:cs="Arial"/>
        </w:rPr>
        <w:t xml:space="preserve"> </w:t>
      </w:r>
      <w:r w:rsidRPr="00493F3C">
        <w:rPr>
          <w:rFonts w:ascii="Arial" w:hAnsi="Arial" w:cs="Arial"/>
        </w:rPr>
        <w:t xml:space="preserve">increase access to earlier ART and reach more men with treatment. </w:t>
      </w:r>
    </w:p>
    <w:p w:rsidR="0071027C" w:rsidRPr="00493F3C" w:rsidRDefault="0071027C" w:rsidP="0071027C">
      <w:pPr>
        <w:autoSpaceDE w:val="0"/>
        <w:autoSpaceDN w:val="0"/>
        <w:adjustRightInd w:val="0"/>
        <w:spacing w:before="120" w:after="120" w:line="240" w:lineRule="auto"/>
        <w:jc w:val="both"/>
        <w:rPr>
          <w:rFonts w:ascii="Arial" w:eastAsia="Calibri" w:hAnsi="Arial" w:cs="Arial"/>
        </w:rPr>
      </w:pPr>
      <w:r w:rsidRPr="00493F3C">
        <w:rPr>
          <w:rFonts w:ascii="Arial" w:eastAsia="Calibri" w:hAnsi="Arial" w:cs="Arial"/>
        </w:rPr>
        <w:t>There are many potential benefits to supporting couples to test together for HIV infection and to mutually disclose their HIV status</w:t>
      </w:r>
      <w:r>
        <w:rPr>
          <w:rFonts w:ascii="Arial" w:eastAsia="Calibri" w:hAnsi="Arial" w:cs="Arial"/>
        </w:rPr>
        <w:t xml:space="preserve">. The most important thing is </w:t>
      </w:r>
      <w:r w:rsidRPr="00493F3C">
        <w:rPr>
          <w:rFonts w:ascii="Arial" w:eastAsia="Calibri" w:hAnsi="Arial" w:cs="Arial"/>
        </w:rPr>
        <w:t>that</w:t>
      </w:r>
      <w:r>
        <w:rPr>
          <w:rFonts w:ascii="Arial" w:eastAsia="Calibri" w:hAnsi="Arial" w:cs="Arial"/>
        </w:rPr>
        <w:t>,</w:t>
      </w:r>
      <w:r w:rsidRPr="00493F3C">
        <w:rPr>
          <w:rFonts w:ascii="Arial" w:eastAsia="Calibri" w:hAnsi="Arial" w:cs="Arial"/>
        </w:rPr>
        <w:t xml:space="preserve"> together they can then make informed decisions about HIV prevention and reproductive health, including contraception and conception. </w:t>
      </w:r>
    </w:p>
    <w:p w:rsidR="0071027C" w:rsidRPr="00C65769" w:rsidRDefault="0071027C" w:rsidP="0071027C">
      <w:pPr>
        <w:rPr>
          <w:rFonts w:ascii="Arial" w:hAnsi="Arial" w:cs="Arial"/>
          <w:b/>
        </w:rPr>
      </w:pPr>
      <w:r w:rsidRPr="00C65769">
        <w:rPr>
          <w:rFonts w:ascii="Arial" w:hAnsi="Arial" w:cs="Arial"/>
          <w:b/>
          <w:szCs w:val="24"/>
        </w:rPr>
        <w:t xml:space="preserve">Table 3.1: </w:t>
      </w:r>
      <w:r w:rsidRPr="00C65769">
        <w:rPr>
          <w:rFonts w:ascii="Arial" w:hAnsi="Arial" w:cs="Arial"/>
          <w:b/>
        </w:rPr>
        <w:t>Comparison between Individual and Couple HTC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1027C" w:rsidRPr="00F43DEF" w:rsidTr="0071027C">
        <w:trPr>
          <w:trHeight w:val="62"/>
        </w:trPr>
        <w:tc>
          <w:tcPr>
            <w:tcW w:w="4788" w:type="dxa"/>
            <w:shd w:val="clear" w:color="auto" w:fill="C2D69B" w:themeFill="accent3" w:themeFillTint="99"/>
          </w:tcPr>
          <w:p w:rsidR="0071027C" w:rsidRPr="00F43DEF" w:rsidRDefault="0071027C" w:rsidP="00AA771C">
            <w:pPr>
              <w:autoSpaceDE w:val="0"/>
              <w:autoSpaceDN w:val="0"/>
              <w:adjustRightInd w:val="0"/>
              <w:spacing w:beforeLines="50" w:before="120" w:afterLines="50" w:after="120" w:line="240" w:lineRule="auto"/>
              <w:jc w:val="both"/>
              <w:rPr>
                <w:rFonts w:ascii="Arial" w:eastAsia="Calibri" w:hAnsi="Arial" w:cs="Arial"/>
                <w:b/>
                <w:bCs/>
              </w:rPr>
            </w:pPr>
            <w:r w:rsidRPr="00F43DEF">
              <w:rPr>
                <w:rFonts w:ascii="Arial" w:eastAsia="Calibri" w:hAnsi="Arial" w:cs="Arial"/>
                <w:b/>
                <w:bCs/>
              </w:rPr>
              <w:t>Individual HTC</w:t>
            </w:r>
          </w:p>
        </w:tc>
        <w:tc>
          <w:tcPr>
            <w:tcW w:w="4788" w:type="dxa"/>
            <w:shd w:val="clear" w:color="auto" w:fill="C2D69B" w:themeFill="accent3" w:themeFillTint="99"/>
          </w:tcPr>
          <w:p w:rsidR="0071027C" w:rsidRPr="00F43DEF" w:rsidRDefault="0071027C" w:rsidP="00AA771C">
            <w:pPr>
              <w:autoSpaceDE w:val="0"/>
              <w:autoSpaceDN w:val="0"/>
              <w:adjustRightInd w:val="0"/>
              <w:spacing w:beforeLines="50" w:before="120" w:afterLines="50" w:after="120" w:line="240" w:lineRule="auto"/>
              <w:jc w:val="both"/>
              <w:rPr>
                <w:rFonts w:ascii="Arial" w:eastAsia="Calibri" w:hAnsi="Arial" w:cs="Arial"/>
                <w:b/>
                <w:bCs/>
              </w:rPr>
            </w:pPr>
            <w:r w:rsidRPr="00F43DEF">
              <w:rPr>
                <w:rFonts w:ascii="Arial" w:eastAsia="Calibri" w:hAnsi="Arial" w:cs="Arial"/>
                <w:b/>
                <w:bCs/>
              </w:rPr>
              <w:t>Couples HTC</w:t>
            </w:r>
          </w:p>
        </w:tc>
      </w:tr>
      <w:tr w:rsidR="0071027C" w:rsidRPr="00F43DEF" w:rsidTr="0071027C">
        <w:trPr>
          <w:trHeight w:val="467"/>
        </w:trPr>
        <w:tc>
          <w:tcPr>
            <w:tcW w:w="4788" w:type="dxa"/>
          </w:tcPr>
          <w:p w:rsidR="0071027C" w:rsidRPr="00F43DEF" w:rsidRDefault="0071027C" w:rsidP="0071027C">
            <w:pPr>
              <w:autoSpaceDE w:val="0"/>
              <w:autoSpaceDN w:val="0"/>
              <w:adjustRightInd w:val="0"/>
              <w:spacing w:before="60" w:after="60" w:line="240" w:lineRule="auto"/>
              <w:jc w:val="both"/>
              <w:rPr>
                <w:rFonts w:ascii="Arial" w:eastAsia="Calibri" w:hAnsi="Arial" w:cs="Arial"/>
                <w:b/>
                <w:bCs/>
              </w:rPr>
            </w:pPr>
            <w:r w:rsidRPr="00F43DEF">
              <w:rPr>
                <w:rFonts w:ascii="Arial" w:eastAsia="Calibri" w:hAnsi="Arial" w:cs="Arial"/>
              </w:rPr>
              <w:t>Individual learns only his/her own HIV status.</w:t>
            </w:r>
          </w:p>
        </w:tc>
        <w:tc>
          <w:tcPr>
            <w:tcW w:w="4788" w:type="dxa"/>
          </w:tcPr>
          <w:p w:rsidR="0071027C" w:rsidRPr="00F43DEF" w:rsidRDefault="0071027C" w:rsidP="0071027C">
            <w:pPr>
              <w:autoSpaceDE w:val="0"/>
              <w:autoSpaceDN w:val="0"/>
              <w:adjustRightInd w:val="0"/>
              <w:spacing w:before="60" w:after="60" w:line="240" w:lineRule="auto"/>
              <w:jc w:val="both"/>
              <w:rPr>
                <w:rFonts w:ascii="Arial" w:eastAsia="Calibri" w:hAnsi="Arial" w:cs="Arial"/>
                <w:b/>
                <w:bCs/>
              </w:rPr>
            </w:pPr>
            <w:r w:rsidRPr="00F43DEF">
              <w:rPr>
                <w:rFonts w:ascii="Arial" w:eastAsia="Calibri" w:hAnsi="Arial" w:cs="Arial"/>
              </w:rPr>
              <w:t>Individuals learn their own HIV status and the status of their partner.</w:t>
            </w:r>
          </w:p>
        </w:tc>
      </w:tr>
      <w:tr w:rsidR="0071027C" w:rsidRPr="00F43DEF" w:rsidTr="0071027C">
        <w:tc>
          <w:tcPr>
            <w:tcW w:w="4788" w:type="dxa"/>
          </w:tcPr>
          <w:p w:rsidR="0071027C" w:rsidRPr="00F43DEF" w:rsidRDefault="0071027C" w:rsidP="0071027C">
            <w:pPr>
              <w:autoSpaceDE w:val="0"/>
              <w:autoSpaceDN w:val="0"/>
              <w:adjustRightInd w:val="0"/>
              <w:spacing w:before="60" w:after="60" w:line="240" w:lineRule="auto"/>
              <w:jc w:val="both"/>
              <w:rPr>
                <w:rFonts w:ascii="Arial" w:eastAsia="Calibri" w:hAnsi="Arial" w:cs="Arial"/>
                <w:b/>
                <w:bCs/>
              </w:rPr>
            </w:pPr>
            <w:r w:rsidRPr="00F43DEF">
              <w:rPr>
                <w:rFonts w:ascii="Arial" w:eastAsia="Calibri" w:hAnsi="Arial" w:cs="Arial"/>
              </w:rPr>
              <w:t>Individual assumes burden of disclosing to partner.</w:t>
            </w:r>
          </w:p>
        </w:tc>
        <w:tc>
          <w:tcPr>
            <w:tcW w:w="4788" w:type="dxa"/>
          </w:tcPr>
          <w:p w:rsidR="0071027C" w:rsidRPr="00F43DEF" w:rsidRDefault="0071027C" w:rsidP="0071027C">
            <w:pPr>
              <w:autoSpaceDE w:val="0"/>
              <w:autoSpaceDN w:val="0"/>
              <w:adjustRightInd w:val="0"/>
              <w:spacing w:before="60" w:after="60" w:line="240" w:lineRule="auto"/>
              <w:jc w:val="both"/>
              <w:rPr>
                <w:rFonts w:ascii="Arial" w:eastAsia="Calibri" w:hAnsi="Arial" w:cs="Arial"/>
                <w:b/>
                <w:bCs/>
              </w:rPr>
            </w:pPr>
            <w:r w:rsidRPr="00F43DEF">
              <w:rPr>
                <w:rFonts w:ascii="Arial" w:eastAsia="Calibri" w:hAnsi="Arial" w:cs="Arial"/>
              </w:rPr>
              <w:t>Mutual disclosure is immediate.</w:t>
            </w:r>
          </w:p>
        </w:tc>
      </w:tr>
      <w:tr w:rsidR="0071027C" w:rsidRPr="00F43DEF" w:rsidTr="0071027C">
        <w:tc>
          <w:tcPr>
            <w:tcW w:w="4788" w:type="dxa"/>
          </w:tcPr>
          <w:p w:rsidR="0071027C" w:rsidRPr="00F43DEF" w:rsidRDefault="0071027C" w:rsidP="0071027C">
            <w:pPr>
              <w:autoSpaceDE w:val="0"/>
              <w:autoSpaceDN w:val="0"/>
              <w:adjustRightInd w:val="0"/>
              <w:spacing w:before="60" w:after="60" w:line="240" w:lineRule="auto"/>
              <w:jc w:val="both"/>
              <w:rPr>
                <w:rFonts w:ascii="Arial" w:eastAsia="Calibri" w:hAnsi="Arial" w:cs="Arial"/>
                <w:b/>
                <w:bCs/>
              </w:rPr>
            </w:pPr>
            <w:r w:rsidRPr="00F43DEF">
              <w:rPr>
                <w:rFonts w:ascii="Arial" w:eastAsia="Calibri" w:hAnsi="Arial" w:cs="Arial"/>
              </w:rPr>
              <w:t>Couple has to deal with issues of tension and blame on their own.</w:t>
            </w:r>
          </w:p>
        </w:tc>
        <w:tc>
          <w:tcPr>
            <w:tcW w:w="4788" w:type="dxa"/>
          </w:tcPr>
          <w:p w:rsidR="0071027C" w:rsidRPr="00F43DEF" w:rsidRDefault="0071027C" w:rsidP="0071027C">
            <w:pPr>
              <w:autoSpaceDE w:val="0"/>
              <w:autoSpaceDN w:val="0"/>
              <w:adjustRightInd w:val="0"/>
              <w:spacing w:before="60" w:after="60" w:line="240" w:lineRule="auto"/>
              <w:jc w:val="both"/>
              <w:rPr>
                <w:rFonts w:ascii="Arial" w:eastAsia="Calibri" w:hAnsi="Arial" w:cs="Arial"/>
                <w:b/>
                <w:bCs/>
              </w:rPr>
            </w:pPr>
            <w:r w:rsidRPr="00F43DEF">
              <w:rPr>
                <w:rFonts w:ascii="Arial" w:eastAsia="Calibri" w:hAnsi="Arial" w:cs="Arial"/>
              </w:rPr>
              <w:t>Counselor can help ease tension and diffuse blame.</w:t>
            </w:r>
          </w:p>
        </w:tc>
      </w:tr>
      <w:tr w:rsidR="0071027C" w:rsidRPr="00F43DEF" w:rsidTr="0071027C">
        <w:trPr>
          <w:trHeight w:val="854"/>
        </w:trPr>
        <w:tc>
          <w:tcPr>
            <w:tcW w:w="4788" w:type="dxa"/>
          </w:tcPr>
          <w:p w:rsidR="0071027C" w:rsidRPr="00F43DEF" w:rsidRDefault="0071027C" w:rsidP="0071027C">
            <w:pPr>
              <w:autoSpaceDE w:val="0"/>
              <w:autoSpaceDN w:val="0"/>
              <w:adjustRightInd w:val="0"/>
              <w:spacing w:before="60" w:after="60" w:line="240" w:lineRule="auto"/>
              <w:jc w:val="both"/>
              <w:rPr>
                <w:rFonts w:ascii="Arial" w:eastAsia="Calibri" w:hAnsi="Arial" w:cs="Arial"/>
                <w:b/>
                <w:bCs/>
              </w:rPr>
            </w:pPr>
            <w:r w:rsidRPr="00F43DEF">
              <w:rPr>
                <w:rFonts w:ascii="Arial" w:eastAsia="Calibri" w:hAnsi="Arial" w:cs="Arial"/>
              </w:rPr>
              <w:t>Only one partner hears the information.</w:t>
            </w:r>
          </w:p>
        </w:tc>
        <w:tc>
          <w:tcPr>
            <w:tcW w:w="4788" w:type="dxa"/>
          </w:tcPr>
          <w:p w:rsidR="0071027C" w:rsidRPr="00F43DEF" w:rsidRDefault="0071027C" w:rsidP="0071027C">
            <w:pPr>
              <w:autoSpaceDE w:val="0"/>
              <w:autoSpaceDN w:val="0"/>
              <w:adjustRightInd w:val="0"/>
              <w:spacing w:before="60" w:after="60" w:line="240" w:lineRule="auto"/>
              <w:jc w:val="both"/>
              <w:rPr>
                <w:rFonts w:ascii="Arial" w:eastAsia="Calibri" w:hAnsi="Arial" w:cs="Arial"/>
                <w:b/>
                <w:bCs/>
              </w:rPr>
            </w:pPr>
            <w:r w:rsidRPr="00F43DEF">
              <w:rPr>
                <w:rFonts w:ascii="Arial" w:eastAsia="Calibri" w:hAnsi="Arial" w:cs="Arial"/>
              </w:rPr>
              <w:t>Partners hear information together, enhancing likelihood of shared understanding.</w:t>
            </w:r>
          </w:p>
        </w:tc>
      </w:tr>
      <w:tr w:rsidR="0071027C" w:rsidRPr="00F43DEF" w:rsidTr="0071027C">
        <w:tc>
          <w:tcPr>
            <w:tcW w:w="4788" w:type="dxa"/>
          </w:tcPr>
          <w:p w:rsidR="0071027C" w:rsidRPr="00F43DEF" w:rsidRDefault="0071027C" w:rsidP="0071027C">
            <w:pPr>
              <w:autoSpaceDE w:val="0"/>
              <w:autoSpaceDN w:val="0"/>
              <w:adjustRightInd w:val="0"/>
              <w:spacing w:before="60" w:after="60" w:line="240" w:lineRule="auto"/>
              <w:jc w:val="both"/>
              <w:rPr>
                <w:rFonts w:ascii="Arial" w:eastAsia="Calibri" w:hAnsi="Arial" w:cs="Arial"/>
                <w:b/>
                <w:bCs/>
              </w:rPr>
            </w:pPr>
            <w:r w:rsidRPr="00F43DEF">
              <w:rPr>
                <w:rFonts w:ascii="Arial" w:eastAsia="Calibri" w:hAnsi="Arial" w:cs="Arial"/>
              </w:rPr>
              <w:t>Counseling messages take into account only one partner’s status; individuals may wrongly assume that their partner’s status is the same as their own.</w:t>
            </w:r>
          </w:p>
        </w:tc>
        <w:tc>
          <w:tcPr>
            <w:tcW w:w="4788" w:type="dxa"/>
          </w:tcPr>
          <w:p w:rsidR="0071027C" w:rsidRPr="00F43DEF" w:rsidRDefault="0071027C" w:rsidP="0071027C">
            <w:pPr>
              <w:autoSpaceDE w:val="0"/>
              <w:autoSpaceDN w:val="0"/>
              <w:adjustRightInd w:val="0"/>
              <w:spacing w:before="60" w:after="60" w:line="240" w:lineRule="auto"/>
              <w:jc w:val="both"/>
              <w:rPr>
                <w:rFonts w:ascii="Arial" w:eastAsia="Calibri" w:hAnsi="Arial" w:cs="Arial"/>
                <w:b/>
                <w:bCs/>
              </w:rPr>
            </w:pPr>
            <w:r w:rsidRPr="00F43DEF">
              <w:rPr>
                <w:rFonts w:ascii="Arial" w:eastAsia="Calibri" w:hAnsi="Arial" w:cs="Arial"/>
              </w:rPr>
              <w:t>Counseling messages are tailored, based on the test results of both partners.</w:t>
            </w:r>
          </w:p>
        </w:tc>
      </w:tr>
      <w:tr w:rsidR="0071027C" w:rsidRPr="00F43DEF" w:rsidTr="0071027C">
        <w:tc>
          <w:tcPr>
            <w:tcW w:w="4788" w:type="dxa"/>
          </w:tcPr>
          <w:p w:rsidR="0071027C" w:rsidRPr="00F43DEF" w:rsidRDefault="0071027C" w:rsidP="0071027C">
            <w:pPr>
              <w:autoSpaceDE w:val="0"/>
              <w:autoSpaceDN w:val="0"/>
              <w:adjustRightInd w:val="0"/>
              <w:spacing w:before="60" w:after="60" w:line="240" w:lineRule="auto"/>
              <w:jc w:val="both"/>
              <w:rPr>
                <w:rFonts w:ascii="Arial" w:eastAsia="Calibri" w:hAnsi="Arial" w:cs="Arial"/>
                <w:b/>
                <w:bCs/>
              </w:rPr>
            </w:pPr>
            <w:r w:rsidRPr="00F43DEF">
              <w:rPr>
                <w:rFonts w:ascii="Arial" w:eastAsia="Calibri" w:hAnsi="Arial" w:cs="Arial"/>
              </w:rPr>
              <w:t>Counselor is not present to facilitate the couple’s discussion about difficult issues.</w:t>
            </w:r>
          </w:p>
        </w:tc>
        <w:tc>
          <w:tcPr>
            <w:tcW w:w="4788" w:type="dxa"/>
          </w:tcPr>
          <w:p w:rsidR="0071027C" w:rsidRPr="00F43DEF" w:rsidRDefault="0071027C" w:rsidP="0071027C">
            <w:pPr>
              <w:autoSpaceDE w:val="0"/>
              <w:autoSpaceDN w:val="0"/>
              <w:adjustRightInd w:val="0"/>
              <w:spacing w:before="60" w:after="60" w:line="240" w:lineRule="auto"/>
              <w:jc w:val="both"/>
              <w:rPr>
                <w:rFonts w:ascii="Arial" w:eastAsia="Calibri" w:hAnsi="Arial" w:cs="Arial"/>
                <w:b/>
                <w:bCs/>
              </w:rPr>
            </w:pPr>
            <w:r w:rsidRPr="00F43DEF">
              <w:rPr>
                <w:rFonts w:ascii="Arial" w:eastAsia="Calibri" w:hAnsi="Arial" w:cs="Arial"/>
              </w:rPr>
              <w:t>Counselor creates a safe environment and can help couples talk through difficult issues that they may not have discussed before.</w:t>
            </w:r>
          </w:p>
        </w:tc>
      </w:tr>
      <w:tr w:rsidR="0071027C" w:rsidRPr="00F43DEF" w:rsidTr="0071027C">
        <w:tc>
          <w:tcPr>
            <w:tcW w:w="4788" w:type="dxa"/>
          </w:tcPr>
          <w:p w:rsidR="0071027C" w:rsidRPr="00F43DEF" w:rsidRDefault="0071027C" w:rsidP="0071027C">
            <w:pPr>
              <w:autoSpaceDE w:val="0"/>
              <w:autoSpaceDN w:val="0"/>
              <w:adjustRightInd w:val="0"/>
              <w:spacing w:before="60" w:after="60" w:line="240" w:lineRule="auto"/>
              <w:jc w:val="both"/>
              <w:rPr>
                <w:rFonts w:ascii="Arial" w:eastAsia="Calibri" w:hAnsi="Arial" w:cs="Arial"/>
                <w:b/>
                <w:bCs/>
              </w:rPr>
            </w:pPr>
            <w:r w:rsidRPr="00F43DEF">
              <w:rPr>
                <w:rFonts w:ascii="Arial" w:eastAsia="Calibri" w:hAnsi="Arial" w:cs="Arial"/>
              </w:rPr>
              <w:t>Prevention, treatment and care decisions are more likely to be made in isolation.</w:t>
            </w:r>
          </w:p>
        </w:tc>
        <w:tc>
          <w:tcPr>
            <w:tcW w:w="4788" w:type="dxa"/>
          </w:tcPr>
          <w:p w:rsidR="0071027C" w:rsidRPr="00F43DEF" w:rsidRDefault="0071027C" w:rsidP="0071027C">
            <w:pPr>
              <w:autoSpaceDE w:val="0"/>
              <w:autoSpaceDN w:val="0"/>
              <w:adjustRightInd w:val="0"/>
              <w:spacing w:before="60" w:after="60" w:line="240" w:lineRule="auto"/>
              <w:jc w:val="both"/>
              <w:rPr>
                <w:rFonts w:ascii="Arial" w:eastAsia="Calibri" w:hAnsi="Arial" w:cs="Arial"/>
                <w:b/>
                <w:bCs/>
              </w:rPr>
            </w:pPr>
            <w:r w:rsidRPr="00F43DEF">
              <w:rPr>
                <w:rFonts w:ascii="Arial" w:eastAsia="Calibri" w:hAnsi="Arial" w:cs="Arial"/>
              </w:rPr>
              <w:t>Prevention, treatment and care decisions can be made together.</w:t>
            </w:r>
          </w:p>
        </w:tc>
      </w:tr>
      <w:tr w:rsidR="0071027C" w:rsidRPr="00F43DEF" w:rsidTr="0071027C">
        <w:trPr>
          <w:trHeight w:val="422"/>
        </w:trPr>
        <w:tc>
          <w:tcPr>
            <w:tcW w:w="4788" w:type="dxa"/>
          </w:tcPr>
          <w:p w:rsidR="0071027C" w:rsidRPr="00F43DEF" w:rsidRDefault="0071027C" w:rsidP="0071027C">
            <w:pPr>
              <w:autoSpaceDE w:val="0"/>
              <w:autoSpaceDN w:val="0"/>
              <w:adjustRightInd w:val="0"/>
              <w:spacing w:before="60" w:after="60" w:line="240" w:lineRule="auto"/>
              <w:jc w:val="both"/>
              <w:rPr>
                <w:rFonts w:ascii="Arial" w:eastAsia="Calibri" w:hAnsi="Arial" w:cs="Arial"/>
                <w:b/>
                <w:bCs/>
              </w:rPr>
            </w:pPr>
            <w:r w:rsidRPr="00F43DEF">
              <w:rPr>
                <w:rFonts w:ascii="Arial" w:eastAsia="Calibri" w:hAnsi="Arial" w:cs="Arial"/>
              </w:rPr>
              <w:t>Individual bears burden of getting family members, children tested.</w:t>
            </w:r>
          </w:p>
        </w:tc>
        <w:tc>
          <w:tcPr>
            <w:tcW w:w="4788" w:type="dxa"/>
          </w:tcPr>
          <w:p w:rsidR="0071027C" w:rsidRPr="00F43DEF" w:rsidRDefault="0071027C" w:rsidP="0071027C">
            <w:pPr>
              <w:autoSpaceDE w:val="0"/>
              <w:autoSpaceDN w:val="0"/>
              <w:adjustRightInd w:val="0"/>
              <w:spacing w:before="60" w:after="60" w:line="240" w:lineRule="auto"/>
              <w:jc w:val="both"/>
              <w:rPr>
                <w:rFonts w:ascii="Arial" w:eastAsia="Calibri" w:hAnsi="Arial" w:cs="Arial"/>
                <w:b/>
                <w:bCs/>
              </w:rPr>
            </w:pPr>
            <w:r w:rsidRPr="00F43DEF">
              <w:rPr>
                <w:rFonts w:ascii="Arial" w:eastAsia="Calibri" w:hAnsi="Arial" w:cs="Arial"/>
              </w:rPr>
              <w:t>Decisions about family or child testing, as well as family planning, can be made together.</w:t>
            </w:r>
          </w:p>
        </w:tc>
      </w:tr>
    </w:tbl>
    <w:p w:rsidR="0071027C" w:rsidRDefault="0071027C" w:rsidP="0071027C">
      <w:pPr>
        <w:autoSpaceDE w:val="0"/>
        <w:autoSpaceDN w:val="0"/>
        <w:adjustRightInd w:val="0"/>
        <w:spacing w:before="60" w:after="60" w:line="240" w:lineRule="auto"/>
        <w:jc w:val="both"/>
        <w:rPr>
          <w:rFonts w:ascii="Arial Narrow" w:eastAsia="Calibri" w:hAnsi="Arial Narrow" w:cs="Univers-CondensedBold"/>
          <w:b/>
          <w:bCs/>
          <w:sz w:val="24"/>
          <w:szCs w:val="24"/>
        </w:rPr>
      </w:pPr>
    </w:p>
    <w:p w:rsidR="0071027C" w:rsidRPr="007E20BD" w:rsidRDefault="0071027C" w:rsidP="0071027C">
      <w:pPr>
        <w:autoSpaceDE w:val="0"/>
        <w:autoSpaceDN w:val="0"/>
        <w:adjustRightInd w:val="0"/>
        <w:spacing w:before="60" w:after="60" w:line="240" w:lineRule="auto"/>
        <w:jc w:val="both"/>
        <w:rPr>
          <w:rFonts w:ascii="Arial Narrow" w:eastAsia="Calibri" w:hAnsi="Arial Narrow" w:cs="Univers-CondensedBold"/>
          <w:b/>
          <w:bCs/>
          <w:sz w:val="24"/>
          <w:szCs w:val="24"/>
        </w:rPr>
      </w:pPr>
    </w:p>
    <w:p w:rsidR="0071027C" w:rsidRPr="008C1365" w:rsidRDefault="0071027C" w:rsidP="0071027C">
      <w:pPr>
        <w:autoSpaceDE w:val="0"/>
        <w:autoSpaceDN w:val="0"/>
        <w:adjustRightInd w:val="0"/>
        <w:spacing w:before="100" w:beforeAutospacing="1" w:after="100" w:afterAutospacing="1" w:line="288" w:lineRule="auto"/>
        <w:jc w:val="both"/>
        <w:rPr>
          <w:rFonts w:ascii="Arial" w:eastAsia="Calibri" w:hAnsi="Arial" w:cs="Arial"/>
        </w:rPr>
      </w:pPr>
      <w:r w:rsidRPr="008C1365">
        <w:rPr>
          <w:rFonts w:ascii="Arial" w:eastAsia="Calibri" w:hAnsi="Arial" w:cs="Arial"/>
        </w:rPr>
        <w:t>It is important to understand the possible HIV test results during a couples HTC session:</w:t>
      </w:r>
    </w:p>
    <w:p w:rsidR="0071027C" w:rsidRPr="008F296E" w:rsidRDefault="0071027C" w:rsidP="00274941">
      <w:pPr>
        <w:numPr>
          <w:ilvl w:val="0"/>
          <w:numId w:val="9"/>
        </w:numPr>
        <w:autoSpaceDE w:val="0"/>
        <w:autoSpaceDN w:val="0"/>
        <w:adjustRightInd w:val="0"/>
        <w:spacing w:before="100" w:beforeAutospacing="1" w:after="100" w:afterAutospacing="1" w:line="288" w:lineRule="auto"/>
        <w:contextualSpacing/>
        <w:jc w:val="both"/>
        <w:rPr>
          <w:rFonts w:ascii="Arial" w:hAnsi="Arial" w:cs="Arial"/>
          <w:lang w:val="en-GB"/>
        </w:rPr>
      </w:pPr>
      <w:r w:rsidRPr="008F296E">
        <w:rPr>
          <w:rFonts w:ascii="Arial" w:hAnsi="Arial" w:cs="Arial"/>
          <w:b/>
          <w:i/>
          <w:lang w:val="en-GB"/>
        </w:rPr>
        <w:t>A seroconcordant uninfected couple</w:t>
      </w:r>
      <w:r w:rsidRPr="008F296E">
        <w:rPr>
          <w:rFonts w:ascii="Arial" w:hAnsi="Arial" w:cs="Arial"/>
          <w:lang w:val="en-GB"/>
        </w:rPr>
        <w:t xml:space="preserve"> is a couple in which neither partner is infected with HIV. CHTC will help concordant uninfected couples remain uninfected by reassuring them that they are uninfected and emphasizing that avoiding unprotected sex with people outside their relationship is important to keep their future free of HIV. </w:t>
      </w:r>
    </w:p>
    <w:p w:rsidR="0071027C" w:rsidRPr="008F296E" w:rsidRDefault="0071027C" w:rsidP="00274941">
      <w:pPr>
        <w:numPr>
          <w:ilvl w:val="0"/>
          <w:numId w:val="9"/>
        </w:numPr>
        <w:autoSpaceDE w:val="0"/>
        <w:autoSpaceDN w:val="0"/>
        <w:adjustRightInd w:val="0"/>
        <w:spacing w:before="100" w:beforeAutospacing="1" w:after="100" w:afterAutospacing="1" w:line="288" w:lineRule="auto"/>
        <w:contextualSpacing/>
        <w:jc w:val="both"/>
        <w:rPr>
          <w:rFonts w:ascii="Arial" w:hAnsi="Arial" w:cs="Arial"/>
          <w:lang w:val="en-GB"/>
        </w:rPr>
      </w:pPr>
      <w:r w:rsidRPr="008F296E">
        <w:rPr>
          <w:rFonts w:ascii="Arial" w:hAnsi="Arial" w:cs="Arial"/>
          <w:b/>
          <w:i/>
          <w:lang w:val="en-GB"/>
        </w:rPr>
        <w:t>A seroconcordant infected couple</w:t>
      </w:r>
      <w:r w:rsidRPr="008F296E">
        <w:rPr>
          <w:rFonts w:ascii="Arial" w:hAnsi="Arial" w:cs="Arial"/>
          <w:lang w:val="en-GB"/>
        </w:rPr>
        <w:t xml:space="preserve"> is one in which both partners are HIV-infected (HIV positive). These couples should receive care and treatment services according to the </w:t>
      </w:r>
      <w:r w:rsidRPr="008F296E">
        <w:rPr>
          <w:rFonts w:ascii="Arial" w:hAnsi="Arial" w:cs="Arial"/>
          <w:lang w:val="en-GB"/>
        </w:rPr>
        <w:lastRenderedPageBreak/>
        <w:t xml:space="preserve">national treatment guideline, which recommend initiating ART at a CD4 count of &lt;500 cells/μL. </w:t>
      </w:r>
    </w:p>
    <w:p w:rsidR="0071027C" w:rsidRPr="008F296E" w:rsidRDefault="0071027C" w:rsidP="00274941">
      <w:pPr>
        <w:numPr>
          <w:ilvl w:val="0"/>
          <w:numId w:val="9"/>
        </w:numPr>
        <w:autoSpaceDE w:val="0"/>
        <w:autoSpaceDN w:val="0"/>
        <w:adjustRightInd w:val="0"/>
        <w:spacing w:before="100" w:beforeAutospacing="1" w:after="100" w:afterAutospacing="1" w:line="288" w:lineRule="auto"/>
        <w:contextualSpacing/>
        <w:jc w:val="both"/>
        <w:rPr>
          <w:rFonts w:ascii="Arial" w:hAnsi="Arial" w:cs="Arial"/>
          <w:lang w:val="en-GB"/>
        </w:rPr>
      </w:pPr>
      <w:r w:rsidRPr="008F296E">
        <w:rPr>
          <w:rFonts w:ascii="Arial" w:hAnsi="Arial" w:cs="Arial"/>
          <w:b/>
          <w:i/>
          <w:lang w:val="en-GB"/>
        </w:rPr>
        <w:t>A serodiscordant couple</w:t>
      </w:r>
      <w:r w:rsidRPr="008F296E">
        <w:rPr>
          <w:rFonts w:ascii="Arial" w:hAnsi="Arial" w:cs="Arial"/>
          <w:lang w:val="en-GB"/>
        </w:rPr>
        <w:t xml:space="preserve"> is a couple in which one partner is HIV-positive and one partner is HIV-negative. Although one partner is currently HIV-negative, this does not mean that this partner is “immunized” or protected against getting HIV in the future. </w:t>
      </w:r>
    </w:p>
    <w:p w:rsidR="0071027C" w:rsidRPr="008F296E" w:rsidRDefault="0071027C" w:rsidP="00AA771C">
      <w:pPr>
        <w:autoSpaceDE w:val="0"/>
        <w:autoSpaceDN w:val="0"/>
        <w:adjustRightInd w:val="0"/>
        <w:spacing w:beforeLines="120" w:before="288" w:afterLines="120" w:after="288" w:line="288" w:lineRule="auto"/>
        <w:contextualSpacing/>
        <w:jc w:val="both"/>
        <w:rPr>
          <w:rFonts w:ascii="Arial" w:hAnsi="Arial" w:cs="Arial"/>
          <w:lang w:val="en-GB"/>
        </w:rPr>
      </w:pPr>
    </w:p>
    <w:p w:rsidR="0071027C" w:rsidRPr="008F296E" w:rsidRDefault="0071027C" w:rsidP="0071027C">
      <w:pPr>
        <w:autoSpaceDE w:val="0"/>
        <w:autoSpaceDN w:val="0"/>
        <w:adjustRightInd w:val="0"/>
        <w:spacing w:before="120" w:after="120" w:line="240" w:lineRule="auto"/>
        <w:contextualSpacing/>
        <w:jc w:val="both"/>
        <w:rPr>
          <w:rFonts w:ascii="Arial" w:hAnsi="Arial" w:cs="Arial"/>
          <w:lang w:val="en-GB"/>
        </w:rPr>
      </w:pPr>
      <w:r w:rsidRPr="008F296E">
        <w:rPr>
          <w:rFonts w:ascii="Arial" w:hAnsi="Arial" w:cs="Arial"/>
          <w:lang w:val="en-GB"/>
        </w:rPr>
        <w:t>When couples are discordant, infection could have occurred in different ways:</w:t>
      </w:r>
    </w:p>
    <w:p w:rsidR="0071027C" w:rsidRPr="008F296E" w:rsidRDefault="0071027C" w:rsidP="00274941">
      <w:pPr>
        <w:numPr>
          <w:ilvl w:val="0"/>
          <w:numId w:val="11"/>
        </w:numPr>
        <w:autoSpaceDE w:val="0"/>
        <w:autoSpaceDN w:val="0"/>
        <w:adjustRightInd w:val="0"/>
        <w:spacing w:before="120" w:after="120" w:line="240" w:lineRule="auto"/>
        <w:contextualSpacing/>
        <w:jc w:val="both"/>
        <w:rPr>
          <w:rFonts w:ascii="Arial" w:hAnsi="Arial" w:cs="Arial"/>
          <w:lang w:val="en-GB"/>
        </w:rPr>
      </w:pPr>
      <w:r w:rsidRPr="008F296E">
        <w:rPr>
          <w:rFonts w:ascii="Arial" w:hAnsi="Arial" w:cs="Arial"/>
          <w:lang w:val="en-GB"/>
        </w:rPr>
        <w:t>The positive partner may have been infected before they became a couple.</w:t>
      </w:r>
    </w:p>
    <w:p w:rsidR="0071027C" w:rsidRPr="008F296E" w:rsidRDefault="0071027C" w:rsidP="00274941">
      <w:pPr>
        <w:numPr>
          <w:ilvl w:val="0"/>
          <w:numId w:val="11"/>
        </w:numPr>
        <w:autoSpaceDE w:val="0"/>
        <w:autoSpaceDN w:val="0"/>
        <w:adjustRightInd w:val="0"/>
        <w:spacing w:before="120" w:after="120" w:line="240" w:lineRule="auto"/>
        <w:contextualSpacing/>
        <w:jc w:val="both"/>
        <w:rPr>
          <w:rFonts w:ascii="Arial" w:hAnsi="Arial" w:cs="Arial"/>
          <w:lang w:val="en-GB"/>
        </w:rPr>
      </w:pPr>
      <w:r w:rsidRPr="008F296E">
        <w:rPr>
          <w:rFonts w:ascii="Arial" w:hAnsi="Arial" w:cs="Arial"/>
          <w:lang w:val="en-GB"/>
        </w:rPr>
        <w:t xml:space="preserve">The positive partner may have other partners outside the relationship or may have acquired HIV non-sexually. </w:t>
      </w:r>
    </w:p>
    <w:p w:rsidR="0071027C" w:rsidRPr="008F296E" w:rsidRDefault="0071027C" w:rsidP="0071027C">
      <w:pPr>
        <w:autoSpaceDE w:val="0"/>
        <w:autoSpaceDN w:val="0"/>
        <w:adjustRightInd w:val="0"/>
        <w:spacing w:before="120" w:after="120" w:line="240" w:lineRule="auto"/>
        <w:jc w:val="both"/>
        <w:rPr>
          <w:rFonts w:ascii="Arial" w:hAnsi="Arial" w:cs="Arial"/>
          <w:lang w:val="en-GB"/>
        </w:rPr>
      </w:pPr>
      <w:r w:rsidRPr="008F296E">
        <w:rPr>
          <w:rFonts w:ascii="Arial" w:hAnsi="Arial" w:cs="Arial"/>
          <w:lang w:val="en-GB"/>
        </w:rPr>
        <w:t xml:space="preserve">In CHTC it will be very important for you to emphasize and explain areas that are not widely understood, such as couple discordance. The HIV-negative partners in discordant couples are at very high risk for getting HIV if the couple does not take steps to protect the HIV-negative partner. </w:t>
      </w:r>
    </w:p>
    <w:p w:rsidR="0071027C" w:rsidRDefault="0071027C" w:rsidP="0071027C">
      <w:pPr>
        <w:autoSpaceDE w:val="0"/>
        <w:autoSpaceDN w:val="0"/>
        <w:adjustRightInd w:val="0"/>
        <w:spacing w:before="120" w:after="120" w:line="240" w:lineRule="auto"/>
        <w:jc w:val="both"/>
        <w:rPr>
          <w:rFonts w:ascii="Arial" w:hAnsi="Arial" w:cs="Arial"/>
          <w:lang w:val="en-GB"/>
        </w:rPr>
      </w:pPr>
      <w:r w:rsidRPr="008F296E">
        <w:rPr>
          <w:rFonts w:ascii="Arial" w:hAnsi="Arial" w:cs="Arial"/>
          <w:lang w:val="en-GB"/>
        </w:rPr>
        <w:t>Many people do not understand the facts about discordance. Many myths about discordance exist that need to be corrected. It is important that counselors make sure that discordant couples understand the facts about discordance:</w:t>
      </w:r>
      <w:r>
        <w:rPr>
          <w:rFonts w:ascii="Arial" w:hAnsi="Arial" w:cs="Arial"/>
          <w:lang w:val="en-GB"/>
        </w:rPr>
        <w:t xml:space="preserve"> </w:t>
      </w:r>
    </w:p>
    <w:p w:rsidR="0071027C" w:rsidRDefault="0071027C" w:rsidP="0071027C">
      <w:pPr>
        <w:autoSpaceDE w:val="0"/>
        <w:autoSpaceDN w:val="0"/>
        <w:adjustRightInd w:val="0"/>
        <w:spacing w:before="120" w:after="120" w:line="240" w:lineRule="auto"/>
        <w:jc w:val="both"/>
        <w:rPr>
          <w:rFonts w:ascii="Arial" w:hAnsi="Arial" w:cs="Arial"/>
          <w:lang w:val="en-GB"/>
        </w:rPr>
      </w:pPr>
    </w:p>
    <w:tbl>
      <w:tblPr>
        <w:tblW w:w="0" w:type="auto"/>
        <w:tblLook w:val="04A0" w:firstRow="1" w:lastRow="0" w:firstColumn="1" w:lastColumn="0" w:noHBand="0" w:noVBand="1"/>
      </w:tblPr>
      <w:tblGrid>
        <w:gridCol w:w="9576"/>
      </w:tblGrid>
      <w:tr w:rsidR="0071027C" w:rsidRPr="008C1365" w:rsidTr="0071027C">
        <w:tc>
          <w:tcPr>
            <w:tcW w:w="9576" w:type="dxa"/>
          </w:tcPr>
          <w:p w:rsidR="0071027C" w:rsidRPr="00AE55A9" w:rsidRDefault="0071027C" w:rsidP="0071027C">
            <w:pPr>
              <w:rPr>
                <w:rFonts w:ascii="Arial" w:hAnsi="Arial" w:cs="Arial"/>
                <w:b/>
              </w:rPr>
            </w:pPr>
            <w:r w:rsidRPr="00AE55A9">
              <w:rPr>
                <w:rFonts w:ascii="Arial" w:hAnsi="Arial" w:cs="Arial"/>
                <w:b/>
              </w:rPr>
              <w:t>Facts about Discordance</w:t>
            </w:r>
          </w:p>
          <w:p w:rsidR="0071027C" w:rsidRPr="00AE55A9" w:rsidRDefault="0071027C" w:rsidP="00274941">
            <w:pPr>
              <w:pStyle w:val="ListParagraph"/>
              <w:widowControl w:val="0"/>
              <w:numPr>
                <w:ilvl w:val="0"/>
                <w:numId w:val="17"/>
              </w:numPr>
              <w:autoSpaceDE w:val="0"/>
              <w:autoSpaceDN w:val="0"/>
              <w:adjustRightInd w:val="0"/>
              <w:contextualSpacing w:val="0"/>
              <w:jc w:val="both"/>
              <w:rPr>
                <w:rFonts w:ascii="Arial" w:eastAsia="Calibri" w:hAnsi="Arial" w:cs="Arial"/>
                <w:b/>
                <w:bCs/>
                <w:sz w:val="22"/>
                <w:szCs w:val="22"/>
              </w:rPr>
            </w:pPr>
            <w:r w:rsidRPr="00AE55A9">
              <w:rPr>
                <w:rFonts w:ascii="Arial" w:eastAsia="Calibri" w:hAnsi="Arial" w:cs="Arial"/>
                <w:sz w:val="22"/>
                <w:szCs w:val="22"/>
              </w:rPr>
              <w:t>It is of paramount importance for serodiscordant couples to avoid transmission to the HIV-negative partner.</w:t>
            </w:r>
          </w:p>
          <w:p w:rsidR="0071027C" w:rsidRPr="00AE55A9" w:rsidRDefault="0071027C" w:rsidP="00274941">
            <w:pPr>
              <w:pStyle w:val="ListParagraph"/>
              <w:widowControl w:val="0"/>
              <w:numPr>
                <w:ilvl w:val="0"/>
                <w:numId w:val="17"/>
              </w:numPr>
              <w:autoSpaceDE w:val="0"/>
              <w:autoSpaceDN w:val="0"/>
              <w:adjustRightInd w:val="0"/>
              <w:contextualSpacing w:val="0"/>
              <w:jc w:val="both"/>
              <w:rPr>
                <w:rFonts w:ascii="Arial" w:eastAsia="Calibri" w:hAnsi="Arial" w:cs="Arial"/>
                <w:b/>
                <w:bCs/>
                <w:sz w:val="22"/>
                <w:szCs w:val="22"/>
              </w:rPr>
            </w:pPr>
            <w:r w:rsidRPr="00AE55A9">
              <w:rPr>
                <w:rFonts w:ascii="Arial" w:eastAsia="Calibri" w:hAnsi="Arial" w:cs="Arial"/>
                <w:sz w:val="22"/>
                <w:szCs w:val="22"/>
              </w:rPr>
              <w:t>It is possible for couples to stay HIV serodiscordant indefinitely if they consistently practice safer sex using male and female condoms.</w:t>
            </w:r>
          </w:p>
          <w:p w:rsidR="0071027C" w:rsidRPr="00AE55A9" w:rsidRDefault="0071027C" w:rsidP="00274941">
            <w:pPr>
              <w:pStyle w:val="ListParagraph"/>
              <w:widowControl w:val="0"/>
              <w:numPr>
                <w:ilvl w:val="0"/>
                <w:numId w:val="17"/>
              </w:numPr>
              <w:autoSpaceDE w:val="0"/>
              <w:autoSpaceDN w:val="0"/>
              <w:adjustRightInd w:val="0"/>
              <w:contextualSpacing w:val="0"/>
              <w:jc w:val="both"/>
              <w:rPr>
                <w:rFonts w:ascii="Arial" w:eastAsia="Calibri" w:hAnsi="Arial" w:cs="Arial"/>
                <w:b/>
                <w:bCs/>
                <w:sz w:val="22"/>
                <w:szCs w:val="22"/>
              </w:rPr>
            </w:pPr>
            <w:r w:rsidRPr="00AE55A9">
              <w:rPr>
                <w:rFonts w:ascii="Arial" w:eastAsia="Calibri" w:hAnsi="Arial" w:cs="Arial"/>
                <w:sz w:val="22"/>
                <w:szCs w:val="22"/>
              </w:rPr>
              <w:t>The HIV-positive partner should receive ART treatment  regardless of CD4 count</w:t>
            </w:r>
          </w:p>
          <w:p w:rsidR="0071027C" w:rsidRPr="00AE55A9" w:rsidRDefault="0071027C" w:rsidP="00274941">
            <w:pPr>
              <w:pStyle w:val="ListParagraph"/>
              <w:widowControl w:val="0"/>
              <w:numPr>
                <w:ilvl w:val="0"/>
                <w:numId w:val="17"/>
              </w:numPr>
              <w:autoSpaceDE w:val="0"/>
              <w:autoSpaceDN w:val="0"/>
              <w:adjustRightInd w:val="0"/>
              <w:contextualSpacing w:val="0"/>
              <w:jc w:val="both"/>
              <w:rPr>
                <w:rFonts w:ascii="Arial" w:eastAsia="Calibri" w:hAnsi="Arial" w:cs="Arial"/>
                <w:b/>
                <w:bCs/>
                <w:sz w:val="22"/>
                <w:szCs w:val="22"/>
              </w:rPr>
            </w:pPr>
            <w:r w:rsidRPr="00AE55A9">
              <w:rPr>
                <w:rFonts w:ascii="Arial" w:eastAsia="Calibri" w:hAnsi="Arial" w:cs="Arial"/>
                <w:sz w:val="22"/>
                <w:szCs w:val="22"/>
              </w:rPr>
              <w:t>In a serodiscordant couple the provision of ART to the positive partner can significantly decrease the risk of transmission to the negative partner.</w:t>
            </w:r>
          </w:p>
          <w:p w:rsidR="0071027C" w:rsidRPr="00AE55A9" w:rsidRDefault="0071027C" w:rsidP="00274941">
            <w:pPr>
              <w:pStyle w:val="ListParagraph"/>
              <w:widowControl w:val="0"/>
              <w:numPr>
                <w:ilvl w:val="0"/>
                <w:numId w:val="17"/>
              </w:numPr>
              <w:autoSpaceDE w:val="0"/>
              <w:autoSpaceDN w:val="0"/>
              <w:adjustRightInd w:val="0"/>
              <w:contextualSpacing w:val="0"/>
              <w:jc w:val="both"/>
              <w:rPr>
                <w:rFonts w:ascii="Arial" w:eastAsia="Calibri" w:hAnsi="Arial" w:cs="Arial"/>
                <w:b/>
                <w:bCs/>
                <w:sz w:val="22"/>
                <w:szCs w:val="22"/>
              </w:rPr>
            </w:pPr>
            <w:r w:rsidRPr="00AE55A9">
              <w:rPr>
                <w:rFonts w:ascii="Arial" w:eastAsia="Calibri" w:hAnsi="Arial" w:cs="Arial"/>
                <w:sz w:val="22"/>
                <w:szCs w:val="22"/>
              </w:rPr>
              <w:t>Treatment for the HIV-positive partner also is highly effective in reducing the risk of transmission to the HIV-negative partner.</w:t>
            </w:r>
          </w:p>
          <w:p w:rsidR="0071027C" w:rsidRPr="00AE55A9" w:rsidRDefault="0071027C" w:rsidP="00274941">
            <w:pPr>
              <w:pStyle w:val="ListParagraph"/>
              <w:widowControl w:val="0"/>
              <w:numPr>
                <w:ilvl w:val="0"/>
                <w:numId w:val="17"/>
              </w:numPr>
              <w:autoSpaceDE w:val="0"/>
              <w:autoSpaceDN w:val="0"/>
              <w:adjustRightInd w:val="0"/>
              <w:contextualSpacing w:val="0"/>
              <w:jc w:val="both"/>
              <w:rPr>
                <w:rFonts w:ascii="Arial" w:eastAsia="Calibri" w:hAnsi="Arial" w:cs="Arial"/>
                <w:bCs/>
                <w:sz w:val="22"/>
                <w:szCs w:val="22"/>
              </w:rPr>
            </w:pPr>
            <w:r w:rsidRPr="00AE55A9">
              <w:rPr>
                <w:rFonts w:ascii="Arial" w:eastAsia="Calibri" w:hAnsi="Arial" w:cs="Arial"/>
                <w:bCs/>
                <w:sz w:val="22"/>
                <w:szCs w:val="22"/>
              </w:rPr>
              <w:t xml:space="preserve">The couple also should receive information about family planningand </w:t>
            </w:r>
          </w:p>
          <w:p w:rsidR="0071027C" w:rsidRPr="00AE55A9" w:rsidRDefault="0071027C" w:rsidP="00274941">
            <w:pPr>
              <w:pStyle w:val="ListParagraph"/>
              <w:widowControl w:val="0"/>
              <w:numPr>
                <w:ilvl w:val="0"/>
                <w:numId w:val="10"/>
              </w:numPr>
              <w:autoSpaceDE w:val="0"/>
              <w:autoSpaceDN w:val="0"/>
              <w:adjustRightInd w:val="0"/>
              <w:contextualSpacing w:val="0"/>
              <w:jc w:val="both"/>
              <w:rPr>
                <w:rFonts w:ascii="Arial" w:hAnsi="Arial" w:cs="Arial"/>
                <w:sz w:val="22"/>
                <w:szCs w:val="22"/>
              </w:rPr>
            </w:pPr>
            <w:r w:rsidRPr="00AE55A9">
              <w:rPr>
                <w:rFonts w:ascii="Arial" w:eastAsia="Calibri" w:hAnsi="Arial" w:cs="Arial"/>
                <w:sz w:val="22"/>
                <w:szCs w:val="22"/>
              </w:rPr>
              <w:t xml:space="preserve">Couples who test together and mutually disclose their HIV status are more likely than those testing alone to adopt behaviour to protect their partner. </w:t>
            </w:r>
          </w:p>
          <w:p w:rsidR="0071027C" w:rsidRPr="00AE55A9" w:rsidRDefault="0071027C" w:rsidP="00274941">
            <w:pPr>
              <w:pStyle w:val="ListParagraph"/>
              <w:widowControl w:val="0"/>
              <w:numPr>
                <w:ilvl w:val="0"/>
                <w:numId w:val="10"/>
              </w:numPr>
              <w:autoSpaceDE w:val="0"/>
              <w:autoSpaceDN w:val="0"/>
              <w:adjustRightInd w:val="0"/>
              <w:contextualSpacing w:val="0"/>
              <w:jc w:val="both"/>
              <w:rPr>
                <w:rFonts w:ascii="Arial" w:hAnsi="Arial" w:cs="Arial"/>
                <w:sz w:val="22"/>
                <w:szCs w:val="22"/>
              </w:rPr>
            </w:pPr>
            <w:r w:rsidRPr="00AE55A9">
              <w:rPr>
                <w:rFonts w:ascii="Arial" w:hAnsi="Arial" w:cs="Arial"/>
                <w:sz w:val="22"/>
                <w:szCs w:val="22"/>
              </w:rPr>
              <w:t>Couples can remain discordant for a long time—even more than 10 years.</w:t>
            </w:r>
          </w:p>
          <w:p w:rsidR="0071027C" w:rsidRPr="008C1365" w:rsidRDefault="0071027C" w:rsidP="00274941">
            <w:pPr>
              <w:pStyle w:val="ListParagraph"/>
              <w:widowControl w:val="0"/>
              <w:numPr>
                <w:ilvl w:val="0"/>
                <w:numId w:val="10"/>
              </w:numPr>
              <w:autoSpaceDE w:val="0"/>
              <w:autoSpaceDN w:val="0"/>
              <w:adjustRightInd w:val="0"/>
              <w:contextualSpacing w:val="0"/>
              <w:jc w:val="both"/>
              <w:rPr>
                <w:rFonts w:ascii="Arial" w:hAnsi="Arial" w:cs="Arial"/>
              </w:rPr>
            </w:pPr>
            <w:r w:rsidRPr="00AE55A9">
              <w:rPr>
                <w:rFonts w:ascii="Arial" w:hAnsi="Arial" w:cs="Arial"/>
                <w:sz w:val="22"/>
                <w:szCs w:val="22"/>
              </w:rPr>
              <w:t>In many cases, the couple enters the relationship when they are already discordant—discordance is NOT a sure sign of infidelity.</w:t>
            </w:r>
            <w:r>
              <w:rPr>
                <w:rFonts w:ascii="Arial" w:hAnsi="Arial" w:cs="Arial"/>
              </w:rPr>
              <w:t xml:space="preserve"> </w:t>
            </w:r>
          </w:p>
        </w:tc>
      </w:tr>
    </w:tbl>
    <w:p w:rsidR="0071027C" w:rsidRDefault="0071027C" w:rsidP="0071027C">
      <w:pPr>
        <w:autoSpaceDE w:val="0"/>
        <w:autoSpaceDN w:val="0"/>
        <w:adjustRightInd w:val="0"/>
        <w:ind w:right="114"/>
        <w:jc w:val="both"/>
        <w:rPr>
          <w:rFonts w:ascii="Arial" w:eastAsia="PMingLiU" w:hAnsi="Arial" w:cs="Arial"/>
          <w:lang w:val="en-GB" w:eastAsia="ja-JP"/>
        </w:rPr>
      </w:pPr>
    </w:p>
    <w:p w:rsidR="0071027C" w:rsidRPr="008C1365" w:rsidRDefault="0071027C" w:rsidP="0071027C">
      <w:pPr>
        <w:autoSpaceDE w:val="0"/>
        <w:autoSpaceDN w:val="0"/>
        <w:adjustRightInd w:val="0"/>
        <w:ind w:right="114"/>
        <w:jc w:val="both"/>
        <w:rPr>
          <w:rFonts w:ascii="Arial" w:eastAsia="PMingLiU" w:hAnsi="Arial" w:cs="Arial"/>
          <w:lang w:val="en-GB" w:eastAsia="ja-JP"/>
        </w:rPr>
      </w:pPr>
      <w:r w:rsidRPr="008C1365">
        <w:rPr>
          <w:rFonts w:ascii="Arial" w:eastAsia="PMingLiU" w:hAnsi="Arial" w:cs="Arial"/>
          <w:lang w:val="en-GB" w:eastAsia="ja-JP"/>
        </w:rPr>
        <w:t xml:space="preserve">Follow-up services that shall be provided to all couples, in particular to discordant couples, include: </w:t>
      </w:r>
    </w:p>
    <w:p w:rsidR="0071027C" w:rsidRPr="008C1365" w:rsidRDefault="0071027C" w:rsidP="00274941">
      <w:pPr>
        <w:numPr>
          <w:ilvl w:val="0"/>
          <w:numId w:val="19"/>
        </w:numPr>
        <w:autoSpaceDE w:val="0"/>
        <w:autoSpaceDN w:val="0"/>
        <w:adjustRightInd w:val="0"/>
        <w:spacing w:after="0" w:line="240" w:lineRule="auto"/>
        <w:ind w:left="720" w:right="115"/>
        <w:jc w:val="both"/>
        <w:rPr>
          <w:rFonts w:ascii="Arial" w:eastAsia="PMingLiU" w:hAnsi="Arial" w:cs="Arial"/>
          <w:lang w:val="en-GB" w:eastAsia="ja-JP"/>
        </w:rPr>
      </w:pPr>
      <w:r w:rsidRPr="008C1365">
        <w:rPr>
          <w:rFonts w:ascii="Arial" w:eastAsia="PMingLiU" w:hAnsi="Arial" w:cs="Arial"/>
          <w:lang w:val="en-GB" w:eastAsia="ja-JP"/>
        </w:rPr>
        <w:t>Partners who are living with HIV shall be linked with care, treatment and support programmes.</w:t>
      </w:r>
    </w:p>
    <w:p w:rsidR="0071027C" w:rsidRPr="008C1365" w:rsidRDefault="0071027C" w:rsidP="00274941">
      <w:pPr>
        <w:numPr>
          <w:ilvl w:val="0"/>
          <w:numId w:val="19"/>
        </w:numPr>
        <w:autoSpaceDE w:val="0"/>
        <w:autoSpaceDN w:val="0"/>
        <w:adjustRightInd w:val="0"/>
        <w:spacing w:after="0" w:line="240" w:lineRule="auto"/>
        <w:ind w:left="720" w:right="115"/>
        <w:jc w:val="both"/>
        <w:rPr>
          <w:rFonts w:ascii="Arial" w:eastAsia="PMingLiU" w:hAnsi="Arial" w:cs="Arial"/>
          <w:lang w:val="en-GB" w:eastAsia="ja-JP"/>
        </w:rPr>
      </w:pPr>
      <w:r w:rsidRPr="008C1365">
        <w:rPr>
          <w:rFonts w:ascii="Arial" w:eastAsia="PMingLiU" w:hAnsi="Arial" w:cs="Arial"/>
          <w:lang w:val="en-GB" w:eastAsia="ja-JP"/>
        </w:rPr>
        <w:t xml:space="preserve">HIV-infected pregnant women shall be linked with Prevention of Mother-to-Child Transmission (PMTCT) services. </w:t>
      </w:r>
    </w:p>
    <w:p w:rsidR="0071027C" w:rsidRPr="008C1365" w:rsidRDefault="0071027C" w:rsidP="00274941">
      <w:pPr>
        <w:numPr>
          <w:ilvl w:val="0"/>
          <w:numId w:val="19"/>
        </w:numPr>
        <w:autoSpaceDE w:val="0"/>
        <w:autoSpaceDN w:val="0"/>
        <w:adjustRightInd w:val="0"/>
        <w:spacing w:after="0" w:line="240" w:lineRule="auto"/>
        <w:ind w:left="720" w:right="115"/>
        <w:jc w:val="both"/>
        <w:rPr>
          <w:rFonts w:ascii="Arial" w:eastAsia="PMingLiU" w:hAnsi="Arial" w:cs="Arial"/>
          <w:lang w:val="en-GB" w:eastAsia="ja-JP"/>
        </w:rPr>
      </w:pPr>
      <w:r w:rsidRPr="008C1365">
        <w:rPr>
          <w:rFonts w:ascii="Arial" w:eastAsia="PMingLiU" w:hAnsi="Arial" w:cs="Arial"/>
          <w:lang w:val="en-GB" w:eastAsia="ja-JP"/>
        </w:rPr>
        <w:t xml:space="preserve">HIV-uninfected male partners shall be linked with Voluntary Medical Male Circumcision </w:t>
      </w:r>
      <w:r>
        <w:rPr>
          <w:rFonts w:ascii="Arial" w:eastAsia="PMingLiU" w:hAnsi="Arial" w:cs="Arial"/>
          <w:lang w:val="en-GB" w:eastAsia="ja-JP"/>
        </w:rPr>
        <w:t xml:space="preserve">(VMMC) </w:t>
      </w:r>
      <w:r w:rsidRPr="008C1365">
        <w:rPr>
          <w:rFonts w:ascii="Arial" w:eastAsia="PMingLiU" w:hAnsi="Arial" w:cs="Arial"/>
          <w:lang w:val="en-GB" w:eastAsia="ja-JP"/>
        </w:rPr>
        <w:t xml:space="preserve">programs. </w:t>
      </w:r>
    </w:p>
    <w:p w:rsidR="0071027C" w:rsidRPr="008C1365" w:rsidRDefault="0071027C" w:rsidP="00274941">
      <w:pPr>
        <w:numPr>
          <w:ilvl w:val="0"/>
          <w:numId w:val="19"/>
        </w:numPr>
        <w:autoSpaceDE w:val="0"/>
        <w:autoSpaceDN w:val="0"/>
        <w:adjustRightInd w:val="0"/>
        <w:spacing w:after="0" w:line="240" w:lineRule="auto"/>
        <w:ind w:left="720" w:right="115"/>
        <w:jc w:val="both"/>
        <w:rPr>
          <w:rFonts w:ascii="Arial" w:eastAsia="PMingLiU" w:hAnsi="Arial" w:cs="Arial"/>
          <w:lang w:val="en-GB" w:eastAsia="ja-JP"/>
        </w:rPr>
      </w:pPr>
      <w:r w:rsidRPr="008C1365">
        <w:rPr>
          <w:rFonts w:ascii="Arial" w:eastAsia="PMingLiU" w:hAnsi="Arial" w:cs="Arial"/>
          <w:lang w:val="en-GB" w:eastAsia="ja-JP"/>
        </w:rPr>
        <w:t xml:space="preserve">HIV-uninfected partners in discordant relationships shall be retested for HIV four weeks </w:t>
      </w:r>
      <w:r w:rsidRPr="008C1365">
        <w:rPr>
          <w:rFonts w:ascii="Arial" w:eastAsia="PMingLiU" w:hAnsi="Arial" w:cs="Arial"/>
          <w:lang w:val="en-GB" w:eastAsia="ja-JP"/>
        </w:rPr>
        <w:lastRenderedPageBreak/>
        <w:t xml:space="preserve">after the first discordance result, then each year, or 4 weeks after a potential exposure has occurred (e.g. unprotected sex). </w:t>
      </w:r>
    </w:p>
    <w:p w:rsidR="0071027C" w:rsidRPr="008C1365" w:rsidRDefault="0071027C" w:rsidP="00274941">
      <w:pPr>
        <w:numPr>
          <w:ilvl w:val="0"/>
          <w:numId w:val="19"/>
        </w:numPr>
        <w:autoSpaceDE w:val="0"/>
        <w:autoSpaceDN w:val="0"/>
        <w:adjustRightInd w:val="0"/>
        <w:spacing w:after="0" w:line="240" w:lineRule="auto"/>
        <w:ind w:left="720" w:right="115"/>
        <w:jc w:val="both"/>
        <w:rPr>
          <w:rFonts w:ascii="Arial" w:eastAsia="PMingLiU" w:hAnsi="Arial" w:cs="Arial"/>
          <w:lang w:val="en-GB" w:eastAsia="ja-JP"/>
        </w:rPr>
      </w:pPr>
      <w:r w:rsidRPr="008C1365">
        <w:rPr>
          <w:rFonts w:ascii="Arial" w:eastAsia="PMingLiU" w:hAnsi="Arial" w:cs="Arial"/>
          <w:lang w:val="en-GB" w:eastAsia="ja-JP"/>
        </w:rPr>
        <w:t xml:space="preserve">On-going risk reduction counselling and linkage to support groups. </w:t>
      </w:r>
    </w:p>
    <w:p w:rsidR="0071027C" w:rsidRPr="008C1365" w:rsidRDefault="0071027C" w:rsidP="00274941">
      <w:pPr>
        <w:numPr>
          <w:ilvl w:val="0"/>
          <w:numId w:val="19"/>
        </w:numPr>
        <w:autoSpaceDE w:val="0"/>
        <w:autoSpaceDN w:val="0"/>
        <w:adjustRightInd w:val="0"/>
        <w:spacing w:after="0" w:line="240" w:lineRule="auto"/>
        <w:ind w:left="720" w:right="115"/>
        <w:jc w:val="both"/>
        <w:rPr>
          <w:rFonts w:ascii="Arial" w:eastAsia="PMingLiU" w:hAnsi="Arial" w:cs="Arial"/>
          <w:lang w:val="en-GB" w:eastAsia="ja-JP"/>
        </w:rPr>
      </w:pPr>
      <w:r w:rsidRPr="008C1365">
        <w:rPr>
          <w:rFonts w:ascii="Arial" w:eastAsia="PMingLiU" w:hAnsi="Arial" w:cs="Arial"/>
          <w:lang w:val="en-GB" w:eastAsia="ja-JP"/>
        </w:rPr>
        <w:t>Condom demonstration, distribution and explanation of where to access more condoms as needed.</w:t>
      </w:r>
    </w:p>
    <w:p w:rsidR="0071027C" w:rsidRPr="008C1365" w:rsidRDefault="0071027C" w:rsidP="00274941">
      <w:pPr>
        <w:numPr>
          <w:ilvl w:val="0"/>
          <w:numId w:val="19"/>
        </w:numPr>
        <w:autoSpaceDE w:val="0"/>
        <w:autoSpaceDN w:val="0"/>
        <w:adjustRightInd w:val="0"/>
        <w:spacing w:after="0" w:line="240" w:lineRule="auto"/>
        <w:ind w:left="720" w:right="115"/>
        <w:jc w:val="both"/>
        <w:rPr>
          <w:rFonts w:ascii="Arial" w:eastAsia="PMingLiU" w:hAnsi="Arial" w:cs="Arial"/>
          <w:lang w:val="en-GB" w:eastAsia="ja-JP"/>
        </w:rPr>
      </w:pPr>
      <w:r w:rsidRPr="008C1365">
        <w:rPr>
          <w:rFonts w:ascii="Arial" w:eastAsia="PMingLiU" w:hAnsi="Arial" w:cs="Arial"/>
          <w:lang w:val="en-GB" w:eastAsia="ja-JP"/>
        </w:rPr>
        <w:t xml:space="preserve">Family planning counselling and distribution of contraceptives as appropriate. </w:t>
      </w:r>
    </w:p>
    <w:p w:rsidR="0071027C" w:rsidRPr="008C1365" w:rsidRDefault="0071027C" w:rsidP="00274941">
      <w:pPr>
        <w:numPr>
          <w:ilvl w:val="0"/>
          <w:numId w:val="19"/>
        </w:numPr>
        <w:autoSpaceDE w:val="0"/>
        <w:autoSpaceDN w:val="0"/>
        <w:adjustRightInd w:val="0"/>
        <w:spacing w:after="0" w:line="240" w:lineRule="auto"/>
        <w:ind w:left="720" w:right="115"/>
        <w:jc w:val="both"/>
        <w:rPr>
          <w:rFonts w:ascii="Arial" w:eastAsia="PMingLiU" w:hAnsi="Arial" w:cs="Arial"/>
          <w:lang w:val="en-GB" w:eastAsia="ja-JP"/>
        </w:rPr>
      </w:pPr>
      <w:r w:rsidRPr="008C1365">
        <w:rPr>
          <w:rFonts w:ascii="Arial" w:eastAsia="PMingLiU" w:hAnsi="Arial" w:cs="Arial"/>
          <w:lang w:val="en-GB" w:eastAsia="ja-JP"/>
        </w:rPr>
        <w:t>Pregnancy counselling and safer conception to couples who want to conceive.</w:t>
      </w:r>
    </w:p>
    <w:p w:rsidR="0071027C" w:rsidRDefault="0071027C" w:rsidP="0071027C">
      <w:pPr>
        <w:autoSpaceDE w:val="0"/>
        <w:autoSpaceDN w:val="0"/>
        <w:adjustRightInd w:val="0"/>
        <w:spacing w:before="120" w:after="120" w:line="240" w:lineRule="auto"/>
        <w:jc w:val="both"/>
        <w:rPr>
          <w:rFonts w:ascii="Arial" w:eastAsia="Calibri" w:hAnsi="Arial" w:cs="Arial"/>
        </w:rPr>
      </w:pPr>
    </w:p>
    <w:p w:rsidR="0071027C" w:rsidRPr="008F296E" w:rsidDel="00286E73" w:rsidRDefault="0071027C" w:rsidP="0071027C">
      <w:pPr>
        <w:autoSpaceDE w:val="0"/>
        <w:autoSpaceDN w:val="0"/>
        <w:adjustRightInd w:val="0"/>
        <w:spacing w:before="120" w:after="120" w:line="240" w:lineRule="auto"/>
        <w:jc w:val="both"/>
        <w:rPr>
          <w:rFonts w:ascii="Arial" w:eastAsia="Calibri" w:hAnsi="Arial" w:cs="Arial"/>
        </w:rPr>
      </w:pPr>
      <w:r w:rsidRPr="008F296E">
        <w:rPr>
          <w:rFonts w:ascii="Arial" w:eastAsia="Calibri" w:hAnsi="Arial" w:cs="Arial"/>
        </w:rPr>
        <w:t>Combined, treatment and consistent condom use are likely to offer greater protection than either one alone. S</w:t>
      </w:r>
      <w:r w:rsidRPr="008F296E" w:rsidDel="00286E73">
        <w:rPr>
          <w:rFonts w:ascii="Arial" w:eastAsia="Calibri" w:hAnsi="Arial" w:cs="Arial"/>
        </w:rPr>
        <w:t>erodiscordant couples who are having unprotected sex or who desire</w:t>
      </w:r>
      <w:r w:rsidRPr="008F296E">
        <w:rPr>
          <w:rFonts w:ascii="Arial" w:eastAsia="Calibri" w:hAnsi="Arial" w:cs="Arial"/>
        </w:rPr>
        <w:t xml:space="preserve"> to have</w:t>
      </w:r>
      <w:r w:rsidR="00AE55A9">
        <w:rPr>
          <w:rFonts w:ascii="Arial" w:eastAsia="Calibri" w:hAnsi="Arial" w:cs="Arial"/>
        </w:rPr>
        <w:t xml:space="preserve"> </w:t>
      </w:r>
      <w:r w:rsidRPr="008F296E" w:rsidDel="00286E73">
        <w:rPr>
          <w:rFonts w:ascii="Arial" w:eastAsia="Calibri" w:hAnsi="Arial" w:cs="Arial"/>
        </w:rPr>
        <w:t>children, the use of ART to make conception safer (both to keep the partner negative and protect the child from HIV infection) is an important benefit. Serodiscordant couples who are aware of each other’s HIV status may be able to support access and adherence to treatment, to give each other emotional support, and to support uptake of and adherence to PMTCT interventions.</w:t>
      </w:r>
      <w:r w:rsidRPr="008F296E">
        <w:rPr>
          <w:rFonts w:ascii="Arial" w:hAnsi="Arial" w:cs="Arial"/>
        </w:rPr>
        <w:t xml:space="preserve"> </w:t>
      </w:r>
    </w:p>
    <w:p w:rsidR="0071027C" w:rsidRPr="008F296E" w:rsidRDefault="0071027C" w:rsidP="0071027C">
      <w:pPr>
        <w:autoSpaceDE w:val="0"/>
        <w:autoSpaceDN w:val="0"/>
        <w:adjustRightInd w:val="0"/>
        <w:spacing w:before="120" w:after="120" w:line="240" w:lineRule="auto"/>
        <w:jc w:val="both"/>
        <w:rPr>
          <w:rFonts w:ascii="Arial" w:eastAsia="Calibri" w:hAnsi="Arial" w:cs="Arial"/>
          <w:b/>
          <w:bCs/>
        </w:rPr>
      </w:pPr>
      <w:r w:rsidRPr="008F296E">
        <w:rPr>
          <w:rFonts w:ascii="Arial" w:eastAsia="Calibri" w:hAnsi="Arial" w:cs="Arial"/>
        </w:rPr>
        <w:t>The findings of many published studies suggest that people who learn their HIV status are more likely to adopt preventive behaviours than people who are unaware of their HIV status. Furthermore, couples who test together and mutually disclose their HIV status are more likely than those testing alone to adopt behaviour to protect their partner. In addition, in a serodiscordant couple the provision of ART to the positive partner can significantly decrease the risk of transmission to the negative partner. Another potential benefit of couples testing together and sharing their results is that they can support each other, if one or both partners are HIV-positive, to access and adhere to ART and interventions to prevent mother-to-child transmission (PMTCT) of HIV.</w:t>
      </w:r>
    </w:p>
    <w:p w:rsidR="0071027C" w:rsidRPr="008F296E" w:rsidDel="00FA7F27" w:rsidRDefault="0071027C" w:rsidP="0071027C">
      <w:pPr>
        <w:autoSpaceDE w:val="0"/>
        <w:autoSpaceDN w:val="0"/>
        <w:adjustRightInd w:val="0"/>
        <w:spacing w:before="120" w:after="120" w:line="240" w:lineRule="auto"/>
        <w:jc w:val="both"/>
        <w:rPr>
          <w:rFonts w:ascii="Arial" w:eastAsia="Calibri" w:hAnsi="Arial" w:cs="Arial"/>
        </w:rPr>
      </w:pPr>
      <w:r w:rsidRPr="008F296E" w:rsidDel="00FA7F27">
        <w:rPr>
          <w:rFonts w:ascii="Arial" w:eastAsia="Calibri" w:hAnsi="Arial" w:cs="Arial"/>
        </w:rPr>
        <w:t>The importance of using condoms to prevent acquisition of other STIs and transmission of HIV in any sexual activities outside the relationship should be discussed.</w:t>
      </w:r>
    </w:p>
    <w:p w:rsidR="0071027C" w:rsidRPr="008F296E" w:rsidDel="00FA7F27" w:rsidRDefault="0071027C" w:rsidP="0071027C">
      <w:pPr>
        <w:autoSpaceDE w:val="0"/>
        <w:autoSpaceDN w:val="0"/>
        <w:adjustRightInd w:val="0"/>
        <w:spacing w:before="120" w:after="120" w:line="240" w:lineRule="auto"/>
        <w:jc w:val="both"/>
        <w:rPr>
          <w:rFonts w:ascii="Arial" w:eastAsia="Calibri" w:hAnsi="Arial" w:cs="Arial"/>
        </w:rPr>
      </w:pPr>
      <w:r w:rsidRPr="008F296E" w:rsidDel="00FA7F27">
        <w:rPr>
          <w:rFonts w:ascii="Arial" w:eastAsia="Calibri" w:hAnsi="Arial" w:cs="Arial"/>
        </w:rPr>
        <w:t xml:space="preserve">Information about family planning should also be given to the couple, as should information regarding interventions to prevent mother-to-child transmission. </w:t>
      </w:r>
    </w:p>
    <w:p w:rsidR="0071027C" w:rsidRDefault="0071027C" w:rsidP="00AA771C">
      <w:pPr>
        <w:autoSpaceDE w:val="0"/>
        <w:autoSpaceDN w:val="0"/>
        <w:adjustRightInd w:val="0"/>
        <w:spacing w:beforeLines="120" w:before="288" w:afterLines="120" w:after="288" w:line="288" w:lineRule="auto"/>
        <w:jc w:val="both"/>
        <w:rPr>
          <w:rFonts w:ascii="Arial Narrow" w:eastAsia="Calibri" w:hAnsi="Arial Narrow" w:cs="AkzidenzGroteskBQ-Light"/>
          <w:sz w:val="24"/>
          <w:szCs w:val="24"/>
        </w:rPr>
      </w:pPr>
    </w:p>
    <w:p w:rsidR="0071027C" w:rsidRDefault="0071027C" w:rsidP="00AA771C">
      <w:pPr>
        <w:autoSpaceDE w:val="0"/>
        <w:autoSpaceDN w:val="0"/>
        <w:adjustRightInd w:val="0"/>
        <w:spacing w:beforeLines="120" w:before="288" w:afterLines="120" w:after="288" w:line="288" w:lineRule="auto"/>
        <w:jc w:val="both"/>
        <w:rPr>
          <w:rFonts w:ascii="Arial Narrow" w:eastAsia="Calibri" w:hAnsi="Arial Narrow" w:cs="AkzidenzGroteskBQ-Light"/>
          <w:sz w:val="24"/>
          <w:szCs w:val="24"/>
        </w:rPr>
      </w:pPr>
    </w:p>
    <w:p w:rsidR="0071027C" w:rsidRDefault="0071027C" w:rsidP="00AA771C">
      <w:pPr>
        <w:autoSpaceDE w:val="0"/>
        <w:autoSpaceDN w:val="0"/>
        <w:adjustRightInd w:val="0"/>
        <w:spacing w:beforeLines="120" w:before="288" w:afterLines="120" w:after="288" w:line="288" w:lineRule="auto"/>
        <w:jc w:val="both"/>
        <w:rPr>
          <w:rFonts w:ascii="Arial Narrow" w:eastAsia="Calibri" w:hAnsi="Arial Narrow" w:cs="AkzidenzGroteskBQ-Light"/>
          <w:sz w:val="24"/>
          <w:szCs w:val="24"/>
        </w:rPr>
      </w:pPr>
    </w:p>
    <w:p w:rsidR="0071027C" w:rsidRDefault="0071027C" w:rsidP="00AA771C">
      <w:pPr>
        <w:autoSpaceDE w:val="0"/>
        <w:autoSpaceDN w:val="0"/>
        <w:adjustRightInd w:val="0"/>
        <w:spacing w:beforeLines="120" w:before="288" w:afterLines="120" w:after="288" w:line="288" w:lineRule="auto"/>
        <w:jc w:val="both"/>
        <w:rPr>
          <w:rFonts w:ascii="Arial Narrow" w:eastAsia="Calibri" w:hAnsi="Arial Narrow" w:cs="AkzidenzGroteskBQ-Light"/>
          <w:sz w:val="24"/>
          <w:szCs w:val="24"/>
        </w:rPr>
      </w:pPr>
    </w:p>
    <w:p w:rsidR="0071027C" w:rsidRDefault="0071027C" w:rsidP="00AA771C">
      <w:pPr>
        <w:autoSpaceDE w:val="0"/>
        <w:autoSpaceDN w:val="0"/>
        <w:adjustRightInd w:val="0"/>
        <w:spacing w:beforeLines="120" w:before="288" w:afterLines="120" w:after="288" w:line="288" w:lineRule="auto"/>
        <w:jc w:val="both"/>
        <w:rPr>
          <w:rFonts w:ascii="Arial Narrow" w:eastAsia="Calibri" w:hAnsi="Arial Narrow" w:cs="AkzidenzGroteskBQ-Light"/>
          <w:sz w:val="24"/>
          <w:szCs w:val="24"/>
        </w:rPr>
      </w:pPr>
    </w:p>
    <w:p w:rsidR="0071027C" w:rsidRDefault="0071027C" w:rsidP="00AA771C">
      <w:pPr>
        <w:autoSpaceDE w:val="0"/>
        <w:autoSpaceDN w:val="0"/>
        <w:adjustRightInd w:val="0"/>
        <w:spacing w:beforeLines="120" w:before="288" w:afterLines="120" w:after="288" w:line="288" w:lineRule="auto"/>
        <w:jc w:val="both"/>
        <w:rPr>
          <w:rFonts w:ascii="Arial Narrow" w:eastAsia="Calibri" w:hAnsi="Arial Narrow" w:cs="AkzidenzGroteskBQ-Light"/>
          <w:sz w:val="24"/>
          <w:szCs w:val="24"/>
        </w:rPr>
      </w:pPr>
    </w:p>
    <w:p w:rsidR="0071027C" w:rsidRDefault="0071027C" w:rsidP="00AA771C">
      <w:pPr>
        <w:autoSpaceDE w:val="0"/>
        <w:autoSpaceDN w:val="0"/>
        <w:adjustRightInd w:val="0"/>
        <w:spacing w:beforeLines="120" w:before="288" w:afterLines="120" w:after="288" w:line="288" w:lineRule="auto"/>
        <w:jc w:val="both"/>
        <w:rPr>
          <w:rFonts w:ascii="Arial Narrow" w:eastAsia="Calibri" w:hAnsi="Arial Narrow" w:cs="AkzidenzGroteskBQ-Light"/>
          <w:sz w:val="24"/>
          <w:szCs w:val="24"/>
        </w:rPr>
      </w:pPr>
    </w:p>
    <w:p w:rsidR="00AE55A9" w:rsidRDefault="00AE55A9" w:rsidP="00AA771C">
      <w:pPr>
        <w:autoSpaceDE w:val="0"/>
        <w:autoSpaceDN w:val="0"/>
        <w:adjustRightInd w:val="0"/>
        <w:spacing w:beforeLines="120" w:before="288" w:afterLines="120" w:after="288" w:line="288" w:lineRule="auto"/>
        <w:jc w:val="both"/>
        <w:rPr>
          <w:rFonts w:ascii="Arial Narrow" w:eastAsia="Calibri" w:hAnsi="Arial Narrow" w:cs="Univers-CondensedBold"/>
          <w:b/>
          <w:bCs/>
          <w:color w:val="0070C0"/>
          <w:sz w:val="24"/>
          <w:szCs w:val="24"/>
        </w:rPr>
        <w:sectPr w:rsidR="00AE55A9" w:rsidSect="0027452F">
          <w:pgSz w:w="12240" w:h="15840"/>
          <w:pgMar w:top="1440" w:right="1440" w:bottom="1440" w:left="1440" w:header="720" w:footer="720" w:gutter="0"/>
          <w:cols w:space="720"/>
          <w:docGrid w:linePitch="360"/>
        </w:sectPr>
      </w:pPr>
    </w:p>
    <w:p w:rsidR="0071027C" w:rsidRPr="0099295A" w:rsidRDefault="0071027C" w:rsidP="00AA771C">
      <w:pPr>
        <w:autoSpaceDE w:val="0"/>
        <w:autoSpaceDN w:val="0"/>
        <w:adjustRightInd w:val="0"/>
        <w:spacing w:beforeLines="120" w:before="288" w:afterLines="120" w:after="288" w:line="288" w:lineRule="auto"/>
        <w:jc w:val="both"/>
        <w:rPr>
          <w:rFonts w:ascii="Arial Narrow" w:eastAsia="Calibri" w:hAnsi="Arial Narrow" w:cs="Univers-CondensedBold"/>
          <w:b/>
          <w:bCs/>
          <w:color w:val="0070C0"/>
          <w:sz w:val="24"/>
          <w:szCs w:val="24"/>
        </w:rPr>
      </w:pPr>
      <w:r w:rsidRPr="0099295A">
        <w:rPr>
          <w:rFonts w:ascii="Arial Narrow" w:eastAsia="Calibri" w:hAnsi="Arial Narrow" w:cs="Univers-CondensedBold"/>
          <w:b/>
          <w:bCs/>
          <w:color w:val="0070C0"/>
          <w:sz w:val="24"/>
          <w:szCs w:val="24"/>
        </w:rPr>
        <w:lastRenderedPageBreak/>
        <w:t>Figure 3.1 Potential benefits of couples HIV testing and counseling</w:t>
      </w:r>
    </w:p>
    <w:p w:rsidR="0071027C" w:rsidRPr="007E20BD" w:rsidRDefault="00AA771C" w:rsidP="00AA771C">
      <w:pPr>
        <w:autoSpaceDE w:val="0"/>
        <w:autoSpaceDN w:val="0"/>
        <w:adjustRightInd w:val="0"/>
        <w:spacing w:beforeLines="120" w:before="288" w:afterLines="120" w:after="288" w:line="288" w:lineRule="auto"/>
        <w:jc w:val="both"/>
        <w:rPr>
          <w:rFonts w:ascii="Arial Narrow" w:eastAsia="Calibri" w:hAnsi="Arial Narrow" w:cs="Times New Roman"/>
          <w:sz w:val="24"/>
          <w:szCs w:val="24"/>
        </w:rPr>
      </w:pPr>
      <w:r>
        <w:rPr>
          <w:rFonts w:ascii="Arial Narrow" w:eastAsia="Calibri" w:hAnsi="Arial Narrow"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2310765</wp:posOffset>
                </wp:positionH>
                <wp:positionV relativeFrom="paragraph">
                  <wp:posOffset>168275</wp:posOffset>
                </wp:positionV>
                <wp:extent cx="1237615" cy="723265"/>
                <wp:effectExtent l="0" t="0" r="19685" b="19685"/>
                <wp:wrapNone/>
                <wp:docPr id="8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723265"/>
                        </a:xfrm>
                        <a:prstGeom prst="rect">
                          <a:avLst/>
                        </a:prstGeom>
                        <a:solidFill>
                          <a:srgbClr val="FFFFFF"/>
                        </a:solidFill>
                        <a:ln w="19050">
                          <a:solidFill>
                            <a:srgbClr val="000000"/>
                          </a:solidFill>
                          <a:miter lim="800000"/>
                          <a:headEnd/>
                          <a:tailEnd/>
                        </a:ln>
                      </wps:spPr>
                      <wps:txbx>
                        <w:txbxContent>
                          <w:p w:rsidR="00B247C9" w:rsidRPr="008016E5" w:rsidRDefault="00B247C9" w:rsidP="0071027C">
                            <w:pPr>
                              <w:autoSpaceDE w:val="0"/>
                              <w:autoSpaceDN w:val="0"/>
                              <w:adjustRightInd w:val="0"/>
                              <w:spacing w:after="0" w:line="240" w:lineRule="auto"/>
                              <w:rPr>
                                <w:rFonts w:ascii="AkzidenzGroteskBQ-Light" w:hAnsi="AkzidenzGroteskBQ-Light" w:cs="AkzidenzGroteskBQ-Light"/>
                                <w:b/>
                                <w:sz w:val="20"/>
                                <w:szCs w:val="20"/>
                              </w:rPr>
                            </w:pPr>
                            <w:r w:rsidRPr="008016E5">
                              <w:rPr>
                                <w:rFonts w:ascii="AkzidenzGroteskBQ-Light" w:hAnsi="AkzidenzGroteskBQ-Light" w:cs="AkzidenzGroteskBQ-Light"/>
                                <w:b/>
                                <w:sz w:val="20"/>
                                <w:szCs w:val="20"/>
                              </w:rPr>
                              <w:t>HIV prevention within couples</w:t>
                            </w:r>
                          </w:p>
                          <w:p w:rsidR="00B247C9" w:rsidRPr="008016E5" w:rsidRDefault="00B247C9" w:rsidP="0071027C">
                            <w:pPr>
                              <w:autoSpaceDE w:val="0"/>
                              <w:autoSpaceDN w:val="0"/>
                              <w:adjustRightInd w:val="0"/>
                              <w:spacing w:after="0" w:line="240" w:lineRule="auto"/>
                              <w:rPr>
                                <w:rFonts w:ascii="AkzidenzGroteskBQ-Light" w:hAnsi="AkzidenzGroteskBQ-Light" w:cs="AkzidenzGroteskBQ-Light"/>
                                <w:b/>
                                <w:sz w:val="20"/>
                                <w:szCs w:val="20"/>
                              </w:rPr>
                            </w:pPr>
                            <w:r w:rsidRPr="008016E5">
                              <w:rPr>
                                <w:rFonts w:ascii="AkzidenzGroteskBQ-Light" w:hAnsi="AkzidenzGroteskBQ-Light" w:cs="AkzidenzGroteskBQ-Light"/>
                                <w:b/>
                                <w:sz w:val="20"/>
                                <w:szCs w:val="20"/>
                              </w:rPr>
                              <w:t>• Condoms</w:t>
                            </w:r>
                          </w:p>
                          <w:p w:rsidR="00B247C9" w:rsidRPr="008016E5" w:rsidRDefault="00B247C9" w:rsidP="0071027C">
                            <w:pPr>
                              <w:rPr>
                                <w:b/>
                              </w:rPr>
                            </w:pPr>
                            <w:r w:rsidRPr="008016E5">
                              <w:rPr>
                                <w:rFonts w:ascii="AkzidenzGroteskBQ-Light" w:hAnsi="AkzidenzGroteskBQ-Light" w:cs="AkzidenzGroteskBQ-Light"/>
                                <w:b/>
                                <w:sz w:val="20"/>
                                <w:szCs w:val="20"/>
                              </w:rPr>
                              <w:t>• 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44" style="position:absolute;left:0;text-align:left;margin-left:181.95pt;margin-top:13.25pt;width:97.45pt;height:5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" strokeweight="1.5pt">
                <v:textbox>
                  <w:txbxContent>
                    <w:p w:rsidR="00B247C9" w:rsidRPr="008016E5" w:rsidRDefault="00B247C9" w:rsidP="0071027C">
                      <w:pPr>
                        <w:autoSpaceDE w:val="0"/>
                        <w:autoSpaceDN w:val="0"/>
                        <w:adjustRightInd w:val="0"/>
                        <w:spacing w:after="0" w:line="240" w:lineRule="auto"/>
                        <w:rPr>
                          <w:rFonts w:ascii="AkzidenzGroteskBQ-Light" w:hAnsi="AkzidenzGroteskBQ-Light" w:cs="AkzidenzGroteskBQ-Light"/>
                          <w:b/>
                          <w:sz w:val="20"/>
                          <w:szCs w:val="20"/>
                        </w:rPr>
                      </w:pPr>
                      <w:r w:rsidRPr="008016E5">
                        <w:rPr>
                          <w:rFonts w:ascii="AkzidenzGroteskBQ-Light" w:hAnsi="AkzidenzGroteskBQ-Light" w:cs="AkzidenzGroteskBQ-Light"/>
                          <w:b/>
                          <w:sz w:val="20"/>
                          <w:szCs w:val="20"/>
                        </w:rPr>
                        <w:t>HIV prevention within couples</w:t>
                      </w:r>
                    </w:p>
                    <w:p w:rsidR="00B247C9" w:rsidRPr="008016E5" w:rsidRDefault="00B247C9" w:rsidP="0071027C">
                      <w:pPr>
                        <w:autoSpaceDE w:val="0"/>
                        <w:autoSpaceDN w:val="0"/>
                        <w:adjustRightInd w:val="0"/>
                        <w:spacing w:after="0" w:line="240" w:lineRule="auto"/>
                        <w:rPr>
                          <w:rFonts w:ascii="AkzidenzGroteskBQ-Light" w:hAnsi="AkzidenzGroteskBQ-Light" w:cs="AkzidenzGroteskBQ-Light"/>
                          <w:b/>
                          <w:sz w:val="20"/>
                          <w:szCs w:val="20"/>
                        </w:rPr>
                      </w:pPr>
                      <w:r w:rsidRPr="008016E5">
                        <w:rPr>
                          <w:rFonts w:ascii="AkzidenzGroteskBQ-Light" w:hAnsi="AkzidenzGroteskBQ-Light" w:cs="AkzidenzGroteskBQ-Light"/>
                          <w:b/>
                          <w:sz w:val="20"/>
                          <w:szCs w:val="20"/>
                        </w:rPr>
                        <w:t>• Condoms</w:t>
                      </w:r>
                    </w:p>
                    <w:p w:rsidR="00B247C9" w:rsidRPr="008016E5" w:rsidRDefault="00B247C9" w:rsidP="0071027C">
                      <w:pPr>
                        <w:rPr>
                          <w:b/>
                        </w:rPr>
                      </w:pPr>
                      <w:r w:rsidRPr="008016E5">
                        <w:rPr>
                          <w:rFonts w:ascii="AkzidenzGroteskBQ-Light" w:hAnsi="AkzidenzGroteskBQ-Light" w:cs="AkzidenzGroteskBQ-Light"/>
                          <w:b/>
                          <w:sz w:val="20"/>
                          <w:szCs w:val="20"/>
                        </w:rPr>
                        <w:t>• ART</w:t>
                      </w:r>
                    </w:p>
                  </w:txbxContent>
                </v:textbox>
              </v:rect>
            </w:pict>
          </mc:Fallback>
        </mc:AlternateContent>
      </w:r>
      <w:r>
        <w:rPr>
          <w:rFonts w:ascii="Arial Narrow" w:eastAsia="Calibri" w:hAnsi="Arial Narrow"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-196215</wp:posOffset>
                </wp:positionH>
                <wp:positionV relativeFrom="paragraph">
                  <wp:posOffset>4415790</wp:posOffset>
                </wp:positionV>
                <wp:extent cx="2243455" cy="829310"/>
                <wp:effectExtent l="0" t="0" r="23495" b="27940"/>
                <wp:wrapNone/>
                <wp:docPr id="8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829310"/>
                        </a:xfrm>
                        <a:prstGeom prst="rect">
                          <a:avLst/>
                        </a:prstGeom>
                        <a:solidFill>
                          <a:srgbClr val="FFFFFF"/>
                        </a:solidFill>
                        <a:ln w="19050">
                          <a:solidFill>
                            <a:srgbClr val="000000"/>
                          </a:solidFill>
                          <a:miter lim="800000"/>
                          <a:headEnd/>
                          <a:tailEnd/>
                        </a:ln>
                      </wps:spPr>
                      <wps:txbx>
                        <w:txbxContent>
                          <w:p w:rsidR="00B247C9" w:rsidRPr="008016E5" w:rsidRDefault="00B247C9" w:rsidP="0071027C">
                            <w:pPr>
                              <w:autoSpaceDE w:val="0"/>
                              <w:autoSpaceDN w:val="0"/>
                              <w:adjustRightInd w:val="0"/>
                              <w:spacing w:after="0" w:line="240" w:lineRule="auto"/>
                              <w:rPr>
                                <w:rFonts w:ascii="AkzidenzGroteskBQ-Light" w:hAnsi="AkzidenzGroteskBQ-Light" w:cs="AkzidenzGroteskBQ-Light"/>
                                <w:b/>
                                <w:sz w:val="20"/>
                                <w:szCs w:val="20"/>
                              </w:rPr>
                            </w:pPr>
                            <w:r w:rsidRPr="008016E5">
                              <w:rPr>
                                <w:rFonts w:ascii="AkzidenzGroteskBQ-Light" w:hAnsi="AkzidenzGroteskBQ-Light" w:cs="AkzidenzGroteskBQ-Light"/>
                                <w:b/>
                                <w:sz w:val="20"/>
                                <w:szCs w:val="20"/>
                              </w:rPr>
                              <w:t xml:space="preserve">Increased uptake and </w:t>
                            </w:r>
                            <w:r>
                              <w:rPr>
                                <w:rFonts w:ascii="AkzidenzGroteskBQ-Light" w:hAnsi="AkzidenzGroteskBQ-Light" w:cs="AkzidenzGroteskBQ-Light"/>
                                <w:b/>
                                <w:sz w:val="20"/>
                                <w:szCs w:val="20"/>
                              </w:rPr>
                              <w:t>a</w:t>
                            </w:r>
                            <w:r w:rsidRPr="008016E5">
                              <w:rPr>
                                <w:rFonts w:ascii="AkzidenzGroteskBQ-Light" w:hAnsi="AkzidenzGroteskBQ-Light" w:cs="AkzidenzGroteskBQ-Light"/>
                                <w:b/>
                                <w:sz w:val="20"/>
                                <w:szCs w:val="20"/>
                              </w:rPr>
                              <w:t>dherence to ART for own health</w:t>
                            </w:r>
                          </w:p>
                          <w:p w:rsidR="00B247C9" w:rsidRPr="008016E5" w:rsidRDefault="00B247C9" w:rsidP="0071027C">
                            <w:pPr>
                              <w:autoSpaceDE w:val="0"/>
                              <w:autoSpaceDN w:val="0"/>
                              <w:adjustRightInd w:val="0"/>
                              <w:spacing w:after="0" w:line="240" w:lineRule="auto"/>
                              <w:rPr>
                                <w:b/>
                              </w:rPr>
                            </w:pPr>
                            <w:r w:rsidRPr="008016E5">
                              <w:rPr>
                                <w:rFonts w:ascii="AkzidenzGroteskBQ-Light" w:hAnsi="AkzidenzGroteskBQ-Light" w:cs="AkzidenzGroteskBQ-Light"/>
                                <w:b/>
                                <w:sz w:val="20"/>
                                <w:szCs w:val="20"/>
                              </w:rPr>
                              <w:t>• decreased drug resistance, decrease in morbidity and mortality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5" style="position:absolute;left:0;text-align:left;margin-left:-15.45pt;margin-top:347.7pt;width:176.65pt;height:6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" strokeweight="1.5pt">
                <v:textbox>
                  <w:txbxContent>
                    <w:p w:rsidR="00B247C9" w:rsidRPr="008016E5" w:rsidRDefault="00B247C9" w:rsidP="0071027C">
                      <w:pPr>
                        <w:autoSpaceDE w:val="0"/>
                        <w:autoSpaceDN w:val="0"/>
                        <w:adjustRightInd w:val="0"/>
                        <w:spacing w:after="0" w:line="240" w:lineRule="auto"/>
                        <w:rPr>
                          <w:rFonts w:ascii="AkzidenzGroteskBQ-Light" w:hAnsi="AkzidenzGroteskBQ-Light" w:cs="AkzidenzGroteskBQ-Light"/>
                          <w:b/>
                          <w:sz w:val="20"/>
                          <w:szCs w:val="20"/>
                        </w:rPr>
                      </w:pPr>
                      <w:r w:rsidRPr="008016E5">
                        <w:rPr>
                          <w:rFonts w:ascii="AkzidenzGroteskBQ-Light" w:hAnsi="AkzidenzGroteskBQ-Light" w:cs="AkzidenzGroteskBQ-Light"/>
                          <w:b/>
                          <w:sz w:val="20"/>
                          <w:szCs w:val="20"/>
                        </w:rPr>
                        <w:t xml:space="preserve">Increased uptake and </w:t>
                      </w:r>
                      <w:r>
                        <w:rPr>
                          <w:rFonts w:ascii="AkzidenzGroteskBQ-Light" w:hAnsi="AkzidenzGroteskBQ-Light" w:cs="AkzidenzGroteskBQ-Light"/>
                          <w:b/>
                          <w:sz w:val="20"/>
                          <w:szCs w:val="20"/>
                        </w:rPr>
                        <w:t>a</w:t>
                      </w:r>
                      <w:r w:rsidRPr="008016E5">
                        <w:rPr>
                          <w:rFonts w:ascii="AkzidenzGroteskBQ-Light" w:hAnsi="AkzidenzGroteskBQ-Light" w:cs="AkzidenzGroteskBQ-Light"/>
                          <w:b/>
                          <w:sz w:val="20"/>
                          <w:szCs w:val="20"/>
                        </w:rPr>
                        <w:t>dherence to ART for own health</w:t>
                      </w:r>
                    </w:p>
                    <w:p w:rsidR="00B247C9" w:rsidRPr="008016E5" w:rsidRDefault="00B247C9" w:rsidP="0071027C">
                      <w:pPr>
                        <w:autoSpaceDE w:val="0"/>
                        <w:autoSpaceDN w:val="0"/>
                        <w:adjustRightInd w:val="0"/>
                        <w:spacing w:after="0" w:line="240" w:lineRule="auto"/>
                        <w:rPr>
                          <w:b/>
                        </w:rPr>
                      </w:pPr>
                      <w:r w:rsidRPr="008016E5">
                        <w:rPr>
                          <w:rFonts w:ascii="AkzidenzGroteskBQ-Light" w:hAnsi="AkzidenzGroteskBQ-Light" w:cs="AkzidenzGroteskBQ-Light"/>
                          <w:b/>
                          <w:sz w:val="20"/>
                          <w:szCs w:val="20"/>
                        </w:rPr>
                        <w:t>• decreased drug resistance, decrease in morbidity and mortality</w:t>
                      </w:r>
                    </w:p>
                  </w:txbxContent>
                </v:textbox>
              </v:rect>
            </w:pict>
          </mc:Fallback>
        </mc:AlternateContent>
      </w:r>
      <w:r>
        <w:rPr>
          <w:rFonts w:ascii="Arial Narrow" w:eastAsia="Calibri" w:hAnsi="Arial Narrow"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1908810</wp:posOffset>
                </wp:positionH>
                <wp:positionV relativeFrom="paragraph">
                  <wp:posOffset>3735070</wp:posOffset>
                </wp:positionV>
                <wp:extent cx="260350" cy="699135"/>
                <wp:effectExtent l="0" t="162243" r="0" b="110807"/>
                <wp:wrapNone/>
                <wp:docPr id="814" name="Up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823384">
                          <a:off x="0" y="0"/>
                          <a:ext cx="260350" cy="699135"/>
                        </a:xfrm>
                        <a:prstGeom prst="upArrow">
                          <a:avLst>
                            <a:gd name="adj1" fmla="val 50000"/>
                            <a:gd name="adj2" fmla="val 67134"/>
                          </a:avLst>
                        </a:prstGeom>
                        <a:solidFill>
                          <a:schemeClr val="tx1">
                            <a:lumMod val="65000"/>
                            <a:lumOff val="35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6" o:spid="_x0000_s1026" type="#_x0000_t68" style="position:absolute;margin-left:150.3pt;margin-top:294.1pt;width:20.5pt;height:55.05pt;rotation:-849413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" fillcolor="#5a5a5a [2109]">
                <v:textbox style="layout-flow:vertical-ideographic"/>
              </v:shape>
            </w:pict>
          </mc:Fallback>
        </mc:AlternateContent>
      </w:r>
      <w:r>
        <w:rPr>
          <w:rFonts w:ascii="Arial Narrow" w:eastAsia="Calibri" w:hAnsi="Arial Narrow"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-244475</wp:posOffset>
                </wp:positionH>
                <wp:positionV relativeFrom="paragraph">
                  <wp:posOffset>2794000</wp:posOffset>
                </wp:positionV>
                <wp:extent cx="1325245" cy="751840"/>
                <wp:effectExtent l="0" t="0" r="27305" b="10160"/>
                <wp:wrapNone/>
                <wp:docPr id="8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45" cy="751840"/>
                        </a:xfrm>
                        <a:prstGeom prst="rect">
                          <a:avLst/>
                        </a:prstGeom>
                        <a:solidFill>
                          <a:srgbClr val="FFFFFF"/>
                        </a:solidFill>
                        <a:ln w="19050">
                          <a:solidFill>
                            <a:srgbClr val="000000"/>
                          </a:solidFill>
                          <a:miter lim="800000"/>
                          <a:headEnd/>
                          <a:tailEnd/>
                        </a:ln>
                      </wps:spPr>
                      <wps:txbx>
                        <w:txbxContent>
                          <w:p w:rsidR="00B247C9" w:rsidRPr="008016E5" w:rsidRDefault="00B247C9" w:rsidP="0071027C">
                            <w:pPr>
                              <w:autoSpaceDE w:val="0"/>
                              <w:autoSpaceDN w:val="0"/>
                              <w:adjustRightInd w:val="0"/>
                              <w:spacing w:before="120" w:after="0" w:line="240" w:lineRule="auto"/>
                              <w:rPr>
                                <w:rFonts w:ascii="AkzidenzGroteskBQ-Light" w:hAnsi="AkzidenzGroteskBQ-Light" w:cs="AkzidenzGroteskBQ-Light"/>
                                <w:b/>
                                <w:sz w:val="20"/>
                                <w:szCs w:val="20"/>
                              </w:rPr>
                            </w:pPr>
                            <w:r w:rsidRPr="008016E5">
                              <w:rPr>
                                <w:rFonts w:ascii="AkzidenzGroteskBQ-Light" w:hAnsi="AkzidenzGroteskBQ-Light" w:cs="AkzidenzGroteskBQ-Light"/>
                                <w:b/>
                                <w:sz w:val="20"/>
                                <w:szCs w:val="20"/>
                              </w:rPr>
                              <w:t>Increased marital cohesion</w:t>
                            </w:r>
                          </w:p>
                          <w:p w:rsidR="00B247C9" w:rsidRPr="008016E5" w:rsidRDefault="00B247C9" w:rsidP="0071027C">
                            <w:pPr>
                              <w:spacing w:before="120"/>
                              <w:rPr>
                                <w:b/>
                              </w:rPr>
                            </w:pPr>
                            <w:r w:rsidRPr="008016E5">
                              <w:rPr>
                                <w:rFonts w:ascii="AkzidenzGroteskBQ-Light" w:hAnsi="AkzidenzGroteskBQ-Light" w:cs="AkzidenzGroteskBQ-Light"/>
                                <w:b/>
                                <w:sz w:val="20"/>
                                <w:szCs w:val="20"/>
                              </w:rPr>
                              <w:t>Reduced IPV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6" style="position:absolute;left:0;text-align:left;margin-left:-19.25pt;margin-top:220pt;width:104.35pt;height:5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" strokeweight="1.5pt">
                <v:textbox>
                  <w:txbxContent>
                    <w:p w:rsidR="00B247C9" w:rsidRPr="008016E5" w:rsidRDefault="00B247C9" w:rsidP="0071027C">
                      <w:pPr>
                        <w:autoSpaceDE w:val="0"/>
                        <w:autoSpaceDN w:val="0"/>
                        <w:adjustRightInd w:val="0"/>
                        <w:spacing w:before="120" w:after="0" w:line="240" w:lineRule="auto"/>
                        <w:rPr>
                          <w:rFonts w:ascii="AkzidenzGroteskBQ-Light" w:hAnsi="AkzidenzGroteskBQ-Light" w:cs="AkzidenzGroteskBQ-Light"/>
                          <w:b/>
                          <w:sz w:val="20"/>
                          <w:szCs w:val="20"/>
                        </w:rPr>
                      </w:pPr>
                      <w:r w:rsidRPr="008016E5">
                        <w:rPr>
                          <w:rFonts w:ascii="AkzidenzGroteskBQ-Light" w:hAnsi="AkzidenzGroteskBQ-Light" w:cs="AkzidenzGroteskBQ-Light"/>
                          <w:b/>
                          <w:sz w:val="20"/>
                          <w:szCs w:val="20"/>
                        </w:rPr>
                        <w:t>Increased marital cohesion</w:t>
                      </w:r>
                    </w:p>
                    <w:p w:rsidR="00B247C9" w:rsidRPr="008016E5" w:rsidRDefault="00B247C9" w:rsidP="0071027C">
                      <w:pPr>
                        <w:spacing w:before="120"/>
                        <w:rPr>
                          <w:b/>
                        </w:rPr>
                      </w:pPr>
                      <w:r w:rsidRPr="008016E5">
                        <w:rPr>
                          <w:rFonts w:ascii="AkzidenzGroteskBQ-Light" w:hAnsi="AkzidenzGroteskBQ-Light" w:cs="AkzidenzGroteskBQ-Light"/>
                          <w:b/>
                          <w:sz w:val="20"/>
                          <w:szCs w:val="20"/>
                        </w:rPr>
                        <w:t>Reduced IPV</w:t>
                      </w:r>
                    </w:p>
                  </w:txbxContent>
                </v:textbox>
              </v:rect>
            </w:pict>
          </mc:Fallback>
        </mc:AlternateContent>
      </w:r>
      <w:r>
        <w:rPr>
          <w:rFonts w:ascii="Arial Narrow" w:eastAsia="Calibri" w:hAnsi="Arial Narrow"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20955</wp:posOffset>
                </wp:positionH>
                <wp:positionV relativeFrom="paragraph">
                  <wp:posOffset>771525</wp:posOffset>
                </wp:positionV>
                <wp:extent cx="1626870" cy="793750"/>
                <wp:effectExtent l="0" t="0" r="11430" b="25400"/>
                <wp:wrapNone/>
                <wp:docPr id="8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793750"/>
                        </a:xfrm>
                        <a:prstGeom prst="rect">
                          <a:avLst/>
                        </a:prstGeom>
                        <a:solidFill>
                          <a:srgbClr val="FFFFFF"/>
                        </a:solidFill>
                        <a:ln w="19050">
                          <a:solidFill>
                            <a:srgbClr val="000000"/>
                          </a:solidFill>
                          <a:miter lim="800000"/>
                          <a:headEnd/>
                          <a:tailEnd/>
                        </a:ln>
                      </wps:spPr>
                      <wps:txbx>
                        <w:txbxContent>
                          <w:p w:rsidR="00B247C9" w:rsidRPr="008016E5" w:rsidRDefault="00B247C9" w:rsidP="0071027C">
                            <w:pPr>
                              <w:autoSpaceDE w:val="0"/>
                              <w:autoSpaceDN w:val="0"/>
                              <w:adjustRightInd w:val="0"/>
                              <w:spacing w:after="0" w:line="240" w:lineRule="auto"/>
                              <w:rPr>
                                <w:rFonts w:ascii="AkzidenzGroteskBQ-Light" w:hAnsi="AkzidenzGroteskBQ-Light" w:cs="AkzidenzGroteskBQ-Light"/>
                                <w:b/>
                                <w:sz w:val="20"/>
                                <w:szCs w:val="20"/>
                              </w:rPr>
                            </w:pPr>
                            <w:r w:rsidRPr="008016E5">
                              <w:rPr>
                                <w:rFonts w:ascii="AkzidenzGroteskBQ-Light" w:hAnsi="AkzidenzGroteskBQ-Light" w:cs="AkzidenzGroteskBQ-Light"/>
                                <w:b/>
                                <w:sz w:val="20"/>
                                <w:szCs w:val="20"/>
                              </w:rPr>
                              <w:t>Increased uptake and adherence to PMTCT</w:t>
                            </w:r>
                          </w:p>
                          <w:p w:rsidR="00B247C9" w:rsidRPr="008016E5" w:rsidRDefault="00B247C9" w:rsidP="0071027C">
                            <w:pPr>
                              <w:autoSpaceDE w:val="0"/>
                              <w:autoSpaceDN w:val="0"/>
                              <w:adjustRightInd w:val="0"/>
                              <w:spacing w:after="0" w:line="240" w:lineRule="auto"/>
                              <w:rPr>
                                <w:b/>
                              </w:rPr>
                            </w:pPr>
                            <w:r w:rsidRPr="008016E5">
                              <w:rPr>
                                <w:rFonts w:ascii="AkzidenzGroteskBQ-Light" w:hAnsi="AkzidenzGroteskBQ-Light" w:cs="AkzidenzGroteskBQ-Light"/>
                                <w:b/>
                                <w:sz w:val="20"/>
                                <w:szCs w:val="20"/>
                              </w:rPr>
                              <w:t>• decreased numbers of infants with HIV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7" style="position:absolute;left:0;text-align:left;margin-left:1.65pt;margin-top:60.75pt;width:128.1pt;height: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" strokeweight="1.5pt">
                <v:textbox>
                  <w:txbxContent>
                    <w:p w:rsidR="00B247C9" w:rsidRPr="008016E5" w:rsidRDefault="00B247C9" w:rsidP="0071027C">
                      <w:pPr>
                        <w:autoSpaceDE w:val="0"/>
                        <w:autoSpaceDN w:val="0"/>
                        <w:adjustRightInd w:val="0"/>
                        <w:spacing w:after="0" w:line="240" w:lineRule="auto"/>
                        <w:rPr>
                          <w:rFonts w:ascii="AkzidenzGroteskBQ-Light" w:hAnsi="AkzidenzGroteskBQ-Light" w:cs="AkzidenzGroteskBQ-Light"/>
                          <w:b/>
                          <w:sz w:val="20"/>
                          <w:szCs w:val="20"/>
                        </w:rPr>
                      </w:pPr>
                      <w:r w:rsidRPr="008016E5">
                        <w:rPr>
                          <w:rFonts w:ascii="AkzidenzGroteskBQ-Light" w:hAnsi="AkzidenzGroteskBQ-Light" w:cs="AkzidenzGroteskBQ-Light"/>
                          <w:b/>
                          <w:sz w:val="20"/>
                          <w:szCs w:val="20"/>
                        </w:rPr>
                        <w:t>Increased uptake and adherence to PMTCT</w:t>
                      </w:r>
                    </w:p>
                    <w:p w:rsidR="00B247C9" w:rsidRPr="008016E5" w:rsidRDefault="00B247C9" w:rsidP="0071027C">
                      <w:pPr>
                        <w:autoSpaceDE w:val="0"/>
                        <w:autoSpaceDN w:val="0"/>
                        <w:adjustRightInd w:val="0"/>
                        <w:spacing w:after="0" w:line="240" w:lineRule="auto"/>
                        <w:rPr>
                          <w:b/>
                        </w:rPr>
                      </w:pPr>
                      <w:r w:rsidRPr="008016E5">
                        <w:rPr>
                          <w:rFonts w:ascii="AkzidenzGroteskBQ-Light" w:hAnsi="AkzidenzGroteskBQ-Light" w:cs="AkzidenzGroteskBQ-Light"/>
                          <w:b/>
                          <w:sz w:val="20"/>
                          <w:szCs w:val="20"/>
                        </w:rPr>
                        <w:t>• decreased numbers of infants with HIV</w:t>
                      </w:r>
                    </w:p>
                  </w:txbxContent>
                </v:textbox>
              </v:rect>
            </w:pict>
          </mc:Fallback>
        </mc:AlternateContent>
      </w:r>
      <w:r>
        <w:rPr>
          <w:rFonts w:ascii="Arial Narrow" w:eastAsia="Calibri" w:hAnsi="Arial Narrow"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4327525</wp:posOffset>
                </wp:positionH>
                <wp:positionV relativeFrom="paragraph">
                  <wp:posOffset>694055</wp:posOffset>
                </wp:positionV>
                <wp:extent cx="1435100" cy="737235"/>
                <wp:effectExtent l="0" t="0" r="12700" b="24765"/>
                <wp:wrapNone/>
                <wp:docPr id="8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737235"/>
                        </a:xfrm>
                        <a:prstGeom prst="rect">
                          <a:avLst/>
                        </a:prstGeom>
                        <a:solidFill>
                          <a:srgbClr val="FFFFFF"/>
                        </a:solidFill>
                        <a:ln w="19050">
                          <a:solidFill>
                            <a:srgbClr val="000000"/>
                          </a:solidFill>
                          <a:miter lim="800000"/>
                          <a:headEnd/>
                          <a:tailEnd/>
                        </a:ln>
                      </wps:spPr>
                      <wps:txbx>
                        <w:txbxContent>
                          <w:p w:rsidR="00B247C9" w:rsidRPr="008016E5" w:rsidRDefault="00B247C9" w:rsidP="0071027C">
                            <w:pPr>
                              <w:autoSpaceDE w:val="0"/>
                              <w:autoSpaceDN w:val="0"/>
                              <w:adjustRightInd w:val="0"/>
                              <w:spacing w:before="120" w:after="0" w:line="240" w:lineRule="auto"/>
                              <w:rPr>
                                <w:rFonts w:ascii="AkzidenzGroteskBQ-Light" w:hAnsi="AkzidenzGroteskBQ-Light" w:cs="AkzidenzGroteskBQ-Light"/>
                                <w:b/>
                                <w:sz w:val="20"/>
                                <w:szCs w:val="20"/>
                              </w:rPr>
                            </w:pPr>
                            <w:r w:rsidRPr="008016E5">
                              <w:rPr>
                                <w:rFonts w:ascii="AkzidenzGroteskBQ-Light" w:hAnsi="AkzidenzGroteskBQ-Light" w:cs="AkzidenzGroteskBQ-Light"/>
                                <w:b/>
                                <w:sz w:val="20"/>
                                <w:szCs w:val="20"/>
                              </w:rPr>
                              <w:t>Safer contraception/ family planning</w:t>
                            </w:r>
                          </w:p>
                          <w:p w:rsidR="00B247C9" w:rsidRPr="008016E5" w:rsidRDefault="00B247C9" w:rsidP="0071027C">
                            <w:pPr>
                              <w:spacing w:before="120"/>
                              <w:rPr>
                                <w:b/>
                              </w:rPr>
                            </w:pPr>
                            <w:r w:rsidRPr="008016E5">
                              <w:rPr>
                                <w:rFonts w:ascii="AkzidenzGroteskBQ-Light" w:hAnsi="AkzidenzGroteskBQ-Light" w:cs="AkzidenzGroteskBQ-Light"/>
                                <w:b/>
                                <w:sz w:val="20"/>
                                <w:szCs w:val="20"/>
                              </w:rPr>
                              <w:t>Safer conception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48" style="position:absolute;left:0;text-align:left;margin-left:340.75pt;margin-top:54.65pt;width:113pt;height:5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" strokeweight="1.5pt">
                <v:textbox>
                  <w:txbxContent>
                    <w:p w:rsidR="00B247C9" w:rsidRPr="008016E5" w:rsidRDefault="00B247C9" w:rsidP="0071027C">
                      <w:pPr>
                        <w:autoSpaceDE w:val="0"/>
                        <w:autoSpaceDN w:val="0"/>
                        <w:adjustRightInd w:val="0"/>
                        <w:spacing w:before="120" w:after="0" w:line="240" w:lineRule="auto"/>
                        <w:rPr>
                          <w:rFonts w:ascii="AkzidenzGroteskBQ-Light" w:hAnsi="AkzidenzGroteskBQ-Light" w:cs="AkzidenzGroteskBQ-Light"/>
                          <w:b/>
                          <w:sz w:val="20"/>
                          <w:szCs w:val="20"/>
                        </w:rPr>
                      </w:pPr>
                      <w:r w:rsidRPr="008016E5">
                        <w:rPr>
                          <w:rFonts w:ascii="AkzidenzGroteskBQ-Light" w:hAnsi="AkzidenzGroteskBQ-Light" w:cs="AkzidenzGroteskBQ-Light"/>
                          <w:b/>
                          <w:sz w:val="20"/>
                          <w:szCs w:val="20"/>
                        </w:rPr>
                        <w:t>Safer contraception/ family planning</w:t>
                      </w:r>
                    </w:p>
                    <w:p w:rsidR="00B247C9" w:rsidRPr="008016E5" w:rsidRDefault="00B247C9" w:rsidP="0071027C">
                      <w:pPr>
                        <w:spacing w:before="120"/>
                        <w:rPr>
                          <w:b/>
                        </w:rPr>
                      </w:pPr>
                      <w:r w:rsidRPr="008016E5">
                        <w:rPr>
                          <w:rFonts w:ascii="AkzidenzGroteskBQ-Light" w:hAnsi="AkzidenzGroteskBQ-Light" w:cs="AkzidenzGroteskBQ-Light"/>
                          <w:b/>
                          <w:sz w:val="20"/>
                          <w:szCs w:val="20"/>
                        </w:rPr>
                        <w:t>Safer conception</w:t>
                      </w:r>
                    </w:p>
                  </w:txbxContent>
                </v:textbox>
              </v:rect>
            </w:pict>
          </mc:Fallback>
        </mc:AlternateContent>
      </w:r>
      <w:r>
        <w:rPr>
          <w:rFonts w:ascii="Arial Narrow" w:eastAsia="Calibri" w:hAnsi="Arial Narrow"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4703445</wp:posOffset>
                </wp:positionH>
                <wp:positionV relativeFrom="paragraph">
                  <wp:posOffset>2675255</wp:posOffset>
                </wp:positionV>
                <wp:extent cx="1229360" cy="836930"/>
                <wp:effectExtent l="0" t="0" r="27940" b="20320"/>
                <wp:wrapNone/>
                <wp:docPr id="8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360" cy="836930"/>
                        </a:xfrm>
                        <a:prstGeom prst="rect">
                          <a:avLst/>
                        </a:prstGeom>
                        <a:solidFill>
                          <a:srgbClr val="FFFFFF"/>
                        </a:solidFill>
                        <a:ln w="19050">
                          <a:solidFill>
                            <a:srgbClr val="000000"/>
                          </a:solidFill>
                          <a:miter lim="800000"/>
                          <a:headEnd/>
                          <a:tailEnd/>
                        </a:ln>
                      </wps:spPr>
                      <wps:txbx>
                        <w:txbxContent>
                          <w:p w:rsidR="00B247C9" w:rsidRPr="008016E5" w:rsidRDefault="00B247C9" w:rsidP="0071027C">
                            <w:pPr>
                              <w:autoSpaceDE w:val="0"/>
                              <w:autoSpaceDN w:val="0"/>
                              <w:adjustRightInd w:val="0"/>
                              <w:spacing w:after="0" w:line="240" w:lineRule="auto"/>
                              <w:rPr>
                                <w:rFonts w:ascii="AkzidenzGroteskBQ-Light" w:hAnsi="AkzidenzGroteskBQ-Light" w:cs="AkzidenzGroteskBQ-Light"/>
                                <w:b/>
                                <w:sz w:val="20"/>
                                <w:szCs w:val="20"/>
                              </w:rPr>
                            </w:pPr>
                            <w:r w:rsidRPr="008016E5">
                              <w:rPr>
                                <w:rFonts w:ascii="AkzidenzGroteskBQ-Light" w:hAnsi="AkzidenzGroteskBQ-Light" w:cs="AkzidenzGroteskBQ-Light"/>
                                <w:b/>
                                <w:sz w:val="20"/>
                                <w:szCs w:val="20"/>
                              </w:rPr>
                              <w:t>HIV prevention to external partners</w:t>
                            </w:r>
                          </w:p>
                          <w:p w:rsidR="00B247C9" w:rsidRPr="008016E5" w:rsidRDefault="00B247C9" w:rsidP="0071027C">
                            <w:pPr>
                              <w:autoSpaceDE w:val="0"/>
                              <w:autoSpaceDN w:val="0"/>
                              <w:adjustRightInd w:val="0"/>
                              <w:spacing w:after="0" w:line="240" w:lineRule="auto"/>
                              <w:rPr>
                                <w:rFonts w:ascii="AkzidenzGroteskBQ-Light" w:hAnsi="AkzidenzGroteskBQ-Light" w:cs="AkzidenzGroteskBQ-Light"/>
                                <w:b/>
                                <w:sz w:val="20"/>
                                <w:szCs w:val="20"/>
                              </w:rPr>
                            </w:pPr>
                            <w:r w:rsidRPr="008016E5">
                              <w:rPr>
                                <w:rFonts w:ascii="AkzidenzGroteskBQ-Light" w:hAnsi="AkzidenzGroteskBQ-Light" w:cs="AkzidenzGroteskBQ-Light"/>
                                <w:b/>
                                <w:sz w:val="20"/>
                                <w:szCs w:val="20"/>
                              </w:rPr>
                              <w:t>• Condoms</w:t>
                            </w:r>
                          </w:p>
                          <w:p w:rsidR="00B247C9" w:rsidRPr="008016E5" w:rsidRDefault="00B247C9" w:rsidP="0071027C">
                            <w:pPr>
                              <w:rPr>
                                <w:b/>
                              </w:rPr>
                            </w:pPr>
                            <w:r w:rsidRPr="008016E5">
                              <w:rPr>
                                <w:rFonts w:ascii="AkzidenzGroteskBQ-Light" w:hAnsi="AkzidenzGroteskBQ-Light" w:cs="AkzidenzGroteskBQ-Light"/>
                                <w:b/>
                                <w:sz w:val="20"/>
                                <w:szCs w:val="20"/>
                              </w:rPr>
                              <w:t>• 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9" style="position:absolute;left:0;text-align:left;margin-left:370.35pt;margin-top:210.65pt;width:96.8pt;height:65.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" strokeweight="1.5pt">
                <v:textbox>
                  <w:txbxContent>
                    <w:p w:rsidR="00B247C9" w:rsidRPr="008016E5" w:rsidRDefault="00B247C9" w:rsidP="0071027C">
                      <w:pPr>
                        <w:autoSpaceDE w:val="0"/>
                        <w:autoSpaceDN w:val="0"/>
                        <w:adjustRightInd w:val="0"/>
                        <w:spacing w:after="0" w:line="240" w:lineRule="auto"/>
                        <w:rPr>
                          <w:rFonts w:ascii="AkzidenzGroteskBQ-Light" w:hAnsi="AkzidenzGroteskBQ-Light" w:cs="AkzidenzGroteskBQ-Light"/>
                          <w:b/>
                          <w:sz w:val="20"/>
                          <w:szCs w:val="20"/>
                        </w:rPr>
                      </w:pPr>
                      <w:r w:rsidRPr="008016E5">
                        <w:rPr>
                          <w:rFonts w:ascii="AkzidenzGroteskBQ-Light" w:hAnsi="AkzidenzGroteskBQ-Light" w:cs="AkzidenzGroteskBQ-Light"/>
                          <w:b/>
                          <w:sz w:val="20"/>
                          <w:szCs w:val="20"/>
                        </w:rPr>
                        <w:t>HIV prevention to external partners</w:t>
                      </w:r>
                    </w:p>
                    <w:p w:rsidR="00B247C9" w:rsidRPr="008016E5" w:rsidRDefault="00B247C9" w:rsidP="0071027C">
                      <w:pPr>
                        <w:autoSpaceDE w:val="0"/>
                        <w:autoSpaceDN w:val="0"/>
                        <w:adjustRightInd w:val="0"/>
                        <w:spacing w:after="0" w:line="240" w:lineRule="auto"/>
                        <w:rPr>
                          <w:rFonts w:ascii="AkzidenzGroteskBQ-Light" w:hAnsi="AkzidenzGroteskBQ-Light" w:cs="AkzidenzGroteskBQ-Light"/>
                          <w:b/>
                          <w:sz w:val="20"/>
                          <w:szCs w:val="20"/>
                        </w:rPr>
                      </w:pPr>
                      <w:r w:rsidRPr="008016E5">
                        <w:rPr>
                          <w:rFonts w:ascii="AkzidenzGroteskBQ-Light" w:hAnsi="AkzidenzGroteskBQ-Light" w:cs="AkzidenzGroteskBQ-Light"/>
                          <w:b/>
                          <w:sz w:val="20"/>
                          <w:szCs w:val="20"/>
                        </w:rPr>
                        <w:t>• Condoms</w:t>
                      </w:r>
                    </w:p>
                    <w:p w:rsidR="00B247C9" w:rsidRPr="008016E5" w:rsidRDefault="00B247C9" w:rsidP="0071027C">
                      <w:pPr>
                        <w:rPr>
                          <w:b/>
                        </w:rPr>
                      </w:pPr>
                      <w:r w:rsidRPr="008016E5">
                        <w:rPr>
                          <w:rFonts w:ascii="AkzidenzGroteskBQ-Light" w:hAnsi="AkzidenzGroteskBQ-Light" w:cs="AkzidenzGroteskBQ-Light"/>
                          <w:b/>
                          <w:sz w:val="20"/>
                          <w:szCs w:val="20"/>
                        </w:rPr>
                        <w:t>• ART</w:t>
                      </w:r>
                    </w:p>
                  </w:txbxContent>
                </v:textbox>
              </v:rect>
            </w:pict>
          </mc:Fallback>
        </mc:AlternateContent>
      </w:r>
      <w:r>
        <w:rPr>
          <w:rFonts w:ascii="Arial Narrow" w:eastAsia="Calibri" w:hAnsi="Arial Narrow"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4138295</wp:posOffset>
                </wp:positionH>
                <wp:positionV relativeFrom="paragraph">
                  <wp:posOffset>4696460</wp:posOffset>
                </wp:positionV>
                <wp:extent cx="1369060" cy="601980"/>
                <wp:effectExtent l="0" t="0" r="21590" b="26670"/>
                <wp:wrapNone/>
                <wp:docPr id="80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060" cy="601980"/>
                        </a:xfrm>
                        <a:prstGeom prst="rect">
                          <a:avLst/>
                        </a:prstGeom>
                        <a:solidFill>
                          <a:srgbClr val="FFFFFF"/>
                        </a:solidFill>
                        <a:ln w="19050">
                          <a:solidFill>
                            <a:srgbClr val="000000"/>
                          </a:solidFill>
                          <a:miter lim="800000"/>
                          <a:headEnd/>
                          <a:tailEnd/>
                        </a:ln>
                      </wps:spPr>
                      <wps:txbx>
                        <w:txbxContent>
                          <w:p w:rsidR="00B247C9" w:rsidRPr="008016E5" w:rsidRDefault="00B247C9" w:rsidP="0071027C">
                            <w:pPr>
                              <w:autoSpaceDE w:val="0"/>
                              <w:autoSpaceDN w:val="0"/>
                              <w:adjustRightInd w:val="0"/>
                              <w:spacing w:before="120" w:after="0" w:line="240" w:lineRule="auto"/>
                              <w:rPr>
                                <w:rFonts w:ascii="AkzidenzGroteskBQ-Light" w:hAnsi="AkzidenzGroteskBQ-Light" w:cs="AkzidenzGroteskBQ-Light"/>
                                <w:b/>
                                <w:sz w:val="20"/>
                                <w:szCs w:val="20"/>
                              </w:rPr>
                            </w:pPr>
                            <w:r w:rsidRPr="008016E5">
                              <w:rPr>
                                <w:rFonts w:ascii="AkzidenzGroteskBQ-Light" w:hAnsi="AkzidenzGroteskBQ-Light" w:cs="AkzidenzGroteskBQ-Light"/>
                                <w:b/>
                                <w:sz w:val="20"/>
                                <w:szCs w:val="20"/>
                              </w:rPr>
                              <w:t>Decreased stigma</w:t>
                            </w:r>
                          </w:p>
                          <w:p w:rsidR="00B247C9" w:rsidRPr="008016E5" w:rsidRDefault="00B247C9" w:rsidP="0071027C">
                            <w:pPr>
                              <w:spacing w:before="120"/>
                              <w:rPr>
                                <w:b/>
                              </w:rPr>
                            </w:pPr>
                            <w:r w:rsidRPr="008016E5">
                              <w:rPr>
                                <w:rFonts w:ascii="AkzidenzGroteskBQ-Light" w:hAnsi="AkzidenzGroteskBQ-Light" w:cs="AkzidenzGroteskBQ-Light"/>
                                <w:b/>
                                <w:sz w:val="20"/>
                                <w:szCs w:val="20"/>
                              </w:rPr>
                              <w:t>Normalization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50" style="position:absolute;left:0;text-align:left;margin-left:325.85pt;margin-top:369.8pt;width:107.8pt;height:4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" strokeweight="1.5pt">
                <v:textbox>
                  <w:txbxContent>
                    <w:p w:rsidR="00B247C9" w:rsidRPr="008016E5" w:rsidRDefault="00B247C9" w:rsidP="0071027C">
                      <w:pPr>
                        <w:autoSpaceDE w:val="0"/>
                        <w:autoSpaceDN w:val="0"/>
                        <w:adjustRightInd w:val="0"/>
                        <w:spacing w:before="120" w:after="0" w:line="240" w:lineRule="auto"/>
                        <w:rPr>
                          <w:rFonts w:ascii="AkzidenzGroteskBQ-Light" w:hAnsi="AkzidenzGroteskBQ-Light" w:cs="AkzidenzGroteskBQ-Light"/>
                          <w:b/>
                          <w:sz w:val="20"/>
                          <w:szCs w:val="20"/>
                        </w:rPr>
                      </w:pPr>
                      <w:r w:rsidRPr="008016E5">
                        <w:rPr>
                          <w:rFonts w:ascii="AkzidenzGroteskBQ-Light" w:hAnsi="AkzidenzGroteskBQ-Light" w:cs="AkzidenzGroteskBQ-Light"/>
                          <w:b/>
                          <w:sz w:val="20"/>
                          <w:szCs w:val="20"/>
                        </w:rPr>
                        <w:t>Decreased stigma</w:t>
                      </w:r>
                    </w:p>
                    <w:p w:rsidR="00B247C9" w:rsidRPr="008016E5" w:rsidRDefault="00B247C9" w:rsidP="0071027C">
                      <w:pPr>
                        <w:spacing w:before="120"/>
                        <w:rPr>
                          <w:b/>
                        </w:rPr>
                      </w:pPr>
                      <w:r w:rsidRPr="008016E5">
                        <w:rPr>
                          <w:rFonts w:ascii="AkzidenzGroteskBQ-Light" w:hAnsi="AkzidenzGroteskBQ-Light" w:cs="AkzidenzGroteskBQ-Light"/>
                          <w:b/>
                          <w:sz w:val="20"/>
                          <w:szCs w:val="20"/>
                        </w:rPr>
                        <w:t>Normalization</w:t>
                      </w:r>
                    </w:p>
                  </w:txbxContent>
                </v:textbox>
              </v:rect>
            </w:pict>
          </mc:Fallback>
        </mc:AlternateContent>
      </w:r>
      <w:r>
        <w:rPr>
          <w:rFonts w:ascii="Arial Narrow" w:eastAsia="Calibri" w:hAnsi="Arial Narrow"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3548380</wp:posOffset>
                </wp:positionH>
                <wp:positionV relativeFrom="paragraph">
                  <wp:posOffset>1516380</wp:posOffset>
                </wp:positionV>
                <wp:extent cx="203200" cy="976630"/>
                <wp:effectExtent l="0" t="234315" r="0" b="267335"/>
                <wp:wrapNone/>
                <wp:docPr id="808" name="Up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05545">
                          <a:off x="0" y="0"/>
                          <a:ext cx="203200" cy="976630"/>
                        </a:xfrm>
                        <a:prstGeom prst="upArrow">
                          <a:avLst>
                            <a:gd name="adj1" fmla="val 50000"/>
                            <a:gd name="adj2" fmla="val 120156"/>
                          </a:avLst>
                        </a:prstGeom>
                        <a:solidFill>
                          <a:schemeClr val="tx1">
                            <a:lumMod val="65000"/>
                            <a:lumOff val="35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8" o:spid="_x0000_s1026" type="#_x0000_t68" style="position:absolute;margin-left:279.4pt;margin-top:119.4pt;width:16pt;height:76.9pt;rotation:339208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" fillcolor="#5a5a5a [2109]">
                <v:textbox style="layout-flow:vertical-ideographic"/>
              </v:shape>
            </w:pict>
          </mc:Fallback>
        </mc:AlternateContent>
      </w:r>
      <w:r>
        <w:rPr>
          <w:rFonts w:ascii="Arial Narrow" w:eastAsia="Calibri" w:hAnsi="Arial Narrow"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1793875</wp:posOffset>
                </wp:positionH>
                <wp:positionV relativeFrom="paragraph">
                  <wp:posOffset>1597025</wp:posOffset>
                </wp:positionV>
                <wp:extent cx="211455" cy="976630"/>
                <wp:effectExtent l="0" t="230187" r="0" b="263208"/>
                <wp:wrapNone/>
                <wp:docPr id="807" name="Up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92263">
                          <a:off x="0" y="0"/>
                          <a:ext cx="211455" cy="976630"/>
                        </a:xfrm>
                        <a:prstGeom prst="upArrow">
                          <a:avLst>
                            <a:gd name="adj1" fmla="val 50000"/>
                            <a:gd name="adj2" fmla="val 115465"/>
                          </a:avLst>
                        </a:prstGeom>
                        <a:solidFill>
                          <a:schemeClr val="tx1">
                            <a:lumMod val="65000"/>
                            <a:lumOff val="35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6" o:spid="_x0000_s1026" type="#_x0000_t68" style="position:absolute;margin-left:141.25pt;margin-top:125.75pt;width:16.65pt;height:76.9pt;rotation:-337757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" fillcolor="#5a5a5a [2109]">
                <v:textbox style="layout-flow:vertical-ideographic"/>
              </v:shape>
            </w:pict>
          </mc:Fallback>
        </mc:AlternateContent>
      </w:r>
      <w:r>
        <w:rPr>
          <w:rFonts w:ascii="Arial Narrow" w:eastAsia="Calibri" w:hAnsi="Arial Narrow"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3899535</wp:posOffset>
                </wp:positionH>
                <wp:positionV relativeFrom="paragraph">
                  <wp:posOffset>2662555</wp:posOffset>
                </wp:positionV>
                <wp:extent cx="212725" cy="976630"/>
                <wp:effectExtent l="0" t="20002" r="0" b="33973"/>
                <wp:wrapNone/>
                <wp:docPr id="806" name="Up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2725" cy="976630"/>
                        </a:xfrm>
                        <a:prstGeom prst="upArrow">
                          <a:avLst>
                            <a:gd name="adj1" fmla="val 50000"/>
                            <a:gd name="adj2" fmla="val 114776"/>
                          </a:avLst>
                        </a:prstGeom>
                        <a:solidFill>
                          <a:schemeClr val="tx1">
                            <a:lumMod val="65000"/>
                            <a:lumOff val="35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5" o:spid="_x0000_s1026" type="#_x0000_t68" style="position:absolute;margin-left:307.05pt;margin-top:209.65pt;width:16.75pt;height:76.9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" fillcolor="#5a5a5a [2109]">
                <v:textbox style="layout-flow:vertical-ideographic"/>
              </v:shape>
            </w:pict>
          </mc:Fallback>
        </mc:AlternateContent>
      </w:r>
      <w:r>
        <w:rPr>
          <w:rFonts w:ascii="Arial Narrow" w:eastAsia="Calibri" w:hAnsi="Arial Narrow"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3548380</wp:posOffset>
                </wp:positionH>
                <wp:positionV relativeFrom="paragraph">
                  <wp:posOffset>3719830</wp:posOffset>
                </wp:positionV>
                <wp:extent cx="231775" cy="976630"/>
                <wp:effectExtent l="266700" t="0" r="225425" b="0"/>
                <wp:wrapNone/>
                <wp:docPr id="805" name="Up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99387">
                          <a:off x="0" y="0"/>
                          <a:ext cx="231775" cy="976630"/>
                        </a:xfrm>
                        <a:prstGeom prst="upArrow">
                          <a:avLst>
                            <a:gd name="adj1" fmla="val 50000"/>
                            <a:gd name="adj2" fmla="val 105342"/>
                          </a:avLst>
                        </a:prstGeom>
                        <a:solidFill>
                          <a:schemeClr val="tx1">
                            <a:lumMod val="65000"/>
                            <a:lumOff val="35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4" o:spid="_x0000_s1026" type="#_x0000_t68" style="position:absolute;margin-left:279.4pt;margin-top:292.9pt;width:18.25pt;height:76.9pt;rotation:9065144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" fillcolor="#5a5a5a [2109]">
                <v:textbox style="layout-flow:vertical-ideographic"/>
              </v:shape>
            </w:pict>
          </mc:Fallback>
        </mc:AlternateContent>
      </w:r>
      <w:r>
        <w:rPr>
          <w:rFonts w:ascii="Arial Narrow" w:eastAsia="Calibri" w:hAnsi="Arial Narrow"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1478915</wp:posOffset>
                </wp:positionH>
                <wp:positionV relativeFrom="paragraph">
                  <wp:posOffset>2654300</wp:posOffset>
                </wp:positionV>
                <wp:extent cx="358775" cy="976630"/>
                <wp:effectExtent l="0" t="23177" r="0" b="37148"/>
                <wp:wrapNone/>
                <wp:docPr id="804" name="Up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58775" cy="976630"/>
                        </a:xfrm>
                        <a:prstGeom prst="upArrow">
                          <a:avLst>
                            <a:gd name="adj1" fmla="val 27148"/>
                            <a:gd name="adj2" fmla="val 73976"/>
                          </a:avLst>
                        </a:prstGeom>
                        <a:solidFill>
                          <a:schemeClr val="tx1">
                            <a:lumMod val="65000"/>
                            <a:lumOff val="35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1" o:spid="_x0000_s1026" type="#_x0000_t68" style="position:absolute;margin-left:116.45pt;margin-top:209pt;width:28.25pt;height:76.9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" adj="5870,7868" fillcolor="#5a5a5a [2109]">
                <v:textbox style="layout-flow:vertical-ideographic"/>
              </v:shape>
            </w:pict>
          </mc:Fallback>
        </mc:AlternateContent>
      </w:r>
    </w:p>
    <w:p w:rsidR="0071027C" w:rsidRPr="007E20BD" w:rsidRDefault="0071027C" w:rsidP="00AA771C">
      <w:pPr>
        <w:autoSpaceDE w:val="0"/>
        <w:autoSpaceDN w:val="0"/>
        <w:adjustRightInd w:val="0"/>
        <w:spacing w:beforeLines="120" w:before="288" w:afterLines="120" w:after="288" w:line="288" w:lineRule="auto"/>
        <w:jc w:val="both"/>
        <w:rPr>
          <w:rFonts w:ascii="Arial Narrow" w:eastAsia="Calibri" w:hAnsi="Arial Narrow" w:cs="Frutiger-BoldCn"/>
          <w:b/>
          <w:bCs/>
          <w:color w:val="005845"/>
          <w:sz w:val="24"/>
          <w:szCs w:val="24"/>
        </w:rPr>
      </w:pPr>
    </w:p>
    <w:p w:rsidR="0071027C" w:rsidRPr="007E20BD" w:rsidRDefault="00AA771C" w:rsidP="00AA771C">
      <w:pPr>
        <w:autoSpaceDE w:val="0"/>
        <w:autoSpaceDN w:val="0"/>
        <w:adjustRightInd w:val="0"/>
        <w:spacing w:beforeLines="120" w:before="288" w:afterLines="120" w:after="288" w:line="288" w:lineRule="auto"/>
        <w:jc w:val="both"/>
        <w:rPr>
          <w:rFonts w:ascii="Arial Narrow" w:eastAsia="Calibri" w:hAnsi="Arial Narrow" w:cs="Frutiger-BoldCn"/>
          <w:b/>
          <w:bCs/>
          <w:color w:val="005845"/>
          <w:sz w:val="24"/>
          <w:szCs w:val="24"/>
        </w:rPr>
      </w:pPr>
      <w:r>
        <w:rPr>
          <w:rFonts w:ascii="Arial Narrow" w:eastAsia="Calibri" w:hAnsi="Arial Narrow"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2727960</wp:posOffset>
                </wp:positionH>
                <wp:positionV relativeFrom="paragraph">
                  <wp:posOffset>136525</wp:posOffset>
                </wp:positionV>
                <wp:extent cx="191770" cy="976630"/>
                <wp:effectExtent l="19050" t="19050" r="36830" b="13970"/>
                <wp:wrapNone/>
                <wp:docPr id="803" name="Up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976630"/>
                        </a:xfrm>
                        <a:prstGeom prst="upArrow">
                          <a:avLst>
                            <a:gd name="adj1" fmla="val 50000"/>
                            <a:gd name="adj2" fmla="val 127318"/>
                          </a:avLst>
                        </a:prstGeom>
                        <a:solidFill>
                          <a:schemeClr val="tx1">
                            <a:lumMod val="65000"/>
                            <a:lumOff val="35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7" o:spid="_x0000_s1026" type="#_x0000_t68" style="position:absolute;margin-left:214.8pt;margin-top:10.75pt;width:15.1pt;height:7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" fillcolor="#5a5a5a [2109]">
                <v:textbox style="layout-flow:vertical-ideographic"/>
              </v:shape>
            </w:pict>
          </mc:Fallback>
        </mc:AlternateContent>
      </w:r>
    </w:p>
    <w:p w:rsidR="0071027C" w:rsidRPr="007E20BD" w:rsidRDefault="0071027C" w:rsidP="00AA771C">
      <w:pPr>
        <w:autoSpaceDE w:val="0"/>
        <w:autoSpaceDN w:val="0"/>
        <w:adjustRightInd w:val="0"/>
        <w:spacing w:beforeLines="120" w:before="288" w:afterLines="120" w:after="288" w:line="288" w:lineRule="auto"/>
        <w:jc w:val="both"/>
        <w:rPr>
          <w:rFonts w:ascii="Arial Narrow" w:eastAsia="Calibri" w:hAnsi="Arial Narrow" w:cs="Frutiger-BoldCn"/>
          <w:b/>
          <w:bCs/>
          <w:color w:val="005845"/>
          <w:sz w:val="24"/>
          <w:szCs w:val="24"/>
        </w:rPr>
      </w:pPr>
    </w:p>
    <w:p w:rsidR="0071027C" w:rsidRPr="007E20BD" w:rsidRDefault="0071027C" w:rsidP="00AA771C">
      <w:pPr>
        <w:autoSpaceDE w:val="0"/>
        <w:autoSpaceDN w:val="0"/>
        <w:adjustRightInd w:val="0"/>
        <w:spacing w:beforeLines="120" w:before="288" w:afterLines="120" w:after="288" w:line="288" w:lineRule="auto"/>
        <w:jc w:val="both"/>
        <w:rPr>
          <w:rFonts w:ascii="Arial Narrow" w:eastAsia="Calibri" w:hAnsi="Arial Narrow" w:cs="Frutiger-BoldCn"/>
          <w:b/>
          <w:bCs/>
          <w:color w:val="005845"/>
          <w:sz w:val="24"/>
          <w:szCs w:val="24"/>
        </w:rPr>
      </w:pPr>
    </w:p>
    <w:p w:rsidR="0071027C" w:rsidRPr="007E20BD" w:rsidRDefault="0071027C" w:rsidP="00AA771C">
      <w:pPr>
        <w:autoSpaceDE w:val="0"/>
        <w:autoSpaceDN w:val="0"/>
        <w:adjustRightInd w:val="0"/>
        <w:spacing w:beforeLines="120" w:before="288" w:afterLines="120" w:after="288" w:line="288" w:lineRule="auto"/>
        <w:jc w:val="both"/>
        <w:rPr>
          <w:rFonts w:ascii="Arial Narrow" w:eastAsia="Calibri" w:hAnsi="Arial Narrow" w:cs="Frutiger-BoldCn"/>
          <w:b/>
          <w:bCs/>
          <w:color w:val="005845"/>
          <w:sz w:val="24"/>
          <w:szCs w:val="24"/>
        </w:rPr>
      </w:pPr>
    </w:p>
    <w:p w:rsidR="0071027C" w:rsidRPr="007E20BD" w:rsidRDefault="00AA771C" w:rsidP="00AA771C">
      <w:pPr>
        <w:autoSpaceDE w:val="0"/>
        <w:autoSpaceDN w:val="0"/>
        <w:adjustRightInd w:val="0"/>
        <w:spacing w:beforeLines="120" w:before="288" w:afterLines="120" w:after="288" w:line="288" w:lineRule="auto"/>
        <w:jc w:val="both"/>
        <w:rPr>
          <w:rFonts w:ascii="Arial Narrow" w:eastAsia="Calibri" w:hAnsi="Arial Narrow" w:cs="Frutiger-BoldCn"/>
          <w:b/>
          <w:bCs/>
          <w:color w:val="005845"/>
          <w:sz w:val="24"/>
          <w:szCs w:val="24"/>
        </w:rPr>
      </w:pPr>
      <w:r>
        <w:rPr>
          <w:rFonts w:ascii="Arial Narrow" w:eastAsia="Calibri" w:hAnsi="Arial Narrow"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2364740</wp:posOffset>
                </wp:positionH>
                <wp:positionV relativeFrom="paragraph">
                  <wp:posOffset>14605</wp:posOffset>
                </wp:positionV>
                <wp:extent cx="914400" cy="914400"/>
                <wp:effectExtent l="0" t="0" r="19050" b="19050"/>
                <wp:wrapNone/>
                <wp:docPr id="80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chemeClr val="bg1">
                            <a:lumMod val="65000"/>
                            <a:lumOff val="0"/>
                          </a:schemeClr>
                        </a:solidFill>
                        <a:ln w="9525">
                          <a:solidFill>
                            <a:schemeClr val="tx1">
                              <a:lumMod val="100000"/>
                              <a:lumOff val="0"/>
                            </a:schemeClr>
                          </a:solidFill>
                          <a:miter lim="800000"/>
                          <a:headEnd/>
                          <a:tailEnd/>
                        </a:ln>
                      </wps:spPr>
                      <wps:txbx>
                        <w:txbxContent>
                          <w:p w:rsidR="00B247C9" w:rsidRPr="0056685D" w:rsidRDefault="00B247C9" w:rsidP="0071027C">
                            <w:pPr>
                              <w:jc w:val="center"/>
                              <w:rPr>
                                <w:b/>
                                <w:color w:val="FFFFFF" w:themeColor="background1"/>
                              </w:rPr>
                            </w:pPr>
                            <w:r w:rsidRPr="0056685D">
                              <w:rPr>
                                <w:b/>
                                <w:color w:val="FFFFFF" w:themeColor="background1"/>
                              </w:rPr>
                              <w:t>Couple HIV testing and counselling (CHCT)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51" style="position:absolute;left:0;text-align:left;margin-left:186.2pt;margin-top:1.15pt;width:1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" fillcolor="#a5a5a5 [2092]" strokecolor="black [3213]">
                <v:textbox>
                  <w:txbxContent>
                    <w:p w:rsidR="00B247C9" w:rsidRPr="0056685D" w:rsidRDefault="00B247C9" w:rsidP="0071027C">
                      <w:pPr>
                        <w:jc w:val="center"/>
                        <w:rPr>
                          <w:b/>
                          <w:color w:val="FFFFFF" w:themeColor="background1"/>
                        </w:rPr>
                      </w:pPr>
                      <w:r w:rsidRPr="0056685D">
                        <w:rPr>
                          <w:b/>
                          <w:color w:val="FFFFFF" w:themeColor="background1"/>
                        </w:rPr>
                        <w:t>Couple HIV testing and counselling (CHCT)</w:t>
                      </w:r>
                    </w:p>
                  </w:txbxContent>
                </v:textbox>
              </v:rect>
            </w:pict>
          </mc:Fallback>
        </mc:AlternateContent>
      </w:r>
    </w:p>
    <w:p w:rsidR="0071027C" w:rsidRPr="007E20BD" w:rsidRDefault="0071027C" w:rsidP="00AA771C">
      <w:pPr>
        <w:autoSpaceDE w:val="0"/>
        <w:autoSpaceDN w:val="0"/>
        <w:adjustRightInd w:val="0"/>
        <w:spacing w:beforeLines="120" w:before="288" w:afterLines="120" w:after="288" w:line="288" w:lineRule="auto"/>
        <w:jc w:val="both"/>
        <w:rPr>
          <w:rFonts w:ascii="Arial Narrow" w:eastAsia="Calibri" w:hAnsi="Arial Narrow" w:cs="Frutiger-BoldCn"/>
          <w:b/>
          <w:bCs/>
          <w:color w:val="005845"/>
          <w:sz w:val="24"/>
          <w:szCs w:val="24"/>
        </w:rPr>
      </w:pPr>
    </w:p>
    <w:p w:rsidR="0071027C" w:rsidRPr="007E20BD" w:rsidRDefault="0071027C" w:rsidP="00AA771C">
      <w:pPr>
        <w:autoSpaceDE w:val="0"/>
        <w:autoSpaceDN w:val="0"/>
        <w:adjustRightInd w:val="0"/>
        <w:spacing w:beforeLines="120" w:before="288" w:afterLines="120" w:after="288" w:line="288" w:lineRule="auto"/>
        <w:jc w:val="both"/>
        <w:rPr>
          <w:rFonts w:ascii="Arial Narrow" w:eastAsia="Calibri" w:hAnsi="Arial Narrow" w:cs="Frutiger-BoldCn"/>
          <w:b/>
          <w:bCs/>
          <w:color w:val="005845"/>
          <w:sz w:val="24"/>
          <w:szCs w:val="24"/>
        </w:rPr>
      </w:pPr>
    </w:p>
    <w:p w:rsidR="0071027C" w:rsidRPr="007E20BD" w:rsidRDefault="00AA771C" w:rsidP="00AA771C">
      <w:pPr>
        <w:autoSpaceDE w:val="0"/>
        <w:autoSpaceDN w:val="0"/>
        <w:adjustRightInd w:val="0"/>
        <w:spacing w:beforeLines="120" w:before="288" w:afterLines="120" w:after="288" w:line="288" w:lineRule="auto"/>
        <w:jc w:val="both"/>
        <w:rPr>
          <w:rFonts w:ascii="Arial Narrow" w:eastAsia="Calibri" w:hAnsi="Arial Narrow" w:cs="Frutiger-BoldCn"/>
          <w:b/>
          <w:bCs/>
          <w:color w:val="005845"/>
          <w:sz w:val="24"/>
          <w:szCs w:val="24"/>
        </w:rPr>
      </w:pPr>
      <w:r>
        <w:rPr>
          <w:rFonts w:ascii="Arial Narrow" w:eastAsia="Calibri" w:hAnsi="Arial Narrow"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2677160</wp:posOffset>
                </wp:positionH>
                <wp:positionV relativeFrom="paragraph">
                  <wp:posOffset>642620</wp:posOffset>
                </wp:positionV>
                <wp:extent cx="245745" cy="1429385"/>
                <wp:effectExtent l="19050" t="0" r="40005" b="37465"/>
                <wp:wrapNone/>
                <wp:docPr id="801" name="Up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5745" cy="1429385"/>
                        </a:xfrm>
                        <a:prstGeom prst="upArrow">
                          <a:avLst>
                            <a:gd name="adj1" fmla="val 50000"/>
                            <a:gd name="adj2" fmla="val 99354"/>
                          </a:avLst>
                        </a:prstGeom>
                        <a:solidFill>
                          <a:schemeClr val="tx1">
                            <a:lumMod val="65000"/>
                            <a:lumOff val="35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3" o:spid="_x0000_s1026" type="#_x0000_t68" style="position:absolute;margin-left:210.8pt;margin-top:50.6pt;width:19.35pt;height:112.5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" adj="3690" fillcolor="#5a5a5a [2109]">
                <v:textbox style="layout-flow:vertical-ideographic"/>
              </v:shape>
            </w:pict>
          </mc:Fallback>
        </mc:AlternateContent>
      </w:r>
      <w:r>
        <w:rPr>
          <w:rFonts w:ascii="Arial Narrow" w:eastAsia="Calibri" w:hAnsi="Arial Narrow"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2343150</wp:posOffset>
                </wp:positionH>
                <wp:positionV relativeFrom="paragraph">
                  <wp:posOffset>2418080</wp:posOffset>
                </wp:positionV>
                <wp:extent cx="1026795" cy="488950"/>
                <wp:effectExtent l="0" t="0" r="20955" b="25400"/>
                <wp:wrapNone/>
                <wp:docPr id="80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 cy="488950"/>
                        </a:xfrm>
                        <a:prstGeom prst="rect">
                          <a:avLst/>
                        </a:prstGeom>
                        <a:solidFill>
                          <a:srgbClr val="FFFFFF"/>
                        </a:solidFill>
                        <a:ln w="19050">
                          <a:solidFill>
                            <a:srgbClr val="000000"/>
                          </a:solidFill>
                          <a:miter lim="800000"/>
                          <a:headEnd/>
                          <a:tailEnd/>
                        </a:ln>
                      </wps:spPr>
                      <wps:txbx>
                        <w:txbxContent>
                          <w:p w:rsidR="00B247C9" w:rsidRPr="008016E5" w:rsidRDefault="00B247C9" w:rsidP="0071027C">
                            <w:pPr>
                              <w:jc w:val="center"/>
                              <w:rPr>
                                <w:b/>
                              </w:rPr>
                            </w:pPr>
                            <w:r w:rsidRPr="008016E5">
                              <w:rPr>
                                <w:rFonts w:ascii="AkzidenzGroteskBQ-Light" w:hAnsi="AkzidenzGroteskBQ-Light" w:cs="AkzidenzGroteskBQ-Light"/>
                                <w:b/>
                                <w:sz w:val="20"/>
                                <w:szCs w:val="20"/>
                              </w:rPr>
                              <w:t>Male circumcision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52" style="position:absolute;left:0;text-align:left;margin-left:184.5pt;margin-top:190.4pt;width:80.85pt;height: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" strokeweight="1.5pt">
                <v:textbox>
                  <w:txbxContent>
                    <w:p w:rsidR="00B247C9" w:rsidRPr="008016E5" w:rsidRDefault="00B247C9" w:rsidP="0071027C">
                      <w:pPr>
                        <w:jc w:val="center"/>
                        <w:rPr>
                          <w:b/>
                        </w:rPr>
                      </w:pPr>
                      <w:r w:rsidRPr="008016E5">
                        <w:rPr>
                          <w:rFonts w:ascii="AkzidenzGroteskBQ-Light" w:hAnsi="AkzidenzGroteskBQ-Light" w:cs="AkzidenzGroteskBQ-Light"/>
                          <w:b/>
                          <w:sz w:val="20"/>
                          <w:szCs w:val="20"/>
                        </w:rPr>
                        <w:t>Male circumcision</w:t>
                      </w:r>
                    </w:p>
                  </w:txbxContent>
                </v:textbox>
              </v:rect>
            </w:pict>
          </mc:Fallback>
        </mc:AlternateContent>
      </w:r>
    </w:p>
    <w:p w:rsidR="0071027C" w:rsidRDefault="0071027C" w:rsidP="00AA771C">
      <w:pPr>
        <w:autoSpaceDE w:val="0"/>
        <w:autoSpaceDN w:val="0"/>
        <w:adjustRightInd w:val="0"/>
        <w:spacing w:beforeLines="120" w:before="288" w:afterLines="120" w:after="288" w:line="288" w:lineRule="auto"/>
        <w:jc w:val="both"/>
        <w:rPr>
          <w:rFonts w:ascii="Arial Narrow" w:eastAsia="Calibri" w:hAnsi="Arial Narrow" w:cs="Frutiger-BoldCn"/>
          <w:b/>
          <w:bCs/>
          <w:color w:val="005845"/>
          <w:sz w:val="24"/>
          <w:szCs w:val="24"/>
        </w:rPr>
        <w:sectPr w:rsidR="0071027C" w:rsidSect="0027452F">
          <w:pgSz w:w="12240" w:h="15840"/>
          <w:pgMar w:top="1440" w:right="1440" w:bottom="1440" w:left="1440" w:header="720" w:footer="720" w:gutter="0"/>
          <w:cols w:space="720"/>
          <w:docGrid w:linePitch="360"/>
        </w:sectPr>
      </w:pPr>
    </w:p>
    <w:p w:rsidR="0071027C" w:rsidRPr="0099295A" w:rsidRDefault="0071027C" w:rsidP="0071027C">
      <w:pPr>
        <w:pStyle w:val="Heading3"/>
        <w:rPr>
          <w:szCs w:val="24"/>
        </w:rPr>
      </w:pPr>
      <w:bookmarkStart w:id="146" w:name="_Toc373761277"/>
      <w:bookmarkStart w:id="147" w:name="_Toc378258116"/>
      <w:bookmarkStart w:id="148" w:name="_Toc382213973"/>
      <w:r w:rsidRPr="0099295A">
        <w:lastRenderedPageBreak/>
        <w:t>3.2.5 HIV Testing and Counselling for Infants, Children and Adolescents</w:t>
      </w:r>
      <w:bookmarkEnd w:id="146"/>
      <w:bookmarkEnd w:id="147"/>
      <w:bookmarkEnd w:id="148"/>
    </w:p>
    <w:p w:rsidR="0071027C" w:rsidRPr="0099295A" w:rsidRDefault="0071027C" w:rsidP="0071027C">
      <w:pPr>
        <w:keepNext/>
        <w:keepLines/>
        <w:spacing w:before="120" w:after="120" w:line="240" w:lineRule="auto"/>
        <w:jc w:val="both"/>
        <w:outlineLvl w:val="2"/>
        <w:rPr>
          <w:rFonts w:ascii="Arial" w:eastAsia="Times New Roman" w:hAnsi="Arial" w:cs="Arial"/>
          <w:b/>
          <w:bCs/>
          <w:color w:val="4F81BD"/>
        </w:rPr>
      </w:pPr>
      <w:bookmarkStart w:id="149" w:name="_Toc382213974"/>
      <w:r w:rsidRPr="0099295A">
        <w:rPr>
          <w:rFonts w:ascii="Arial" w:hAnsi="Arial" w:cs="Arial"/>
          <w:color w:val="000000"/>
          <w:lang w:val="en-GB"/>
        </w:rPr>
        <w:t>Early initiation of ART can save lives for infants, children, youth and adolescents that are living with HIV.</w:t>
      </w:r>
      <w:bookmarkEnd w:id="149"/>
      <w:r w:rsidRPr="0099295A">
        <w:rPr>
          <w:rFonts w:ascii="Arial" w:hAnsi="Arial" w:cs="Arial"/>
          <w:color w:val="000000"/>
          <w:lang w:val="en-GB"/>
        </w:rPr>
        <w:t xml:space="preserve"> </w:t>
      </w:r>
    </w:p>
    <w:p w:rsidR="0071027C" w:rsidRPr="0099295A" w:rsidRDefault="0071027C" w:rsidP="0071027C">
      <w:pPr>
        <w:keepNext/>
        <w:keepLines/>
        <w:spacing w:before="120" w:after="120" w:line="240" w:lineRule="auto"/>
        <w:jc w:val="both"/>
        <w:outlineLvl w:val="2"/>
        <w:rPr>
          <w:rFonts w:ascii="Arial" w:eastAsia="Calibri" w:hAnsi="Arial" w:cs="Arial"/>
        </w:rPr>
      </w:pPr>
      <w:bookmarkStart w:id="150" w:name="_Toc382213975"/>
      <w:r w:rsidRPr="0099295A">
        <w:rPr>
          <w:rFonts w:ascii="Arial" w:eastAsia="Calibri" w:hAnsi="Arial" w:cs="Arial"/>
        </w:rPr>
        <w:t>The benefits of expanded access to HTC for infants and children are numerous and include the following</w:t>
      </w:r>
      <w:bookmarkEnd w:id="150"/>
    </w:p>
    <w:p w:rsidR="0071027C" w:rsidRPr="00680DFC" w:rsidRDefault="0071027C" w:rsidP="00274941">
      <w:pPr>
        <w:pStyle w:val="ListParagraph"/>
        <w:keepNext/>
        <w:keepLines/>
        <w:widowControl w:val="0"/>
        <w:numPr>
          <w:ilvl w:val="0"/>
          <w:numId w:val="10"/>
        </w:numPr>
        <w:contextualSpacing w:val="0"/>
        <w:jc w:val="both"/>
        <w:outlineLvl w:val="2"/>
        <w:rPr>
          <w:rFonts w:ascii="Arial" w:eastAsia="Calibri" w:hAnsi="Arial" w:cs="Arial"/>
          <w:sz w:val="22"/>
          <w:szCs w:val="22"/>
        </w:rPr>
      </w:pPr>
      <w:bookmarkStart w:id="151" w:name="_Toc382213976"/>
      <w:r w:rsidRPr="00680DFC">
        <w:rPr>
          <w:rFonts w:ascii="Arial" w:eastAsia="Calibri" w:hAnsi="Arial" w:cs="Arial"/>
          <w:sz w:val="22"/>
          <w:szCs w:val="22"/>
        </w:rPr>
        <w:t>Early identification of HIV infants and children as a first step to treatment and care</w:t>
      </w:r>
      <w:bookmarkEnd w:id="151"/>
    </w:p>
    <w:p w:rsidR="0071027C" w:rsidRPr="00680DFC" w:rsidRDefault="0071027C" w:rsidP="00274941">
      <w:pPr>
        <w:pStyle w:val="ListParagraph"/>
        <w:keepNext/>
        <w:keepLines/>
        <w:widowControl w:val="0"/>
        <w:numPr>
          <w:ilvl w:val="0"/>
          <w:numId w:val="10"/>
        </w:numPr>
        <w:contextualSpacing w:val="0"/>
        <w:jc w:val="both"/>
        <w:outlineLvl w:val="2"/>
        <w:rPr>
          <w:rFonts w:ascii="Arial" w:eastAsia="Calibri" w:hAnsi="Arial" w:cs="Arial"/>
          <w:sz w:val="22"/>
          <w:szCs w:val="22"/>
        </w:rPr>
      </w:pPr>
      <w:bookmarkStart w:id="152" w:name="_Toc382213977"/>
      <w:r w:rsidRPr="00680DFC">
        <w:rPr>
          <w:rFonts w:ascii="Arial" w:eastAsia="Calibri" w:hAnsi="Arial" w:cs="Arial"/>
          <w:sz w:val="22"/>
          <w:szCs w:val="22"/>
        </w:rPr>
        <w:t>Identification of HIV exposed but uninfected infant, which facilitate follow up care and prevention measures that will help to ensure that, they remain uninfected and healthy</w:t>
      </w:r>
      <w:bookmarkEnd w:id="152"/>
    </w:p>
    <w:p w:rsidR="0071027C" w:rsidRPr="00680DFC" w:rsidRDefault="0071027C" w:rsidP="00274941">
      <w:pPr>
        <w:pStyle w:val="ListParagraph"/>
        <w:keepNext/>
        <w:keepLines/>
        <w:widowControl w:val="0"/>
        <w:numPr>
          <w:ilvl w:val="0"/>
          <w:numId w:val="10"/>
        </w:numPr>
        <w:contextualSpacing w:val="0"/>
        <w:jc w:val="both"/>
        <w:outlineLvl w:val="2"/>
        <w:rPr>
          <w:rFonts w:ascii="Arial" w:eastAsia="Calibri" w:hAnsi="Arial" w:cs="Arial"/>
          <w:sz w:val="22"/>
          <w:szCs w:val="22"/>
        </w:rPr>
      </w:pPr>
      <w:bookmarkStart w:id="153" w:name="_Toc382213978"/>
      <w:r w:rsidRPr="00680DFC">
        <w:rPr>
          <w:rFonts w:ascii="Arial" w:eastAsia="Calibri" w:hAnsi="Arial" w:cs="Arial"/>
          <w:sz w:val="22"/>
          <w:szCs w:val="22"/>
        </w:rPr>
        <w:t>Life planning for parents and/or children who are HIV infected; and</w:t>
      </w:r>
      <w:bookmarkEnd w:id="153"/>
      <w:r w:rsidRPr="00680DFC">
        <w:rPr>
          <w:rFonts w:ascii="Arial" w:eastAsia="Calibri" w:hAnsi="Arial" w:cs="Arial"/>
          <w:sz w:val="22"/>
          <w:szCs w:val="22"/>
        </w:rPr>
        <w:t xml:space="preserve"> </w:t>
      </w:r>
    </w:p>
    <w:p w:rsidR="0071027C" w:rsidRPr="00680DFC" w:rsidRDefault="0071027C" w:rsidP="00274941">
      <w:pPr>
        <w:pStyle w:val="ListParagraph"/>
        <w:keepNext/>
        <w:keepLines/>
        <w:widowControl w:val="0"/>
        <w:numPr>
          <w:ilvl w:val="0"/>
          <w:numId w:val="10"/>
        </w:numPr>
        <w:contextualSpacing w:val="0"/>
        <w:jc w:val="both"/>
        <w:outlineLvl w:val="2"/>
        <w:rPr>
          <w:rFonts w:ascii="Arial" w:eastAsia="Calibri" w:hAnsi="Arial" w:cs="Arial"/>
          <w:sz w:val="22"/>
          <w:szCs w:val="22"/>
        </w:rPr>
      </w:pPr>
      <w:bookmarkStart w:id="154" w:name="_Toc382213979"/>
      <w:r w:rsidRPr="00680DFC">
        <w:rPr>
          <w:rFonts w:ascii="Arial" w:eastAsia="Calibri" w:hAnsi="Arial" w:cs="Arial"/>
          <w:sz w:val="22"/>
          <w:szCs w:val="22"/>
        </w:rPr>
        <w:t>Increase access to care and antiretroviral therapy for parents</w:t>
      </w:r>
      <w:bookmarkEnd w:id="154"/>
    </w:p>
    <w:p w:rsidR="0071027C" w:rsidRPr="0099295A" w:rsidRDefault="0071027C" w:rsidP="0071027C">
      <w:pPr>
        <w:autoSpaceDE w:val="0"/>
        <w:autoSpaceDN w:val="0"/>
        <w:adjustRightInd w:val="0"/>
        <w:spacing w:before="120" w:after="120" w:line="240" w:lineRule="auto"/>
        <w:jc w:val="both"/>
        <w:rPr>
          <w:rFonts w:ascii="Arial" w:eastAsia="Calibri" w:hAnsi="Arial" w:cs="Arial"/>
          <w:color w:val="000000"/>
        </w:rPr>
      </w:pPr>
      <w:r w:rsidRPr="0099295A">
        <w:rPr>
          <w:rFonts w:ascii="Arial" w:eastAsia="Calibri" w:hAnsi="Arial" w:cs="Arial"/>
        </w:rPr>
        <w:t>In the paediatric setting, the entry points into HIV care are mainly through PITC. Health-care workers should see every patient encounter as an opportunity for providing PITC, parents and caregivers should be encouraged to learn their status, as well as that of their children and family members. Where PITC is practiced, more children are tested for and diagnosed with HIV, and can therefore access treatment services1</w:t>
      </w:r>
      <w:r w:rsidRPr="0099295A">
        <w:rPr>
          <w:rFonts w:ascii="Arial" w:eastAsia="Calibri" w:hAnsi="Arial" w:cs="Arial"/>
          <w:vertAlign w:val="superscript"/>
        </w:rPr>
        <w:footnoteReference w:id="2"/>
      </w:r>
      <w:r w:rsidRPr="0099295A">
        <w:rPr>
          <w:rFonts w:ascii="Arial" w:eastAsia="Calibri" w:hAnsi="Arial" w:cs="Arial"/>
        </w:rPr>
        <w:t>. PITC should apply to all children attending the health care setting. In most instances, the parent/caregiver gives consent for an HIV test. Under some circumstances and depending on national legal requirements, a child considered to be sufficiently mature may give consent for an HIV test.</w:t>
      </w:r>
      <w:r w:rsidRPr="0099295A">
        <w:rPr>
          <w:rFonts w:ascii="Arial" w:eastAsia="Calibri" w:hAnsi="Arial" w:cs="Arial"/>
          <w:color w:val="000000"/>
          <w:vertAlign w:val="superscript"/>
        </w:rPr>
        <w:footnoteReference w:id="3"/>
      </w:r>
      <w:r w:rsidRPr="0099295A">
        <w:rPr>
          <w:rFonts w:ascii="Arial" w:eastAsia="Calibri" w:hAnsi="Arial" w:cs="Arial"/>
        </w:rPr>
        <w:t>(Refer to the National HTC guidelines, 2013)</w:t>
      </w:r>
    </w:p>
    <w:p w:rsidR="0071027C" w:rsidRPr="0099295A" w:rsidRDefault="0071027C" w:rsidP="00AA771C">
      <w:pPr>
        <w:autoSpaceDE w:val="0"/>
        <w:autoSpaceDN w:val="0"/>
        <w:adjustRightInd w:val="0"/>
        <w:spacing w:beforeLines="120" w:before="288" w:afterLines="120" w:after="288" w:line="288" w:lineRule="auto"/>
        <w:jc w:val="both"/>
        <w:rPr>
          <w:rFonts w:ascii="Arial" w:eastAsia="Calibri" w:hAnsi="Arial" w:cs="Arial"/>
          <w:color w:val="000000"/>
        </w:rPr>
      </w:pPr>
      <w:r w:rsidRPr="0099295A">
        <w:rPr>
          <w:rFonts w:ascii="Arial" w:eastAsia="Calibri" w:hAnsi="Arial" w:cs="Arial"/>
          <w:color w:val="000000"/>
        </w:rPr>
        <w:t xml:space="preserve">Infants and children should be tested in the following circumstances: </w:t>
      </w:r>
      <w:r w:rsidRPr="0099295A">
        <w:rPr>
          <w:rFonts w:ascii="Arial" w:eastAsia="Calibri" w:hAnsi="Arial" w:cs="Arial"/>
          <w:color w:val="000000"/>
          <w:vertAlign w:val="superscript"/>
        </w:rPr>
        <w:footnoteReference w:id="4"/>
      </w:r>
    </w:p>
    <w:p w:rsidR="0071027C" w:rsidRPr="0099295A" w:rsidRDefault="0071027C" w:rsidP="00274941">
      <w:pPr>
        <w:numPr>
          <w:ilvl w:val="0"/>
          <w:numId w:val="12"/>
        </w:numPr>
        <w:autoSpaceDE w:val="0"/>
        <w:autoSpaceDN w:val="0"/>
        <w:adjustRightInd w:val="0"/>
        <w:spacing w:after="0" w:line="240" w:lineRule="auto"/>
        <w:jc w:val="both"/>
        <w:rPr>
          <w:rFonts w:ascii="Arial" w:eastAsia="Calibri" w:hAnsi="Arial" w:cs="Arial"/>
          <w:color w:val="000000"/>
        </w:rPr>
      </w:pPr>
      <w:r w:rsidRPr="0099295A">
        <w:rPr>
          <w:rFonts w:ascii="Arial" w:eastAsia="Calibri" w:hAnsi="Arial" w:cs="Arial"/>
          <w:color w:val="000000"/>
        </w:rPr>
        <w:t xml:space="preserve">To identify the HIV-exposure status of all infants for the purpose of appropriate follow up, which includes provision of co-trimoxazole prophylaxis, antiretroviral prophylaxis and/or treatment; </w:t>
      </w:r>
    </w:p>
    <w:p w:rsidR="0071027C" w:rsidRPr="0099295A" w:rsidRDefault="0071027C" w:rsidP="00274941">
      <w:pPr>
        <w:numPr>
          <w:ilvl w:val="0"/>
          <w:numId w:val="12"/>
        </w:numPr>
        <w:autoSpaceDE w:val="0"/>
        <w:autoSpaceDN w:val="0"/>
        <w:adjustRightInd w:val="0"/>
        <w:spacing w:after="0" w:line="240" w:lineRule="auto"/>
        <w:jc w:val="both"/>
        <w:rPr>
          <w:rFonts w:ascii="Arial" w:eastAsia="Calibri" w:hAnsi="Arial" w:cs="Arial"/>
          <w:color w:val="000000"/>
        </w:rPr>
      </w:pPr>
      <w:r w:rsidRPr="0099295A">
        <w:rPr>
          <w:rFonts w:ascii="Arial" w:eastAsia="Calibri" w:hAnsi="Arial" w:cs="Arial"/>
          <w:color w:val="000000"/>
        </w:rPr>
        <w:t xml:space="preserve">At around 4–6 weeks or as soon thereafter as possible for infants known to be exposed to HIV through mother-to-child transmission to enable early diagnosis of HIV with virological testing; </w:t>
      </w:r>
    </w:p>
    <w:p w:rsidR="0071027C" w:rsidRPr="0099295A" w:rsidRDefault="0071027C" w:rsidP="00274941">
      <w:pPr>
        <w:numPr>
          <w:ilvl w:val="0"/>
          <w:numId w:val="12"/>
        </w:numPr>
        <w:autoSpaceDE w:val="0"/>
        <w:autoSpaceDN w:val="0"/>
        <w:adjustRightInd w:val="0"/>
        <w:spacing w:after="0" w:line="240" w:lineRule="auto"/>
        <w:jc w:val="both"/>
        <w:rPr>
          <w:rFonts w:ascii="Arial" w:eastAsia="Calibri" w:hAnsi="Arial" w:cs="Arial"/>
          <w:color w:val="000000"/>
        </w:rPr>
      </w:pPr>
      <w:r w:rsidRPr="0099295A">
        <w:rPr>
          <w:rFonts w:ascii="Arial" w:eastAsia="Calibri" w:hAnsi="Arial" w:cs="Arial"/>
          <w:color w:val="000000"/>
        </w:rPr>
        <w:t xml:space="preserve">To confirm the HIV infection status of children born to HIV-positive mothers six weeks after exposure to HIV has ceased or at eighteen months, whichever is sooner; </w:t>
      </w:r>
    </w:p>
    <w:p w:rsidR="0071027C" w:rsidRPr="0099295A" w:rsidRDefault="0071027C" w:rsidP="00274941">
      <w:pPr>
        <w:numPr>
          <w:ilvl w:val="0"/>
          <w:numId w:val="12"/>
        </w:numPr>
        <w:autoSpaceDE w:val="0"/>
        <w:autoSpaceDN w:val="0"/>
        <w:adjustRightInd w:val="0"/>
        <w:spacing w:after="0" w:line="240" w:lineRule="auto"/>
        <w:jc w:val="both"/>
        <w:rPr>
          <w:rFonts w:ascii="Arial" w:eastAsia="Calibri" w:hAnsi="Arial" w:cs="Arial"/>
          <w:color w:val="000000"/>
        </w:rPr>
      </w:pPr>
      <w:r w:rsidRPr="0099295A">
        <w:rPr>
          <w:rFonts w:ascii="Arial" w:eastAsia="Calibri" w:hAnsi="Arial" w:cs="Arial"/>
          <w:color w:val="000000"/>
        </w:rPr>
        <w:t xml:space="preserve">For the purpose of individual diagnosis in a child who is ill (e.g. presenting with an HIV-associated illness, such as tuberculosis or malnutrition, or other recurrent common childhood illnesses such as pneumonia or diarrhea); </w:t>
      </w:r>
    </w:p>
    <w:p w:rsidR="0071027C" w:rsidRPr="0099295A" w:rsidRDefault="0071027C" w:rsidP="00274941">
      <w:pPr>
        <w:numPr>
          <w:ilvl w:val="0"/>
          <w:numId w:val="12"/>
        </w:numPr>
        <w:autoSpaceDE w:val="0"/>
        <w:autoSpaceDN w:val="0"/>
        <w:adjustRightInd w:val="0"/>
        <w:spacing w:after="0" w:line="240" w:lineRule="auto"/>
        <w:jc w:val="both"/>
        <w:rPr>
          <w:rFonts w:ascii="Arial" w:eastAsia="Calibri" w:hAnsi="Arial" w:cs="Arial"/>
          <w:color w:val="000000"/>
        </w:rPr>
      </w:pPr>
      <w:r w:rsidRPr="0099295A">
        <w:rPr>
          <w:rFonts w:ascii="Arial" w:eastAsia="Calibri" w:hAnsi="Arial" w:cs="Arial"/>
          <w:color w:val="000000"/>
        </w:rPr>
        <w:t xml:space="preserve">For the purpose of individual diagnosis where another sibling or parent has been diagnosed with HIV or where there is a history that the parents have died as a result of AIDS or other undiagnosed debilitating illness in the family; </w:t>
      </w:r>
    </w:p>
    <w:p w:rsidR="0071027C" w:rsidRPr="0099295A" w:rsidRDefault="0071027C" w:rsidP="00274941">
      <w:pPr>
        <w:numPr>
          <w:ilvl w:val="0"/>
          <w:numId w:val="12"/>
        </w:numPr>
        <w:autoSpaceDE w:val="0"/>
        <w:autoSpaceDN w:val="0"/>
        <w:adjustRightInd w:val="0"/>
        <w:spacing w:after="0" w:line="240" w:lineRule="auto"/>
        <w:jc w:val="both"/>
        <w:rPr>
          <w:rFonts w:ascii="Arial" w:eastAsia="Calibri" w:hAnsi="Arial" w:cs="Arial"/>
          <w:color w:val="000000"/>
        </w:rPr>
      </w:pPr>
      <w:r w:rsidRPr="0099295A">
        <w:rPr>
          <w:rFonts w:ascii="Arial" w:eastAsia="Calibri" w:hAnsi="Arial" w:cs="Arial"/>
          <w:color w:val="000000"/>
        </w:rPr>
        <w:t xml:space="preserve">In cases where a child has been exposed or potentially exposed to HIV </w:t>
      </w:r>
    </w:p>
    <w:p w:rsidR="0071027C" w:rsidRPr="0099295A" w:rsidRDefault="0071027C" w:rsidP="00274941">
      <w:pPr>
        <w:numPr>
          <w:ilvl w:val="0"/>
          <w:numId w:val="13"/>
        </w:numPr>
        <w:autoSpaceDE w:val="0"/>
        <w:autoSpaceDN w:val="0"/>
        <w:adjustRightInd w:val="0"/>
        <w:spacing w:after="0" w:line="240" w:lineRule="auto"/>
        <w:jc w:val="both"/>
        <w:rPr>
          <w:rFonts w:ascii="Arial" w:eastAsia="Calibri" w:hAnsi="Arial" w:cs="Arial"/>
          <w:color w:val="000000"/>
        </w:rPr>
      </w:pPr>
      <w:r w:rsidRPr="0099295A">
        <w:rPr>
          <w:rFonts w:ascii="Arial" w:eastAsia="Calibri" w:hAnsi="Arial" w:cs="Arial"/>
          <w:color w:val="000000"/>
        </w:rPr>
        <w:t xml:space="preserve">Through sexual abuse or </w:t>
      </w:r>
    </w:p>
    <w:p w:rsidR="0071027C" w:rsidRPr="0099295A" w:rsidRDefault="0071027C" w:rsidP="00274941">
      <w:pPr>
        <w:numPr>
          <w:ilvl w:val="0"/>
          <w:numId w:val="13"/>
        </w:numPr>
        <w:autoSpaceDE w:val="0"/>
        <w:autoSpaceDN w:val="0"/>
        <w:adjustRightInd w:val="0"/>
        <w:spacing w:after="0" w:line="240" w:lineRule="auto"/>
        <w:contextualSpacing/>
        <w:jc w:val="both"/>
        <w:rPr>
          <w:rFonts w:ascii="Arial" w:eastAsia="Times New Roman" w:hAnsi="Arial" w:cs="Arial"/>
          <w:b/>
          <w:bCs/>
          <w:lang w:val="af-ZA" w:eastAsia="af-ZA"/>
        </w:rPr>
      </w:pPr>
      <w:r w:rsidRPr="0099295A">
        <w:rPr>
          <w:rFonts w:ascii="Arial" w:eastAsia="Times New Roman" w:hAnsi="Arial" w:cs="Arial"/>
          <w:color w:val="000000"/>
          <w:lang w:val="af-ZA" w:eastAsia="af-ZA"/>
        </w:rPr>
        <w:t>Through contaminated needle sticks or receipt of potentially infectious blood or blood products (or through other routes, e.g. wet nursing).</w:t>
      </w:r>
    </w:p>
    <w:p w:rsidR="0071027C" w:rsidRPr="0099295A" w:rsidRDefault="0071027C" w:rsidP="00AA771C">
      <w:pPr>
        <w:autoSpaceDE w:val="0"/>
        <w:autoSpaceDN w:val="0"/>
        <w:adjustRightInd w:val="0"/>
        <w:spacing w:beforeLines="120" w:before="288" w:afterLines="120" w:after="288" w:line="288" w:lineRule="auto"/>
        <w:jc w:val="both"/>
        <w:rPr>
          <w:rFonts w:ascii="Arial" w:eastAsia="Calibri" w:hAnsi="Arial" w:cs="Arial"/>
          <w:b/>
          <w:i/>
          <w:iCs/>
        </w:rPr>
      </w:pPr>
      <w:r w:rsidRPr="0099295A">
        <w:rPr>
          <w:rFonts w:ascii="Arial" w:eastAsia="Calibri" w:hAnsi="Arial" w:cs="Arial"/>
          <w:b/>
          <w:i/>
          <w:iCs/>
        </w:rPr>
        <w:t>Strategies to increase HTC for children should include:</w:t>
      </w:r>
    </w:p>
    <w:p w:rsidR="0071027C" w:rsidRPr="0099295A" w:rsidRDefault="0071027C" w:rsidP="00274941">
      <w:pPr>
        <w:numPr>
          <w:ilvl w:val="0"/>
          <w:numId w:val="7"/>
        </w:numPr>
        <w:autoSpaceDE w:val="0"/>
        <w:autoSpaceDN w:val="0"/>
        <w:adjustRightInd w:val="0"/>
        <w:spacing w:after="0" w:line="240" w:lineRule="auto"/>
        <w:jc w:val="both"/>
        <w:rPr>
          <w:rFonts w:ascii="Arial" w:eastAsia="Times New Roman" w:hAnsi="Arial" w:cs="Arial"/>
          <w:lang w:val="af-ZA" w:eastAsia="af-ZA"/>
        </w:rPr>
      </w:pPr>
      <w:r w:rsidRPr="0099295A">
        <w:rPr>
          <w:rFonts w:ascii="Arial" w:eastAsia="Times New Roman" w:hAnsi="Arial" w:cs="Arial"/>
          <w:lang w:val="af-ZA" w:eastAsia="af-ZA"/>
        </w:rPr>
        <w:t xml:space="preserve">Increasing access to HIV testing through existing inpatient or outpatient health-care </w:t>
      </w:r>
      <w:r w:rsidRPr="0099295A">
        <w:rPr>
          <w:rFonts w:ascii="Arial" w:eastAsia="Times New Roman" w:hAnsi="Arial" w:cs="Arial"/>
          <w:lang w:val="af-ZA" w:eastAsia="af-ZA"/>
        </w:rPr>
        <w:lastRenderedPageBreak/>
        <w:t>services and RCHS</w:t>
      </w:r>
    </w:p>
    <w:p w:rsidR="0071027C" w:rsidRPr="0099295A" w:rsidRDefault="0071027C" w:rsidP="00274941">
      <w:pPr>
        <w:numPr>
          <w:ilvl w:val="0"/>
          <w:numId w:val="7"/>
        </w:numPr>
        <w:autoSpaceDE w:val="0"/>
        <w:autoSpaceDN w:val="0"/>
        <w:adjustRightInd w:val="0"/>
        <w:spacing w:after="0" w:line="240" w:lineRule="auto"/>
        <w:jc w:val="both"/>
        <w:rPr>
          <w:rFonts w:ascii="Arial" w:eastAsia="Times New Roman" w:hAnsi="Arial" w:cs="Arial"/>
          <w:lang w:val="af-ZA" w:eastAsia="af-ZA"/>
        </w:rPr>
      </w:pPr>
      <w:r w:rsidRPr="0099295A">
        <w:rPr>
          <w:rFonts w:ascii="Arial" w:eastAsia="Times New Roman" w:hAnsi="Arial" w:cs="Arial"/>
          <w:lang w:val="af-ZA" w:eastAsia="af-ZA"/>
        </w:rPr>
        <w:t>Provision of clear indications for HTC of infants, children and adolescents</w:t>
      </w:r>
    </w:p>
    <w:p w:rsidR="0071027C" w:rsidRPr="0099295A" w:rsidRDefault="0071027C" w:rsidP="00274941">
      <w:pPr>
        <w:numPr>
          <w:ilvl w:val="0"/>
          <w:numId w:val="7"/>
        </w:numPr>
        <w:autoSpaceDE w:val="0"/>
        <w:autoSpaceDN w:val="0"/>
        <w:adjustRightInd w:val="0"/>
        <w:spacing w:after="0" w:line="240" w:lineRule="auto"/>
        <w:jc w:val="both"/>
        <w:rPr>
          <w:rFonts w:ascii="Arial" w:eastAsia="Times New Roman" w:hAnsi="Arial" w:cs="Arial"/>
          <w:lang w:val="af-ZA" w:eastAsia="af-ZA"/>
        </w:rPr>
      </w:pPr>
      <w:r w:rsidRPr="0099295A">
        <w:rPr>
          <w:rFonts w:ascii="Arial" w:eastAsia="Times New Roman" w:hAnsi="Arial" w:cs="Arial"/>
          <w:lang w:val="af-ZA" w:eastAsia="af-ZA"/>
        </w:rPr>
        <w:t>Increasing access of HIV prevention, care and treatment services including infant feeding for children</w:t>
      </w:r>
    </w:p>
    <w:p w:rsidR="0071027C" w:rsidRPr="0099295A" w:rsidRDefault="0071027C" w:rsidP="00274941">
      <w:pPr>
        <w:numPr>
          <w:ilvl w:val="0"/>
          <w:numId w:val="7"/>
        </w:numPr>
        <w:autoSpaceDE w:val="0"/>
        <w:autoSpaceDN w:val="0"/>
        <w:adjustRightInd w:val="0"/>
        <w:spacing w:after="0" w:line="240" w:lineRule="auto"/>
        <w:jc w:val="both"/>
        <w:rPr>
          <w:rFonts w:ascii="Arial" w:eastAsia="Times New Roman" w:hAnsi="Arial" w:cs="Arial"/>
          <w:lang w:val="af-ZA" w:eastAsia="af-ZA"/>
        </w:rPr>
      </w:pPr>
      <w:r w:rsidRPr="0099295A">
        <w:rPr>
          <w:rFonts w:ascii="Arial" w:eastAsia="Times New Roman" w:hAnsi="Arial" w:cs="Arial"/>
          <w:lang w:val="af-ZA" w:eastAsia="af-ZA"/>
        </w:rPr>
        <w:t>Training of health-care workers to recommend HIV testing and counselling  services for children and their parents or caregivers</w:t>
      </w:r>
    </w:p>
    <w:p w:rsidR="0071027C" w:rsidRPr="0099295A" w:rsidRDefault="0071027C" w:rsidP="00274941">
      <w:pPr>
        <w:numPr>
          <w:ilvl w:val="0"/>
          <w:numId w:val="7"/>
        </w:numPr>
        <w:autoSpaceDE w:val="0"/>
        <w:autoSpaceDN w:val="0"/>
        <w:adjustRightInd w:val="0"/>
        <w:spacing w:after="0" w:line="240" w:lineRule="auto"/>
        <w:jc w:val="both"/>
        <w:rPr>
          <w:rFonts w:ascii="Arial" w:eastAsia="Times New Roman" w:hAnsi="Arial" w:cs="Arial"/>
          <w:lang w:val="af-ZA" w:eastAsia="af-ZA"/>
        </w:rPr>
      </w:pPr>
      <w:r w:rsidRPr="0099295A">
        <w:rPr>
          <w:rFonts w:ascii="Arial" w:eastAsia="Times New Roman" w:hAnsi="Arial" w:cs="Arial"/>
          <w:lang w:val="af-ZA" w:eastAsia="af-ZA"/>
        </w:rPr>
        <w:t>Developing and following procedures for disclosure to and counselling of children and adolescents according to their age and stage of cognitive development.</w:t>
      </w:r>
    </w:p>
    <w:p w:rsidR="0071027C" w:rsidRPr="0099295A" w:rsidRDefault="0071027C" w:rsidP="00274941">
      <w:pPr>
        <w:numPr>
          <w:ilvl w:val="0"/>
          <w:numId w:val="7"/>
        </w:numPr>
        <w:autoSpaceDE w:val="0"/>
        <w:autoSpaceDN w:val="0"/>
        <w:adjustRightInd w:val="0"/>
        <w:spacing w:after="0" w:line="240" w:lineRule="auto"/>
        <w:jc w:val="both"/>
        <w:rPr>
          <w:rFonts w:ascii="Arial" w:eastAsia="Times New Roman" w:hAnsi="Arial" w:cs="Arial"/>
          <w:lang w:val="af-ZA" w:eastAsia="af-ZA"/>
        </w:rPr>
      </w:pPr>
      <w:r w:rsidRPr="0099295A">
        <w:rPr>
          <w:rFonts w:ascii="Arial" w:eastAsia="Times New Roman" w:hAnsi="Arial" w:cs="Arial"/>
          <w:lang w:val="af-ZA" w:eastAsia="af-ZA"/>
        </w:rPr>
        <w:t>Creation of child- and youth-friendly services to make HTC family-centred</w:t>
      </w:r>
    </w:p>
    <w:p w:rsidR="0071027C" w:rsidRPr="0099295A" w:rsidRDefault="0071027C" w:rsidP="00274941">
      <w:pPr>
        <w:numPr>
          <w:ilvl w:val="0"/>
          <w:numId w:val="7"/>
        </w:numPr>
        <w:autoSpaceDE w:val="0"/>
        <w:autoSpaceDN w:val="0"/>
        <w:adjustRightInd w:val="0"/>
        <w:spacing w:after="0" w:line="240" w:lineRule="auto"/>
        <w:jc w:val="both"/>
        <w:rPr>
          <w:rFonts w:ascii="Arial" w:eastAsia="Times New Roman" w:hAnsi="Arial" w:cs="Arial"/>
          <w:b/>
          <w:bCs/>
          <w:lang w:val="af-ZA" w:eastAsia="af-ZA"/>
        </w:rPr>
      </w:pPr>
      <w:r w:rsidRPr="0099295A">
        <w:rPr>
          <w:rFonts w:ascii="Arial" w:eastAsia="Times New Roman" w:hAnsi="Arial" w:cs="Arial"/>
          <w:lang w:val="af-ZA" w:eastAsia="af-ZA"/>
        </w:rPr>
        <w:t xml:space="preserve">Provision of education and support for parents and caregivers </w:t>
      </w:r>
    </w:p>
    <w:p w:rsidR="0071027C" w:rsidRPr="007E20BD" w:rsidRDefault="0071027C" w:rsidP="0071027C">
      <w:pPr>
        <w:pStyle w:val="Heading4"/>
        <w:rPr>
          <w:rFonts w:eastAsia="Times New Roman"/>
        </w:rPr>
      </w:pPr>
      <w:r w:rsidRPr="007E20BD">
        <w:rPr>
          <w:rFonts w:eastAsia="Times New Roman"/>
        </w:rPr>
        <w:t>3.2.</w:t>
      </w:r>
      <w:r>
        <w:rPr>
          <w:rFonts w:eastAsia="Times New Roman"/>
        </w:rPr>
        <w:t>5</w:t>
      </w:r>
      <w:r w:rsidRPr="007E20BD">
        <w:rPr>
          <w:rFonts w:eastAsia="Times New Roman"/>
        </w:rPr>
        <w:t xml:space="preserve">.1 Counselling for HIV </w:t>
      </w:r>
      <w:r>
        <w:rPr>
          <w:rFonts w:eastAsia="Times New Roman"/>
        </w:rPr>
        <w:t>Testing o</w:t>
      </w:r>
      <w:r w:rsidRPr="007E20BD">
        <w:rPr>
          <w:rFonts w:eastAsia="Times New Roman"/>
        </w:rPr>
        <w:t xml:space="preserve">f Infants, Children </w:t>
      </w:r>
      <w:r>
        <w:rPr>
          <w:rFonts w:eastAsia="Times New Roman"/>
        </w:rPr>
        <w:t>a</w:t>
      </w:r>
      <w:r w:rsidRPr="007E20BD">
        <w:rPr>
          <w:rFonts w:eastAsia="Times New Roman"/>
        </w:rPr>
        <w:t>nd Adolescents</w:t>
      </w:r>
    </w:p>
    <w:p w:rsidR="0071027C" w:rsidRPr="0099295A" w:rsidRDefault="0071027C" w:rsidP="0071027C">
      <w:pPr>
        <w:autoSpaceDE w:val="0"/>
        <w:autoSpaceDN w:val="0"/>
        <w:adjustRightInd w:val="0"/>
        <w:spacing w:before="120" w:after="120" w:line="240" w:lineRule="auto"/>
        <w:jc w:val="both"/>
        <w:rPr>
          <w:rFonts w:ascii="Arial" w:eastAsia="Calibri" w:hAnsi="Arial" w:cs="Arial"/>
        </w:rPr>
      </w:pPr>
      <w:r w:rsidRPr="0099295A">
        <w:rPr>
          <w:rFonts w:ascii="Arial" w:eastAsia="Calibri" w:hAnsi="Arial" w:cs="Arial"/>
        </w:rPr>
        <w:t>Counselling offered within HIV services should include a brief explanation on why HIV testing is appropriate, the testing methods that will be used and when to return for the result. Types of counselling offered by an HIV service would include:</w:t>
      </w:r>
    </w:p>
    <w:p w:rsidR="0071027C" w:rsidRPr="0099295A" w:rsidRDefault="0071027C" w:rsidP="00274941">
      <w:pPr>
        <w:numPr>
          <w:ilvl w:val="0"/>
          <w:numId w:val="21"/>
        </w:numPr>
        <w:autoSpaceDE w:val="0"/>
        <w:autoSpaceDN w:val="0"/>
        <w:adjustRightInd w:val="0"/>
        <w:spacing w:before="120" w:after="120" w:line="240" w:lineRule="auto"/>
        <w:contextualSpacing/>
        <w:jc w:val="both"/>
        <w:rPr>
          <w:rFonts w:ascii="Arial" w:eastAsia="Times New Roman" w:hAnsi="Arial" w:cs="Arial"/>
          <w:lang w:val="af-ZA" w:eastAsia="af-ZA"/>
        </w:rPr>
      </w:pPr>
      <w:r w:rsidRPr="0099295A">
        <w:rPr>
          <w:rFonts w:ascii="Arial" w:eastAsia="Times New Roman" w:hAnsi="Arial" w:cs="Arial"/>
          <w:lang w:val="af-ZA" w:eastAsia="af-ZA"/>
        </w:rPr>
        <w:t xml:space="preserve">Pre-test and post-test counselling </w:t>
      </w:r>
    </w:p>
    <w:p w:rsidR="0071027C" w:rsidRPr="0099295A" w:rsidRDefault="0071027C" w:rsidP="00274941">
      <w:pPr>
        <w:numPr>
          <w:ilvl w:val="0"/>
          <w:numId w:val="21"/>
        </w:numPr>
        <w:autoSpaceDE w:val="0"/>
        <w:autoSpaceDN w:val="0"/>
        <w:adjustRightInd w:val="0"/>
        <w:spacing w:before="120" w:after="120" w:line="240" w:lineRule="auto"/>
        <w:contextualSpacing/>
        <w:jc w:val="both"/>
        <w:rPr>
          <w:rFonts w:ascii="Arial" w:eastAsia="Times New Roman" w:hAnsi="Arial" w:cs="Arial"/>
          <w:lang w:val="af-ZA" w:eastAsia="af-ZA"/>
        </w:rPr>
      </w:pPr>
      <w:r w:rsidRPr="0099295A">
        <w:rPr>
          <w:rFonts w:ascii="Arial" w:eastAsia="Times New Roman" w:hAnsi="Arial" w:cs="Arial"/>
          <w:lang w:val="af-ZA" w:eastAsia="af-ZA"/>
        </w:rPr>
        <w:t>Adherence counselling</w:t>
      </w:r>
    </w:p>
    <w:p w:rsidR="0071027C" w:rsidRPr="0099295A" w:rsidRDefault="0071027C" w:rsidP="00274941">
      <w:pPr>
        <w:numPr>
          <w:ilvl w:val="0"/>
          <w:numId w:val="21"/>
        </w:numPr>
        <w:autoSpaceDE w:val="0"/>
        <w:autoSpaceDN w:val="0"/>
        <w:adjustRightInd w:val="0"/>
        <w:spacing w:before="120" w:after="120" w:line="240" w:lineRule="auto"/>
        <w:contextualSpacing/>
        <w:jc w:val="both"/>
        <w:rPr>
          <w:rFonts w:ascii="Arial" w:eastAsia="Times New Roman" w:hAnsi="Arial" w:cs="Arial"/>
          <w:lang w:val="af-ZA" w:eastAsia="af-ZA"/>
        </w:rPr>
      </w:pPr>
      <w:r w:rsidRPr="0099295A">
        <w:rPr>
          <w:rFonts w:ascii="Arial" w:eastAsia="Times New Roman" w:hAnsi="Arial" w:cs="Arial"/>
          <w:lang w:val="af-ZA" w:eastAsia="af-ZA"/>
        </w:rPr>
        <w:t>Information on safer sex practices and risk reduction, advice on reproductive health (including STI ) and family planning, partner and couples counselling for adolescents and emancipated minors</w:t>
      </w:r>
    </w:p>
    <w:p w:rsidR="0071027C" w:rsidRPr="0099295A" w:rsidRDefault="0071027C" w:rsidP="00274941">
      <w:pPr>
        <w:numPr>
          <w:ilvl w:val="0"/>
          <w:numId w:val="21"/>
        </w:numPr>
        <w:autoSpaceDE w:val="0"/>
        <w:autoSpaceDN w:val="0"/>
        <w:adjustRightInd w:val="0"/>
        <w:spacing w:before="120" w:after="120" w:line="240" w:lineRule="auto"/>
        <w:contextualSpacing/>
        <w:jc w:val="both"/>
        <w:rPr>
          <w:rFonts w:ascii="Arial" w:eastAsia="Times New Roman" w:hAnsi="Arial" w:cs="Arial"/>
          <w:lang w:val="af-ZA" w:eastAsia="af-ZA"/>
        </w:rPr>
      </w:pPr>
      <w:r w:rsidRPr="0099295A">
        <w:rPr>
          <w:rFonts w:ascii="Arial" w:eastAsia="Times New Roman" w:hAnsi="Arial" w:cs="Arial"/>
          <w:lang w:val="af-ZA" w:eastAsia="af-ZA"/>
        </w:rPr>
        <w:t>Disclosure support – the content of this will vary with the age and aptitude of the child</w:t>
      </w:r>
    </w:p>
    <w:p w:rsidR="0071027C" w:rsidRPr="0099295A" w:rsidRDefault="0071027C" w:rsidP="00274941">
      <w:pPr>
        <w:numPr>
          <w:ilvl w:val="0"/>
          <w:numId w:val="21"/>
        </w:numPr>
        <w:autoSpaceDE w:val="0"/>
        <w:autoSpaceDN w:val="0"/>
        <w:adjustRightInd w:val="0"/>
        <w:spacing w:before="120" w:after="120" w:line="240" w:lineRule="auto"/>
        <w:contextualSpacing/>
        <w:jc w:val="both"/>
        <w:rPr>
          <w:rFonts w:ascii="Arial" w:eastAsia="Times New Roman" w:hAnsi="Arial" w:cs="Arial"/>
          <w:lang w:val="af-ZA" w:eastAsia="af-ZA"/>
        </w:rPr>
      </w:pPr>
      <w:r w:rsidRPr="0099295A">
        <w:rPr>
          <w:rFonts w:ascii="Arial" w:eastAsia="Times New Roman" w:hAnsi="Arial" w:cs="Arial"/>
          <w:lang w:val="af-ZA" w:eastAsia="af-ZA"/>
        </w:rPr>
        <w:t>Information on male circumcision (adolescent males)</w:t>
      </w:r>
    </w:p>
    <w:p w:rsidR="0071027C" w:rsidRPr="0099295A" w:rsidRDefault="0071027C" w:rsidP="00274941">
      <w:pPr>
        <w:numPr>
          <w:ilvl w:val="0"/>
          <w:numId w:val="21"/>
        </w:numPr>
        <w:autoSpaceDE w:val="0"/>
        <w:autoSpaceDN w:val="0"/>
        <w:adjustRightInd w:val="0"/>
        <w:spacing w:before="120" w:after="120" w:line="240" w:lineRule="auto"/>
        <w:contextualSpacing/>
        <w:jc w:val="both"/>
        <w:rPr>
          <w:rFonts w:ascii="Arial" w:eastAsia="Times New Roman" w:hAnsi="Arial" w:cs="Arial"/>
          <w:lang w:val="af-ZA" w:eastAsia="af-ZA"/>
        </w:rPr>
      </w:pPr>
      <w:r w:rsidRPr="0099295A">
        <w:rPr>
          <w:rFonts w:ascii="Arial" w:eastAsia="Times New Roman" w:hAnsi="Arial" w:cs="Arial"/>
          <w:lang w:val="af-ZA" w:eastAsia="af-ZA"/>
        </w:rPr>
        <w:t>Information on PMTCT (pregnant adolescent girls)</w:t>
      </w:r>
    </w:p>
    <w:p w:rsidR="0071027C" w:rsidRPr="0099295A" w:rsidRDefault="0071027C" w:rsidP="00274941">
      <w:pPr>
        <w:numPr>
          <w:ilvl w:val="0"/>
          <w:numId w:val="21"/>
        </w:numPr>
        <w:autoSpaceDE w:val="0"/>
        <w:autoSpaceDN w:val="0"/>
        <w:adjustRightInd w:val="0"/>
        <w:spacing w:before="120" w:after="120" w:line="240" w:lineRule="auto"/>
        <w:contextualSpacing/>
        <w:jc w:val="both"/>
        <w:rPr>
          <w:rFonts w:ascii="Arial" w:eastAsia="Times New Roman" w:hAnsi="Arial" w:cs="Arial"/>
          <w:lang w:val="af-ZA" w:eastAsia="af-ZA"/>
        </w:rPr>
      </w:pPr>
      <w:r w:rsidRPr="0099295A">
        <w:rPr>
          <w:rFonts w:ascii="Arial" w:eastAsia="Times New Roman" w:hAnsi="Arial" w:cs="Arial"/>
          <w:lang w:val="af-ZA" w:eastAsia="af-ZA"/>
        </w:rPr>
        <w:t>Advice on infant-feeding and nutrition, which will depend on the age of the infant and whether or not the child is breastfed.</w:t>
      </w:r>
    </w:p>
    <w:p w:rsidR="0071027C" w:rsidRDefault="0071027C" w:rsidP="0071027C">
      <w:pPr>
        <w:autoSpaceDE w:val="0"/>
        <w:autoSpaceDN w:val="0"/>
        <w:adjustRightInd w:val="0"/>
        <w:spacing w:before="120" w:after="120" w:line="240" w:lineRule="auto"/>
        <w:jc w:val="both"/>
        <w:rPr>
          <w:rFonts w:ascii="Arial" w:eastAsia="Calibri" w:hAnsi="Arial" w:cs="Arial"/>
        </w:rPr>
      </w:pPr>
    </w:p>
    <w:p w:rsidR="0071027C" w:rsidRPr="0099295A" w:rsidRDefault="0071027C" w:rsidP="0071027C">
      <w:pPr>
        <w:autoSpaceDE w:val="0"/>
        <w:autoSpaceDN w:val="0"/>
        <w:adjustRightInd w:val="0"/>
        <w:spacing w:before="120" w:after="120" w:line="240" w:lineRule="auto"/>
        <w:jc w:val="both"/>
        <w:rPr>
          <w:rFonts w:ascii="Arial" w:eastAsia="Calibri" w:hAnsi="Arial" w:cs="Arial"/>
        </w:rPr>
      </w:pPr>
      <w:r w:rsidRPr="0099295A">
        <w:rPr>
          <w:rFonts w:ascii="Arial" w:eastAsia="Calibri" w:hAnsi="Arial" w:cs="Arial"/>
        </w:rPr>
        <w:t>In the case of children and young people, HIV testing is often provider initiated (PITC) and the parent or main caregiver of the child gives consent for the HIV test on their behalf. Depending on the national law, adolescents and some older children deemed to be sufficiently mature may give consent for an HIV test themselves. The service provider should be aware of the legal age of consent for an HIV test in Tanzania. Likewise, depending on the law of the land, the presence of a parent or caregiver may not always be required to give consent for an HIV test.</w:t>
      </w:r>
    </w:p>
    <w:p w:rsidR="0071027C" w:rsidRPr="0099295A" w:rsidRDefault="0071027C" w:rsidP="0071027C">
      <w:pPr>
        <w:autoSpaceDE w:val="0"/>
        <w:autoSpaceDN w:val="0"/>
        <w:adjustRightInd w:val="0"/>
        <w:spacing w:before="120" w:after="120" w:line="240" w:lineRule="auto"/>
        <w:jc w:val="both"/>
        <w:rPr>
          <w:rFonts w:ascii="Arial" w:eastAsia="Calibri" w:hAnsi="Arial" w:cs="Arial"/>
        </w:rPr>
      </w:pPr>
      <w:r w:rsidRPr="0099295A">
        <w:rPr>
          <w:rFonts w:ascii="Arial" w:eastAsia="Calibri" w:hAnsi="Arial" w:cs="Arial"/>
        </w:rPr>
        <w:t>Client-initiated HIV testing and counselling (CITC), where the client seeks an HIV test, is more relevant to adolescents. It is often beneficial for an adolescent to attend HTC services with a trusted adult to provide the support required.</w:t>
      </w:r>
    </w:p>
    <w:p w:rsidR="0071027C" w:rsidRPr="0099295A" w:rsidRDefault="0071027C" w:rsidP="0071027C">
      <w:pPr>
        <w:pStyle w:val="Heading4"/>
        <w:rPr>
          <w:rFonts w:eastAsia="Times New Roman"/>
        </w:rPr>
      </w:pPr>
      <w:r w:rsidRPr="0099295A">
        <w:rPr>
          <w:rFonts w:eastAsia="Times New Roman"/>
        </w:rPr>
        <w:t>3.2.</w:t>
      </w:r>
      <w:r>
        <w:rPr>
          <w:rFonts w:eastAsia="Times New Roman"/>
        </w:rPr>
        <w:t>5</w:t>
      </w:r>
      <w:r w:rsidRPr="0099295A">
        <w:rPr>
          <w:rFonts w:eastAsia="Times New Roman"/>
        </w:rPr>
        <w:t>.2 Counselling parents/caregivers</w:t>
      </w:r>
    </w:p>
    <w:p w:rsidR="0071027C" w:rsidRPr="0099295A" w:rsidRDefault="0071027C" w:rsidP="0071027C">
      <w:pPr>
        <w:autoSpaceDE w:val="0"/>
        <w:autoSpaceDN w:val="0"/>
        <w:adjustRightInd w:val="0"/>
        <w:spacing w:before="120" w:after="120" w:line="240" w:lineRule="auto"/>
        <w:jc w:val="both"/>
        <w:rPr>
          <w:rFonts w:ascii="Arial" w:eastAsia="Calibri" w:hAnsi="Arial" w:cs="Arial"/>
        </w:rPr>
      </w:pPr>
      <w:r w:rsidRPr="0099295A">
        <w:rPr>
          <w:rFonts w:ascii="Arial" w:eastAsia="Calibri" w:hAnsi="Arial" w:cs="Arial"/>
        </w:rPr>
        <w:t>Informed consent is required before all HIV testing. Informed consent refers to an individual’s ability to arrive at the decision to undergo an HIV test after having received appropriate information on the benefits of HIV testing, the testing procedure and the implications of knowing their HIV status.</w:t>
      </w:r>
    </w:p>
    <w:p w:rsidR="0071027C" w:rsidRPr="0099295A" w:rsidRDefault="0071027C" w:rsidP="0071027C">
      <w:pPr>
        <w:autoSpaceDE w:val="0"/>
        <w:autoSpaceDN w:val="0"/>
        <w:adjustRightInd w:val="0"/>
        <w:spacing w:before="120" w:after="120" w:line="240" w:lineRule="auto"/>
        <w:jc w:val="both"/>
        <w:rPr>
          <w:rFonts w:ascii="Arial" w:eastAsia="Calibri" w:hAnsi="Arial" w:cs="Arial"/>
        </w:rPr>
      </w:pPr>
      <w:r w:rsidRPr="0099295A">
        <w:rPr>
          <w:rFonts w:ascii="Arial" w:eastAsia="Calibri" w:hAnsi="Arial" w:cs="Arial"/>
        </w:rPr>
        <w:t>As part of pre/post-test counselling, the counselor should:</w:t>
      </w:r>
    </w:p>
    <w:p w:rsidR="0071027C" w:rsidRPr="0099295A" w:rsidRDefault="0071027C" w:rsidP="00274941">
      <w:pPr>
        <w:numPr>
          <w:ilvl w:val="1"/>
          <w:numId w:val="8"/>
        </w:numPr>
        <w:autoSpaceDE w:val="0"/>
        <w:autoSpaceDN w:val="0"/>
        <w:adjustRightInd w:val="0"/>
        <w:spacing w:after="0" w:line="240" w:lineRule="auto"/>
        <w:ind w:left="360"/>
        <w:jc w:val="both"/>
        <w:rPr>
          <w:rFonts w:ascii="Arial" w:eastAsia="Times New Roman" w:hAnsi="Arial" w:cs="Arial"/>
          <w:lang w:val="af-ZA" w:eastAsia="af-ZA"/>
        </w:rPr>
      </w:pPr>
      <w:r w:rsidRPr="0099295A">
        <w:rPr>
          <w:rFonts w:ascii="Arial" w:eastAsia="Times New Roman" w:hAnsi="Arial" w:cs="Arial"/>
          <w:lang w:val="af-ZA" w:eastAsia="af-ZA"/>
        </w:rPr>
        <w:t>Assess the parent/caregiver’s and child’s knowledge of HIV and the diagnostic procedure.</w:t>
      </w:r>
    </w:p>
    <w:p w:rsidR="0071027C" w:rsidRPr="0099295A" w:rsidRDefault="0071027C" w:rsidP="00274941">
      <w:pPr>
        <w:numPr>
          <w:ilvl w:val="1"/>
          <w:numId w:val="8"/>
        </w:numPr>
        <w:autoSpaceDE w:val="0"/>
        <w:autoSpaceDN w:val="0"/>
        <w:adjustRightInd w:val="0"/>
        <w:spacing w:after="0" w:line="240" w:lineRule="auto"/>
        <w:ind w:left="360"/>
        <w:jc w:val="both"/>
        <w:rPr>
          <w:rFonts w:ascii="Arial" w:eastAsia="Times New Roman" w:hAnsi="Arial" w:cs="Arial"/>
          <w:lang w:val="af-ZA" w:eastAsia="af-ZA"/>
        </w:rPr>
      </w:pPr>
      <w:r w:rsidRPr="0099295A">
        <w:rPr>
          <w:rFonts w:ascii="Arial" w:eastAsia="Times New Roman" w:hAnsi="Arial" w:cs="Arial"/>
          <w:lang w:val="af-ZA" w:eastAsia="af-ZA"/>
        </w:rPr>
        <w:t>Explain the indication and purpose of the test, and the benefits of knowing one’s HIV status.</w:t>
      </w:r>
    </w:p>
    <w:p w:rsidR="0071027C" w:rsidRPr="0099295A" w:rsidRDefault="0071027C" w:rsidP="00274941">
      <w:pPr>
        <w:numPr>
          <w:ilvl w:val="1"/>
          <w:numId w:val="8"/>
        </w:numPr>
        <w:autoSpaceDE w:val="0"/>
        <w:autoSpaceDN w:val="0"/>
        <w:adjustRightInd w:val="0"/>
        <w:spacing w:after="0" w:line="240" w:lineRule="auto"/>
        <w:ind w:left="360"/>
        <w:jc w:val="both"/>
        <w:rPr>
          <w:rFonts w:ascii="Arial" w:eastAsia="Times New Roman" w:hAnsi="Arial" w:cs="Arial"/>
          <w:lang w:val="af-ZA" w:eastAsia="af-ZA"/>
        </w:rPr>
      </w:pPr>
      <w:r w:rsidRPr="0099295A">
        <w:rPr>
          <w:rFonts w:ascii="Arial" w:eastAsia="Times New Roman" w:hAnsi="Arial" w:cs="Arial"/>
          <w:lang w:val="af-ZA" w:eastAsia="af-ZA"/>
        </w:rPr>
        <w:t>Explain the test/sampling procedure to the parent/caregiver and the child to allay anxiety. The parent/ caregiver’s help may be enlisted in the sampling procedure.</w:t>
      </w:r>
    </w:p>
    <w:p w:rsidR="0071027C" w:rsidRPr="0099295A" w:rsidRDefault="0071027C" w:rsidP="00274941">
      <w:pPr>
        <w:numPr>
          <w:ilvl w:val="1"/>
          <w:numId w:val="8"/>
        </w:numPr>
        <w:autoSpaceDE w:val="0"/>
        <w:autoSpaceDN w:val="0"/>
        <w:adjustRightInd w:val="0"/>
        <w:spacing w:after="0" w:line="240" w:lineRule="auto"/>
        <w:ind w:left="360"/>
        <w:jc w:val="both"/>
        <w:rPr>
          <w:rFonts w:ascii="Arial" w:eastAsia="Times New Roman" w:hAnsi="Arial" w:cs="Arial"/>
          <w:lang w:val="af-ZA" w:eastAsia="af-ZA"/>
        </w:rPr>
      </w:pPr>
      <w:r w:rsidRPr="0099295A">
        <w:rPr>
          <w:rFonts w:ascii="Arial" w:eastAsia="Times New Roman" w:hAnsi="Arial" w:cs="Arial"/>
          <w:lang w:val="af-ZA" w:eastAsia="af-ZA"/>
        </w:rPr>
        <w:t>Provide reassurance to the parent/caregiver that confidentiality will be respected.</w:t>
      </w:r>
    </w:p>
    <w:p w:rsidR="0071027C" w:rsidRPr="0099295A" w:rsidRDefault="0071027C" w:rsidP="00274941">
      <w:pPr>
        <w:numPr>
          <w:ilvl w:val="1"/>
          <w:numId w:val="8"/>
        </w:numPr>
        <w:autoSpaceDE w:val="0"/>
        <w:autoSpaceDN w:val="0"/>
        <w:adjustRightInd w:val="0"/>
        <w:spacing w:after="0" w:line="240" w:lineRule="auto"/>
        <w:ind w:left="360"/>
        <w:jc w:val="both"/>
        <w:rPr>
          <w:rFonts w:ascii="Arial" w:eastAsia="Times New Roman" w:hAnsi="Arial" w:cs="Arial"/>
          <w:lang w:val="af-ZA" w:eastAsia="af-ZA"/>
        </w:rPr>
      </w:pPr>
      <w:r w:rsidRPr="0099295A">
        <w:rPr>
          <w:rFonts w:ascii="Arial" w:eastAsia="Times New Roman" w:hAnsi="Arial" w:cs="Arial"/>
          <w:lang w:val="af-ZA" w:eastAsia="af-ZA"/>
        </w:rPr>
        <w:lastRenderedPageBreak/>
        <w:t>Discuss the test result (positive or negative), and provide appropriate referrals for medical follow up.</w:t>
      </w:r>
    </w:p>
    <w:p w:rsidR="0071027C" w:rsidRPr="0099295A" w:rsidRDefault="0071027C" w:rsidP="00274941">
      <w:pPr>
        <w:numPr>
          <w:ilvl w:val="1"/>
          <w:numId w:val="8"/>
        </w:numPr>
        <w:autoSpaceDE w:val="0"/>
        <w:autoSpaceDN w:val="0"/>
        <w:adjustRightInd w:val="0"/>
        <w:spacing w:after="0" w:line="240" w:lineRule="auto"/>
        <w:ind w:left="360"/>
        <w:jc w:val="both"/>
        <w:rPr>
          <w:rFonts w:ascii="Arial" w:eastAsia="Times New Roman" w:hAnsi="Arial" w:cs="Arial"/>
          <w:lang w:val="af-ZA" w:eastAsia="af-ZA"/>
        </w:rPr>
      </w:pPr>
      <w:r w:rsidRPr="0099295A">
        <w:rPr>
          <w:rFonts w:ascii="Arial" w:eastAsia="Times New Roman" w:hAnsi="Arial" w:cs="Arial"/>
          <w:lang w:val="af-ZA" w:eastAsia="af-ZA"/>
        </w:rPr>
        <w:t>Give an appointment for collection of results, if necessary.</w:t>
      </w:r>
    </w:p>
    <w:p w:rsidR="0071027C" w:rsidRPr="0099295A" w:rsidRDefault="0071027C" w:rsidP="00274941">
      <w:pPr>
        <w:numPr>
          <w:ilvl w:val="1"/>
          <w:numId w:val="8"/>
        </w:numPr>
        <w:autoSpaceDE w:val="0"/>
        <w:autoSpaceDN w:val="0"/>
        <w:adjustRightInd w:val="0"/>
        <w:spacing w:after="0" w:line="240" w:lineRule="auto"/>
        <w:ind w:left="360"/>
        <w:jc w:val="both"/>
        <w:rPr>
          <w:rFonts w:ascii="Arial" w:eastAsia="Times New Roman" w:hAnsi="Arial" w:cs="Arial"/>
          <w:lang w:val="af-ZA" w:eastAsia="af-ZA"/>
        </w:rPr>
      </w:pPr>
      <w:r w:rsidRPr="0099295A">
        <w:rPr>
          <w:rFonts w:ascii="Arial" w:eastAsia="Times New Roman" w:hAnsi="Arial" w:cs="Arial"/>
          <w:lang w:val="af-ZA" w:eastAsia="af-ZA"/>
        </w:rPr>
        <w:t xml:space="preserve">Encourage the parent/caregiver to learn their own status and emphasize the importance of testing for partners or other family members. </w:t>
      </w:r>
    </w:p>
    <w:p w:rsidR="0071027C" w:rsidRDefault="0071027C" w:rsidP="0071027C">
      <w:pPr>
        <w:keepNext/>
        <w:keepLines/>
        <w:spacing w:before="120" w:after="120" w:line="240" w:lineRule="auto"/>
        <w:jc w:val="both"/>
        <w:outlineLvl w:val="3"/>
        <w:rPr>
          <w:rFonts w:ascii="Arial" w:eastAsia="Times New Roman" w:hAnsi="Arial" w:cs="Arial"/>
          <w:b/>
          <w:bCs/>
          <w:i/>
          <w:iCs/>
          <w:color w:val="4F81BD"/>
        </w:rPr>
      </w:pPr>
    </w:p>
    <w:p w:rsidR="0071027C" w:rsidRPr="0099295A" w:rsidRDefault="0071027C" w:rsidP="0071027C">
      <w:pPr>
        <w:pStyle w:val="Heading4"/>
        <w:rPr>
          <w:rFonts w:eastAsia="Times New Roman"/>
        </w:rPr>
      </w:pPr>
      <w:r w:rsidRPr="0099295A">
        <w:rPr>
          <w:rFonts w:eastAsia="Times New Roman"/>
        </w:rPr>
        <w:t>3.2.</w:t>
      </w:r>
      <w:r>
        <w:rPr>
          <w:rFonts w:eastAsia="Times New Roman"/>
        </w:rPr>
        <w:t>5</w:t>
      </w:r>
      <w:r w:rsidRPr="0099295A">
        <w:rPr>
          <w:rFonts w:eastAsia="Times New Roman"/>
        </w:rPr>
        <w:t>.3 Counselling Adolescents</w:t>
      </w:r>
    </w:p>
    <w:p w:rsidR="0071027C" w:rsidRPr="0099295A" w:rsidRDefault="0071027C" w:rsidP="0071027C">
      <w:pPr>
        <w:autoSpaceDE w:val="0"/>
        <w:autoSpaceDN w:val="0"/>
        <w:adjustRightInd w:val="0"/>
        <w:spacing w:before="120" w:after="120" w:line="240" w:lineRule="auto"/>
        <w:jc w:val="both"/>
        <w:rPr>
          <w:rFonts w:ascii="Arial" w:eastAsia="Calibri" w:hAnsi="Arial" w:cs="Arial"/>
          <w:color w:val="000000"/>
        </w:rPr>
      </w:pPr>
      <w:r w:rsidRPr="0099295A">
        <w:rPr>
          <w:rFonts w:ascii="Arial" w:eastAsia="Calibri" w:hAnsi="Arial" w:cs="Arial"/>
          <w:color w:val="000000"/>
        </w:rPr>
        <w:t>Counselling of adolescents requires a non-judgmental attitude and assurance of confidentiality. It is preferable if the client is accompanied by a trusted adult able to provide support and assimilate information.</w:t>
      </w:r>
    </w:p>
    <w:p w:rsidR="0071027C" w:rsidRPr="0099295A" w:rsidRDefault="0071027C" w:rsidP="0071027C">
      <w:pPr>
        <w:autoSpaceDE w:val="0"/>
        <w:autoSpaceDN w:val="0"/>
        <w:adjustRightInd w:val="0"/>
        <w:spacing w:before="120" w:after="120" w:line="240" w:lineRule="auto"/>
        <w:jc w:val="both"/>
        <w:rPr>
          <w:rFonts w:ascii="Arial" w:eastAsia="Calibri" w:hAnsi="Arial" w:cs="Arial"/>
          <w:color w:val="000000"/>
        </w:rPr>
      </w:pPr>
      <w:r w:rsidRPr="0099295A">
        <w:rPr>
          <w:rFonts w:ascii="Arial" w:eastAsia="Calibri" w:hAnsi="Arial" w:cs="Arial"/>
          <w:color w:val="000000"/>
        </w:rPr>
        <w:t>Information should be appropriate for the adolescent patient’s level of understanding and education.</w:t>
      </w:r>
    </w:p>
    <w:p w:rsidR="0071027C" w:rsidRPr="0099295A" w:rsidRDefault="0071027C" w:rsidP="0071027C">
      <w:pPr>
        <w:autoSpaceDE w:val="0"/>
        <w:autoSpaceDN w:val="0"/>
        <w:adjustRightInd w:val="0"/>
        <w:spacing w:before="120" w:after="120" w:line="240" w:lineRule="auto"/>
        <w:jc w:val="both"/>
        <w:rPr>
          <w:rFonts w:ascii="Arial" w:eastAsia="Calibri" w:hAnsi="Arial" w:cs="Arial"/>
          <w:color w:val="000000"/>
        </w:rPr>
      </w:pPr>
      <w:r w:rsidRPr="0099295A">
        <w:rPr>
          <w:rFonts w:ascii="Arial" w:eastAsia="Calibri" w:hAnsi="Arial" w:cs="Arial"/>
          <w:color w:val="000000"/>
        </w:rPr>
        <w:t>Adolescents may have concerns about sex, current and future relationships, fear of rejection and having a family in the future. All these fears can be addressed during post-test counselling and at subsequent visits.</w:t>
      </w:r>
    </w:p>
    <w:p w:rsidR="0071027C" w:rsidRPr="0099295A" w:rsidRDefault="0071027C" w:rsidP="0071027C">
      <w:pPr>
        <w:autoSpaceDE w:val="0"/>
        <w:autoSpaceDN w:val="0"/>
        <w:adjustRightInd w:val="0"/>
        <w:spacing w:before="120" w:after="120" w:line="240" w:lineRule="auto"/>
        <w:jc w:val="both"/>
        <w:rPr>
          <w:rFonts w:ascii="Arial" w:eastAsia="Calibri" w:hAnsi="Arial" w:cs="Arial"/>
          <w:color w:val="000000"/>
        </w:rPr>
      </w:pPr>
      <w:r w:rsidRPr="0099295A">
        <w:rPr>
          <w:rFonts w:ascii="Arial" w:eastAsia="Calibri" w:hAnsi="Arial" w:cs="Arial"/>
          <w:color w:val="000000"/>
        </w:rPr>
        <w:t xml:space="preserve">Often, people need some time alone to assimilate a positive HIV test result, and formulate questions and concerns. The role of post-test counselling is to contain any anxieties, provide support and reassurance, and to initiate plans with respect to disclosure, and follow-up visits for treatment and counselling. </w:t>
      </w:r>
    </w:p>
    <w:p w:rsidR="0071027C" w:rsidRPr="0099295A" w:rsidRDefault="0071027C" w:rsidP="0071027C">
      <w:pPr>
        <w:autoSpaceDE w:val="0"/>
        <w:autoSpaceDN w:val="0"/>
        <w:adjustRightInd w:val="0"/>
        <w:spacing w:before="120" w:after="120" w:line="240" w:lineRule="auto"/>
        <w:jc w:val="both"/>
        <w:rPr>
          <w:rFonts w:ascii="Arial" w:eastAsia="Calibri" w:hAnsi="Arial" w:cs="Arial"/>
          <w:color w:val="000000"/>
        </w:rPr>
      </w:pPr>
      <w:r w:rsidRPr="0099295A">
        <w:rPr>
          <w:rFonts w:ascii="Arial" w:eastAsia="Calibri" w:hAnsi="Arial" w:cs="Arial"/>
          <w:color w:val="000000"/>
        </w:rPr>
        <w:t>Children and adolescents who test HIV negative must be counseled and advised on how to protect themselves to stay negative, as well as the importance of re-testing and testing with any current or future sexual partners.</w:t>
      </w:r>
    </w:p>
    <w:p w:rsidR="0071027C" w:rsidRPr="0099295A" w:rsidRDefault="0071027C" w:rsidP="0071027C">
      <w:pPr>
        <w:autoSpaceDE w:val="0"/>
        <w:autoSpaceDN w:val="0"/>
        <w:adjustRightInd w:val="0"/>
        <w:spacing w:before="120" w:after="120" w:line="240" w:lineRule="auto"/>
        <w:jc w:val="both"/>
        <w:rPr>
          <w:rFonts w:ascii="Arial" w:eastAsia="Calibri" w:hAnsi="Arial" w:cs="Arial"/>
          <w:b/>
          <w:i/>
        </w:rPr>
      </w:pPr>
      <w:r w:rsidRPr="0099295A">
        <w:rPr>
          <w:rFonts w:ascii="Arial" w:eastAsia="Calibri" w:hAnsi="Arial" w:cs="Arial"/>
          <w:b/>
          <w:i/>
        </w:rPr>
        <w:t>Disclosure</w:t>
      </w:r>
    </w:p>
    <w:p w:rsidR="0071027C" w:rsidRPr="0099295A" w:rsidRDefault="0071027C" w:rsidP="0071027C">
      <w:pPr>
        <w:autoSpaceDE w:val="0"/>
        <w:autoSpaceDN w:val="0"/>
        <w:adjustRightInd w:val="0"/>
        <w:spacing w:before="120" w:after="120" w:line="240" w:lineRule="auto"/>
        <w:jc w:val="both"/>
        <w:rPr>
          <w:rFonts w:ascii="Arial" w:eastAsia="Calibri" w:hAnsi="Arial" w:cs="Arial"/>
        </w:rPr>
      </w:pPr>
      <w:r w:rsidRPr="0099295A">
        <w:rPr>
          <w:rFonts w:ascii="Arial" w:eastAsia="Calibri" w:hAnsi="Arial" w:cs="Arial"/>
        </w:rPr>
        <w:t>Disclosure refers to the process of informing the child about their HIV status. It also refers to person telling others of their HIV status. In HTC with infants and children, disclosure is an ongoing process continuing as the child matures  The parents/care givers, must be involved although the support of health care worker is also required. It is important for the child to able to participate in their own health care. Many parents/care givers are reluctantto disclose the HIV test result and status to their young children and often seek to postpone the discussion well into the teens.</w:t>
      </w:r>
    </w:p>
    <w:p w:rsidR="0071027C" w:rsidRPr="0099295A" w:rsidRDefault="0071027C" w:rsidP="0071027C">
      <w:pPr>
        <w:autoSpaceDE w:val="0"/>
        <w:autoSpaceDN w:val="0"/>
        <w:adjustRightInd w:val="0"/>
        <w:spacing w:before="120" w:after="120" w:line="240" w:lineRule="auto"/>
        <w:jc w:val="both"/>
        <w:rPr>
          <w:rFonts w:ascii="Arial" w:eastAsia="Calibri" w:hAnsi="Arial" w:cs="Arial"/>
          <w:b/>
          <w:i/>
        </w:rPr>
      </w:pPr>
      <w:r w:rsidRPr="0099295A">
        <w:rPr>
          <w:rFonts w:ascii="Arial" w:eastAsia="Calibri" w:hAnsi="Arial" w:cs="Arial"/>
          <w:b/>
          <w:i/>
        </w:rPr>
        <w:t>Health care providers should ensure that;</w:t>
      </w:r>
    </w:p>
    <w:p w:rsidR="0071027C" w:rsidRPr="00680DFC" w:rsidRDefault="0071027C" w:rsidP="00274941">
      <w:pPr>
        <w:pStyle w:val="ListParagraph"/>
        <w:widowControl w:val="0"/>
        <w:numPr>
          <w:ilvl w:val="0"/>
          <w:numId w:val="18"/>
        </w:numPr>
        <w:autoSpaceDE w:val="0"/>
        <w:autoSpaceDN w:val="0"/>
        <w:adjustRightInd w:val="0"/>
        <w:contextualSpacing w:val="0"/>
        <w:jc w:val="both"/>
        <w:rPr>
          <w:rFonts w:ascii="Arial" w:eastAsia="Calibri" w:hAnsi="Arial" w:cs="Arial"/>
          <w:sz w:val="22"/>
          <w:szCs w:val="22"/>
        </w:rPr>
      </w:pPr>
      <w:r w:rsidRPr="00680DFC">
        <w:rPr>
          <w:rFonts w:ascii="Arial" w:eastAsia="Calibri" w:hAnsi="Arial" w:cs="Arial"/>
          <w:sz w:val="22"/>
          <w:szCs w:val="22"/>
        </w:rPr>
        <w:t xml:space="preserve">Disclosure of the HIV status to the child should be discussed with the parents or guardians from the beginning. The process of disclosure should be done over time; beginning as early as possible. Usually, one can start mentioning to a 4 – 6 years old HIV-infected child that they have a chronic disease that requires regular clinic visits and medicines every day. </w:t>
      </w:r>
    </w:p>
    <w:p w:rsidR="0071027C" w:rsidRPr="00680DFC" w:rsidRDefault="0071027C" w:rsidP="00274941">
      <w:pPr>
        <w:pStyle w:val="ListParagraph"/>
        <w:widowControl w:val="0"/>
        <w:numPr>
          <w:ilvl w:val="0"/>
          <w:numId w:val="18"/>
        </w:numPr>
        <w:autoSpaceDE w:val="0"/>
        <w:autoSpaceDN w:val="0"/>
        <w:adjustRightInd w:val="0"/>
        <w:contextualSpacing w:val="0"/>
        <w:jc w:val="both"/>
        <w:rPr>
          <w:rFonts w:ascii="Arial" w:eastAsia="Calibri" w:hAnsi="Arial" w:cs="Arial"/>
          <w:sz w:val="22"/>
          <w:szCs w:val="22"/>
        </w:rPr>
      </w:pPr>
      <w:r w:rsidRPr="00680DFC">
        <w:rPr>
          <w:rFonts w:ascii="Arial" w:eastAsia="Calibri" w:hAnsi="Arial" w:cs="Arial"/>
          <w:sz w:val="22"/>
          <w:szCs w:val="22"/>
        </w:rPr>
        <w:t xml:space="preserve">Usually when the child starts asking questions about the disease or the medication he/she is taking or when acting in a way that suggests that he/she is feeling isolated from other children because of the disease. Close coordination with the guardian/parent of the child in question is crucial. </w:t>
      </w:r>
    </w:p>
    <w:p w:rsidR="0071027C" w:rsidRPr="00680DFC" w:rsidRDefault="0071027C" w:rsidP="00274941">
      <w:pPr>
        <w:pStyle w:val="ListParagraph"/>
        <w:widowControl w:val="0"/>
        <w:numPr>
          <w:ilvl w:val="0"/>
          <w:numId w:val="18"/>
        </w:numPr>
        <w:autoSpaceDE w:val="0"/>
        <w:autoSpaceDN w:val="0"/>
        <w:adjustRightInd w:val="0"/>
        <w:contextualSpacing w:val="0"/>
        <w:jc w:val="both"/>
        <w:rPr>
          <w:rFonts w:ascii="Arial" w:eastAsia="Calibri" w:hAnsi="Arial" w:cs="Arial"/>
          <w:sz w:val="22"/>
          <w:szCs w:val="22"/>
        </w:rPr>
      </w:pPr>
      <w:r w:rsidRPr="00680DFC">
        <w:rPr>
          <w:rFonts w:ascii="Arial" w:eastAsia="Calibri" w:hAnsi="Arial" w:cs="Arial"/>
          <w:sz w:val="22"/>
          <w:szCs w:val="22"/>
        </w:rPr>
        <w:t xml:space="preserve">At about 8 – 10 years it is recommended that full disclosure of HIV and AIDS be offered but in a caring and supportive manner and environment. Before their early teen years HIV-infected children should know that they are infected with HIV, how it is spread and how to stay healthy. It has been shown that children cope better with their HIV status when properly counseled. </w:t>
      </w:r>
    </w:p>
    <w:p w:rsidR="0071027C" w:rsidRPr="00680DFC" w:rsidRDefault="0071027C" w:rsidP="00274941">
      <w:pPr>
        <w:pStyle w:val="ListParagraph"/>
        <w:widowControl w:val="0"/>
        <w:numPr>
          <w:ilvl w:val="0"/>
          <w:numId w:val="18"/>
        </w:numPr>
        <w:autoSpaceDE w:val="0"/>
        <w:autoSpaceDN w:val="0"/>
        <w:adjustRightInd w:val="0"/>
        <w:contextualSpacing w:val="0"/>
        <w:jc w:val="both"/>
        <w:rPr>
          <w:rFonts w:ascii="Arial" w:eastAsia="Calibri" w:hAnsi="Arial" w:cs="Arial"/>
          <w:sz w:val="22"/>
          <w:szCs w:val="22"/>
        </w:rPr>
      </w:pPr>
      <w:r w:rsidRPr="00680DFC">
        <w:rPr>
          <w:rFonts w:ascii="Arial" w:eastAsia="Calibri" w:hAnsi="Arial" w:cs="Arial"/>
          <w:sz w:val="22"/>
          <w:szCs w:val="22"/>
        </w:rPr>
        <w:lastRenderedPageBreak/>
        <w:t xml:space="preserve">It is particularly important that adolescents be informed of their HIV status so that they can become active participants in their own care. Following challenges in disclosure, close coordination with the guardian/parent of the child is crucial. </w:t>
      </w:r>
    </w:p>
    <w:p w:rsidR="0071027C" w:rsidRPr="00680DFC" w:rsidRDefault="0071027C" w:rsidP="00274941">
      <w:pPr>
        <w:pStyle w:val="ListParagraph"/>
        <w:widowControl w:val="0"/>
        <w:numPr>
          <w:ilvl w:val="0"/>
          <w:numId w:val="18"/>
        </w:numPr>
        <w:autoSpaceDE w:val="0"/>
        <w:autoSpaceDN w:val="0"/>
        <w:adjustRightInd w:val="0"/>
        <w:contextualSpacing w:val="0"/>
        <w:jc w:val="both"/>
        <w:rPr>
          <w:rFonts w:ascii="Arial" w:eastAsia="Calibri" w:hAnsi="Arial" w:cs="Arial"/>
          <w:sz w:val="22"/>
          <w:szCs w:val="22"/>
        </w:rPr>
      </w:pPr>
      <w:r w:rsidRPr="00680DFC">
        <w:rPr>
          <w:rFonts w:ascii="Arial" w:eastAsia="Calibri" w:hAnsi="Arial" w:cs="Arial"/>
          <w:sz w:val="22"/>
          <w:szCs w:val="22"/>
        </w:rPr>
        <w:t>Parents/guardians should be offered with disclosure counseling to prepare and enable them to support disclosure in their children. Health care workers should be equipped with knowledge and skill on disclosure counseling.</w:t>
      </w:r>
    </w:p>
    <w:p w:rsidR="0071027C" w:rsidRPr="0099295A" w:rsidRDefault="0071027C" w:rsidP="0071027C">
      <w:pPr>
        <w:pStyle w:val="Heading3"/>
        <w:rPr>
          <w:rFonts w:eastAsia="Calibri"/>
        </w:rPr>
      </w:pPr>
    </w:p>
    <w:p w:rsidR="0071027C" w:rsidRPr="0099295A" w:rsidRDefault="0071027C" w:rsidP="0071027C">
      <w:pPr>
        <w:pStyle w:val="Heading3"/>
        <w:rPr>
          <w:rFonts w:eastAsia="Times New Roman"/>
          <w:color w:val="4F81BD"/>
        </w:rPr>
      </w:pPr>
      <w:bookmarkStart w:id="155" w:name="_Toc373761278"/>
      <w:bookmarkStart w:id="156" w:name="_Toc378258117"/>
      <w:bookmarkStart w:id="157" w:name="_Toc382213980"/>
      <w:r w:rsidRPr="0099295A">
        <w:rPr>
          <w:rFonts w:eastAsia="Times New Roman"/>
          <w:color w:val="4F81BD"/>
        </w:rPr>
        <w:t>3.2.</w:t>
      </w:r>
      <w:r>
        <w:rPr>
          <w:rFonts w:eastAsia="Times New Roman"/>
          <w:color w:val="4F81BD"/>
        </w:rPr>
        <w:t>6</w:t>
      </w:r>
      <w:r w:rsidRPr="0099295A">
        <w:rPr>
          <w:rFonts w:eastAsia="Times New Roman"/>
          <w:color w:val="4F81BD"/>
        </w:rPr>
        <w:t xml:space="preserve"> HIV Testing </w:t>
      </w:r>
      <w:r>
        <w:rPr>
          <w:rFonts w:eastAsia="Times New Roman"/>
          <w:color w:val="4F81BD"/>
        </w:rPr>
        <w:t>a</w:t>
      </w:r>
      <w:r w:rsidRPr="0099295A">
        <w:rPr>
          <w:rFonts w:eastAsia="Times New Roman"/>
          <w:color w:val="4F81BD"/>
        </w:rPr>
        <w:t xml:space="preserve">nd Counselling Related </w:t>
      </w:r>
      <w:r>
        <w:rPr>
          <w:rFonts w:eastAsia="Times New Roman"/>
          <w:color w:val="4F81BD"/>
        </w:rPr>
        <w:t>t</w:t>
      </w:r>
      <w:r w:rsidRPr="0099295A">
        <w:rPr>
          <w:rFonts w:eastAsia="Times New Roman"/>
          <w:color w:val="4F81BD"/>
        </w:rPr>
        <w:t>o High Risks Behaviour</w:t>
      </w:r>
      <w:bookmarkEnd w:id="155"/>
      <w:bookmarkEnd w:id="156"/>
      <w:bookmarkEnd w:id="157"/>
    </w:p>
    <w:p w:rsidR="0071027C" w:rsidRPr="0099295A" w:rsidRDefault="0071027C" w:rsidP="0071027C">
      <w:pPr>
        <w:autoSpaceDE w:val="0"/>
        <w:autoSpaceDN w:val="0"/>
        <w:adjustRightInd w:val="0"/>
        <w:spacing w:before="120" w:after="120" w:line="240" w:lineRule="auto"/>
        <w:jc w:val="both"/>
        <w:rPr>
          <w:rFonts w:ascii="Arial" w:eastAsia="Calibri" w:hAnsi="Arial" w:cs="Arial"/>
        </w:rPr>
      </w:pPr>
      <w:r w:rsidRPr="0099295A">
        <w:rPr>
          <w:rFonts w:ascii="Arial" w:eastAsia="Calibri" w:hAnsi="Arial" w:cs="Arial"/>
        </w:rPr>
        <w:t>Behaviours that put people at greater risk of HIV infection include multiple unprotected sexual partnerships, unprotected anal sex with multiple partners, and injecting drugs with non-sterile equipment. Thus, high risk behaviours include:</w:t>
      </w:r>
      <w:r w:rsidRPr="0099295A">
        <w:rPr>
          <w:rFonts w:ascii="Arial" w:eastAsia="Calibri" w:hAnsi="Arial" w:cs="Arial"/>
          <w:vertAlign w:val="superscript"/>
        </w:rPr>
        <w:footnoteReference w:id="5"/>
      </w:r>
    </w:p>
    <w:p w:rsidR="0071027C" w:rsidRPr="0099295A" w:rsidRDefault="0071027C" w:rsidP="00274941">
      <w:pPr>
        <w:numPr>
          <w:ilvl w:val="0"/>
          <w:numId w:val="14"/>
        </w:numPr>
        <w:autoSpaceDE w:val="0"/>
        <w:autoSpaceDN w:val="0"/>
        <w:adjustRightInd w:val="0"/>
        <w:spacing w:after="0" w:line="240" w:lineRule="auto"/>
        <w:jc w:val="both"/>
        <w:rPr>
          <w:rFonts w:ascii="Arial" w:eastAsia="Times New Roman" w:hAnsi="Arial" w:cs="Arial"/>
          <w:lang w:val="af-ZA" w:eastAsia="af-ZA"/>
        </w:rPr>
      </w:pPr>
      <w:r w:rsidRPr="0099295A">
        <w:rPr>
          <w:rFonts w:ascii="Arial" w:eastAsia="Times New Roman" w:hAnsi="Arial" w:cs="Arial"/>
          <w:lang w:val="af-ZA" w:eastAsia="af-ZA"/>
        </w:rPr>
        <w:t xml:space="preserve">People who Inject drugs (PWIDs) </w:t>
      </w:r>
    </w:p>
    <w:p w:rsidR="0071027C" w:rsidRPr="0099295A" w:rsidRDefault="0071027C" w:rsidP="00274941">
      <w:pPr>
        <w:numPr>
          <w:ilvl w:val="0"/>
          <w:numId w:val="14"/>
        </w:numPr>
        <w:autoSpaceDE w:val="0"/>
        <w:autoSpaceDN w:val="0"/>
        <w:adjustRightInd w:val="0"/>
        <w:spacing w:after="0" w:line="240" w:lineRule="auto"/>
        <w:jc w:val="both"/>
        <w:rPr>
          <w:rFonts w:ascii="Arial" w:eastAsia="Times New Roman" w:hAnsi="Arial" w:cs="Arial"/>
          <w:lang w:val="af-ZA" w:eastAsia="af-ZA"/>
        </w:rPr>
      </w:pPr>
      <w:r w:rsidRPr="0099295A">
        <w:rPr>
          <w:rFonts w:ascii="Arial" w:eastAsia="Times New Roman" w:hAnsi="Arial" w:cs="Arial"/>
          <w:lang w:val="af-ZA" w:eastAsia="af-ZA"/>
        </w:rPr>
        <w:t>Males who have sex with other males (MSMs)</w:t>
      </w:r>
    </w:p>
    <w:p w:rsidR="0071027C" w:rsidRPr="0099295A" w:rsidRDefault="0071027C" w:rsidP="00274941">
      <w:pPr>
        <w:numPr>
          <w:ilvl w:val="0"/>
          <w:numId w:val="14"/>
        </w:numPr>
        <w:autoSpaceDE w:val="0"/>
        <w:autoSpaceDN w:val="0"/>
        <w:adjustRightInd w:val="0"/>
        <w:spacing w:after="0" w:line="240" w:lineRule="auto"/>
        <w:jc w:val="both"/>
        <w:rPr>
          <w:rFonts w:ascii="Arial" w:eastAsia="Times New Roman" w:hAnsi="Arial" w:cs="Arial"/>
          <w:lang w:val="af-ZA" w:eastAsia="af-ZA"/>
        </w:rPr>
      </w:pPr>
      <w:r w:rsidRPr="0099295A">
        <w:rPr>
          <w:rFonts w:ascii="Arial" w:eastAsia="Times New Roman" w:hAnsi="Arial" w:cs="Arial"/>
          <w:lang w:val="af-ZA" w:eastAsia="af-ZA"/>
        </w:rPr>
        <w:t xml:space="preserve">Females and males sex workers </w:t>
      </w:r>
    </w:p>
    <w:p w:rsidR="0071027C" w:rsidRPr="0099295A" w:rsidRDefault="0071027C" w:rsidP="00274941">
      <w:pPr>
        <w:numPr>
          <w:ilvl w:val="0"/>
          <w:numId w:val="14"/>
        </w:numPr>
        <w:autoSpaceDE w:val="0"/>
        <w:autoSpaceDN w:val="0"/>
        <w:adjustRightInd w:val="0"/>
        <w:spacing w:after="0" w:line="240" w:lineRule="auto"/>
        <w:jc w:val="both"/>
        <w:rPr>
          <w:rFonts w:ascii="Arial" w:eastAsia="Times New Roman" w:hAnsi="Arial" w:cs="Arial"/>
          <w:lang w:val="af-ZA" w:eastAsia="af-ZA"/>
        </w:rPr>
      </w:pPr>
      <w:r w:rsidRPr="0099295A">
        <w:rPr>
          <w:rFonts w:ascii="Arial" w:eastAsia="Times New Roman" w:hAnsi="Arial" w:cs="Arial"/>
          <w:lang w:val="af-ZA" w:eastAsia="af-ZA"/>
        </w:rPr>
        <w:t>Males who have unprotected sex with sex workers</w:t>
      </w:r>
    </w:p>
    <w:p w:rsidR="0071027C" w:rsidRPr="0099295A" w:rsidRDefault="0071027C" w:rsidP="00274941">
      <w:pPr>
        <w:numPr>
          <w:ilvl w:val="0"/>
          <w:numId w:val="14"/>
        </w:numPr>
        <w:autoSpaceDE w:val="0"/>
        <w:autoSpaceDN w:val="0"/>
        <w:adjustRightInd w:val="0"/>
        <w:spacing w:after="0" w:line="240" w:lineRule="auto"/>
        <w:jc w:val="both"/>
        <w:rPr>
          <w:rFonts w:ascii="Arial" w:eastAsia="Times New Roman" w:hAnsi="Arial" w:cs="Arial"/>
          <w:b/>
          <w:bCs/>
          <w:lang w:val="af-ZA" w:eastAsia="af-ZA"/>
        </w:rPr>
      </w:pPr>
      <w:r w:rsidRPr="0099295A">
        <w:rPr>
          <w:rFonts w:ascii="Arial" w:eastAsia="Times New Roman" w:hAnsi="Arial" w:cs="Arial"/>
          <w:lang w:val="af-ZA" w:eastAsia="af-ZA"/>
        </w:rPr>
        <w:t xml:space="preserve">People who engage in multiple risk behaviours, such as both injecting drugs and having unprotected sex. </w:t>
      </w:r>
    </w:p>
    <w:p w:rsidR="0071027C" w:rsidRPr="0099295A" w:rsidRDefault="0071027C" w:rsidP="0071027C">
      <w:pPr>
        <w:autoSpaceDE w:val="0"/>
        <w:autoSpaceDN w:val="0"/>
        <w:adjustRightInd w:val="0"/>
        <w:spacing w:before="120" w:after="120" w:line="240" w:lineRule="auto"/>
        <w:jc w:val="both"/>
        <w:rPr>
          <w:rFonts w:ascii="Arial" w:eastAsia="Calibri" w:hAnsi="Arial" w:cs="Arial"/>
          <w:b/>
          <w:bCs/>
        </w:rPr>
      </w:pPr>
      <w:r w:rsidRPr="0099295A">
        <w:rPr>
          <w:rFonts w:ascii="Arial" w:eastAsia="Calibri" w:hAnsi="Arial" w:cs="Arial"/>
        </w:rPr>
        <w:t xml:space="preserve">Provision of HIV counseling and testing services for groups with high risk behaviours should be a basic intervention wherever such groups are considered for HIV prevention and treatment/care. </w:t>
      </w:r>
    </w:p>
    <w:p w:rsidR="0071027C" w:rsidRPr="0099295A" w:rsidRDefault="0071027C" w:rsidP="0071027C">
      <w:pPr>
        <w:autoSpaceDE w:val="0"/>
        <w:autoSpaceDN w:val="0"/>
        <w:adjustRightInd w:val="0"/>
        <w:spacing w:before="120" w:after="120" w:line="240" w:lineRule="auto"/>
        <w:jc w:val="both"/>
        <w:rPr>
          <w:rFonts w:ascii="Arial" w:eastAsia="Calibri" w:hAnsi="Arial" w:cs="Arial"/>
          <w:b/>
          <w:bCs/>
        </w:rPr>
      </w:pPr>
    </w:p>
    <w:p w:rsidR="0071027C" w:rsidRDefault="0071027C" w:rsidP="0071027C">
      <w:pPr>
        <w:pStyle w:val="Heading4"/>
        <w:rPr>
          <w:rFonts w:eastAsia="Times New Roman"/>
        </w:rPr>
      </w:pPr>
      <w:r w:rsidRPr="0099295A">
        <w:rPr>
          <w:rFonts w:eastAsia="Times New Roman"/>
        </w:rPr>
        <w:t>3.2.</w:t>
      </w:r>
      <w:r>
        <w:rPr>
          <w:rFonts w:eastAsia="Times New Roman"/>
        </w:rPr>
        <w:t>6</w:t>
      </w:r>
      <w:r w:rsidRPr="0099295A">
        <w:rPr>
          <w:rFonts w:eastAsia="Times New Roman"/>
        </w:rPr>
        <w:t xml:space="preserve">.1 Special Considerations for HTC for People with </w:t>
      </w:r>
      <w:r>
        <w:rPr>
          <w:rFonts w:eastAsia="Times New Roman"/>
        </w:rPr>
        <w:t>High Risk o</w:t>
      </w:r>
      <w:r w:rsidRPr="0099295A">
        <w:rPr>
          <w:rFonts w:eastAsia="Times New Roman"/>
        </w:rPr>
        <w:t xml:space="preserve">f </w:t>
      </w:r>
      <w:r>
        <w:rPr>
          <w:rFonts w:eastAsia="Times New Roman"/>
        </w:rPr>
        <w:t>a</w:t>
      </w:r>
      <w:r w:rsidRPr="0099295A">
        <w:rPr>
          <w:rFonts w:eastAsia="Times New Roman"/>
        </w:rPr>
        <w:t>cquiring HIV Infection</w:t>
      </w:r>
    </w:p>
    <w:p w:rsidR="00680DFC" w:rsidRPr="00680DFC" w:rsidRDefault="00680DFC" w:rsidP="00680DFC"/>
    <w:p w:rsidR="0071027C" w:rsidRPr="0099295A" w:rsidRDefault="0071027C" w:rsidP="00274941">
      <w:pPr>
        <w:numPr>
          <w:ilvl w:val="0"/>
          <w:numId w:val="15"/>
        </w:numPr>
        <w:autoSpaceDE w:val="0"/>
        <w:autoSpaceDN w:val="0"/>
        <w:adjustRightInd w:val="0"/>
        <w:spacing w:after="0" w:line="240" w:lineRule="auto"/>
        <w:jc w:val="both"/>
        <w:rPr>
          <w:rFonts w:ascii="Arial" w:eastAsia="Calibri" w:hAnsi="Arial" w:cs="Arial"/>
          <w:color w:val="000000"/>
        </w:rPr>
      </w:pPr>
      <w:r w:rsidRPr="0099295A">
        <w:rPr>
          <w:rFonts w:ascii="Arial" w:eastAsia="Calibri" w:hAnsi="Arial" w:cs="Arial"/>
          <w:b/>
          <w:i/>
          <w:color w:val="000000"/>
        </w:rPr>
        <w:t>Semi-annual HIV re-testing for HIV negative at-risk people</w:t>
      </w:r>
      <w:r w:rsidRPr="0099295A">
        <w:rPr>
          <w:rFonts w:ascii="Arial" w:eastAsia="Calibri" w:hAnsi="Arial" w:cs="Arial"/>
          <w:color w:val="000000"/>
        </w:rPr>
        <w:t xml:space="preserve">: It is recommended that at-risk individuals who tested negative to be re-tested semi-annually. </w:t>
      </w:r>
    </w:p>
    <w:p w:rsidR="0071027C" w:rsidRPr="0099295A" w:rsidRDefault="0071027C" w:rsidP="00274941">
      <w:pPr>
        <w:numPr>
          <w:ilvl w:val="0"/>
          <w:numId w:val="15"/>
        </w:numPr>
        <w:autoSpaceDE w:val="0"/>
        <w:autoSpaceDN w:val="0"/>
        <w:adjustRightInd w:val="0"/>
        <w:spacing w:after="0" w:line="240" w:lineRule="auto"/>
        <w:jc w:val="both"/>
        <w:rPr>
          <w:rFonts w:ascii="Arial" w:eastAsia="Calibri" w:hAnsi="Arial" w:cs="Arial"/>
          <w:color w:val="000000"/>
        </w:rPr>
      </w:pPr>
      <w:r w:rsidRPr="0099295A">
        <w:rPr>
          <w:rFonts w:ascii="Arial" w:eastAsia="Calibri" w:hAnsi="Arial" w:cs="Arial"/>
          <w:b/>
          <w:i/>
          <w:color w:val="000000"/>
        </w:rPr>
        <w:t>Risk reduction counseling and skills building</w:t>
      </w:r>
      <w:r w:rsidRPr="0099295A">
        <w:rPr>
          <w:rFonts w:ascii="Arial" w:eastAsia="Calibri" w:hAnsi="Arial" w:cs="Arial"/>
          <w:b/>
          <w:bCs/>
          <w:i/>
          <w:color w:val="000000"/>
        </w:rPr>
        <w:t>:</w:t>
      </w:r>
      <w:r w:rsidRPr="0099295A">
        <w:rPr>
          <w:rFonts w:ascii="Arial" w:eastAsia="Calibri" w:hAnsi="Arial" w:cs="Arial"/>
          <w:color w:val="000000"/>
        </w:rPr>
        <w:t xml:space="preserve"> Since members of the Key Population (KP) often do not seek services as frequently as the general population, it is important that HTC service providers take the opportunity to conduct risk reduction counseling and skills building based on their risk assessment. Although in-depth risk reduction counseling is rarely offered during PITC, service providers should consider individualized counseling given the high-risk nature of anal sex and sex worker; or at a minimum, referral to counseling services should be done. </w:t>
      </w:r>
    </w:p>
    <w:p w:rsidR="0071027C" w:rsidRPr="0099295A" w:rsidRDefault="0071027C" w:rsidP="00274941">
      <w:pPr>
        <w:numPr>
          <w:ilvl w:val="0"/>
          <w:numId w:val="15"/>
        </w:numPr>
        <w:spacing w:after="0" w:line="240" w:lineRule="auto"/>
        <w:contextualSpacing/>
        <w:jc w:val="both"/>
        <w:rPr>
          <w:rFonts w:ascii="Arial" w:eastAsia="Times New Roman" w:hAnsi="Arial" w:cs="Arial"/>
          <w:lang w:val="af-ZA" w:eastAsia="af-ZA"/>
        </w:rPr>
      </w:pPr>
      <w:r w:rsidRPr="0099295A">
        <w:rPr>
          <w:rFonts w:ascii="Arial" w:eastAsia="Times New Roman" w:hAnsi="Arial" w:cs="Arial"/>
          <w:b/>
          <w:i/>
          <w:lang w:val="af-ZA" w:eastAsia="af-ZA"/>
        </w:rPr>
        <w:t>HIV testing for partners of at-risk people</w:t>
      </w:r>
      <w:r w:rsidRPr="0099295A">
        <w:rPr>
          <w:rFonts w:ascii="Arial" w:eastAsia="Times New Roman" w:hAnsi="Arial" w:cs="Arial"/>
          <w:b/>
          <w:bCs/>
          <w:i/>
          <w:lang w:val="af-ZA" w:eastAsia="af-ZA"/>
        </w:rPr>
        <w:t>:</w:t>
      </w:r>
      <w:r>
        <w:rPr>
          <w:rFonts w:ascii="Arial" w:eastAsia="Times New Roman" w:hAnsi="Arial" w:cs="Arial"/>
          <w:b/>
          <w:bCs/>
          <w:i/>
          <w:lang w:val="af-ZA" w:eastAsia="af-ZA"/>
        </w:rPr>
        <w:t xml:space="preserve"> </w:t>
      </w:r>
      <w:r w:rsidRPr="0099295A">
        <w:rPr>
          <w:rFonts w:ascii="Arial" w:eastAsia="Times New Roman" w:hAnsi="Arial" w:cs="Arial"/>
          <w:lang w:val="af-ZA" w:eastAsia="af-ZA"/>
        </w:rPr>
        <w:t>SWs, PIWD and MSM are encouraged to promote HTC with their regular partners. Couples counseling is an important intervention and may be appropriate for the individuals and their regular partners, but should be based on the sex worker’s, PIWD, or MSM’s comfort to disclose their status to their partner.</w:t>
      </w:r>
    </w:p>
    <w:p w:rsidR="0071027C" w:rsidRPr="007E20BD" w:rsidRDefault="0071027C" w:rsidP="00AA771C">
      <w:pPr>
        <w:autoSpaceDE w:val="0"/>
        <w:autoSpaceDN w:val="0"/>
        <w:adjustRightInd w:val="0"/>
        <w:spacing w:beforeLines="120" w:before="288" w:afterLines="120" w:after="288" w:line="288" w:lineRule="auto"/>
        <w:jc w:val="both"/>
        <w:rPr>
          <w:rFonts w:ascii="Arial Narrow" w:eastAsia="Calibri" w:hAnsi="Arial Narrow" w:cs="Frutiger-BoldCn"/>
          <w:b/>
          <w:bCs/>
          <w:sz w:val="24"/>
          <w:szCs w:val="24"/>
        </w:rPr>
      </w:pPr>
    </w:p>
    <w:p w:rsidR="00680DFC" w:rsidRDefault="00680DFC" w:rsidP="00AA771C">
      <w:pPr>
        <w:autoSpaceDE w:val="0"/>
        <w:autoSpaceDN w:val="0"/>
        <w:adjustRightInd w:val="0"/>
        <w:spacing w:beforeLines="120" w:before="288" w:afterLines="120" w:after="288" w:line="288" w:lineRule="auto"/>
        <w:jc w:val="both"/>
        <w:rPr>
          <w:rFonts w:ascii="Arial Narrow" w:eastAsia="Calibri" w:hAnsi="Arial Narrow" w:cs="Frutiger-BoldCn"/>
          <w:b/>
          <w:bCs/>
          <w:sz w:val="24"/>
          <w:szCs w:val="24"/>
        </w:rPr>
        <w:sectPr w:rsidR="00680DFC" w:rsidSect="0027452F">
          <w:pgSz w:w="12240" w:h="15840"/>
          <w:pgMar w:top="1440" w:right="1440" w:bottom="1440" w:left="1440" w:header="720" w:footer="720" w:gutter="0"/>
          <w:cols w:space="720"/>
          <w:docGrid w:linePitch="360"/>
        </w:sectPr>
      </w:pPr>
    </w:p>
    <w:p w:rsidR="0071027C" w:rsidRPr="00680DFC" w:rsidRDefault="0071027C" w:rsidP="00AA771C">
      <w:pPr>
        <w:autoSpaceDE w:val="0"/>
        <w:autoSpaceDN w:val="0"/>
        <w:adjustRightInd w:val="0"/>
        <w:spacing w:beforeLines="120" w:before="288" w:afterLines="120" w:after="288" w:line="288" w:lineRule="auto"/>
        <w:jc w:val="both"/>
        <w:rPr>
          <w:rFonts w:ascii="Arial" w:eastAsia="Calibri" w:hAnsi="Arial" w:cs="Arial"/>
          <w:b/>
          <w:bCs/>
        </w:rPr>
      </w:pPr>
      <w:r w:rsidRPr="00680DFC">
        <w:rPr>
          <w:rFonts w:ascii="Arial" w:eastAsia="Calibri" w:hAnsi="Arial" w:cs="Arial"/>
          <w:b/>
          <w:bCs/>
        </w:rPr>
        <w:lastRenderedPageBreak/>
        <w:t>Table 3.2: Summary of HIV Testing and Counselling Recommendations for Generalized Epidemics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3600"/>
        <w:gridCol w:w="3870"/>
      </w:tblGrid>
      <w:tr w:rsidR="0071027C" w:rsidRPr="00680DFC" w:rsidTr="0071027C">
        <w:trPr>
          <w:trHeight w:val="422"/>
        </w:trPr>
        <w:tc>
          <w:tcPr>
            <w:tcW w:w="2448" w:type="dxa"/>
            <w:shd w:val="clear" w:color="auto" w:fill="C2D69B" w:themeFill="accent3" w:themeFillTint="99"/>
            <w:vAlign w:val="bottom"/>
          </w:tcPr>
          <w:p w:rsidR="0071027C" w:rsidRPr="00680DFC" w:rsidRDefault="0071027C" w:rsidP="0071027C">
            <w:pPr>
              <w:spacing w:before="120" w:after="120" w:line="240" w:lineRule="auto"/>
              <w:jc w:val="both"/>
              <w:rPr>
                <w:rFonts w:ascii="Arial" w:eastAsia="Calibri" w:hAnsi="Arial" w:cs="Arial"/>
              </w:rPr>
            </w:pPr>
            <w:r w:rsidRPr="00680DFC">
              <w:rPr>
                <w:rFonts w:ascii="Arial" w:eastAsia="Calibri" w:hAnsi="Arial" w:cs="Arial"/>
                <w:b/>
                <w:bCs/>
              </w:rPr>
              <w:t>Who to test</w:t>
            </w:r>
          </w:p>
        </w:tc>
        <w:tc>
          <w:tcPr>
            <w:tcW w:w="3600" w:type="dxa"/>
            <w:shd w:val="clear" w:color="auto" w:fill="C2D69B" w:themeFill="accent3" w:themeFillTint="99"/>
            <w:vAlign w:val="bottom"/>
          </w:tcPr>
          <w:p w:rsidR="0071027C" w:rsidRPr="00680DFC" w:rsidRDefault="0071027C" w:rsidP="0071027C">
            <w:pPr>
              <w:spacing w:before="120" w:after="120" w:line="240" w:lineRule="auto"/>
              <w:jc w:val="both"/>
              <w:rPr>
                <w:rFonts w:ascii="Arial" w:eastAsia="Calibri" w:hAnsi="Arial" w:cs="Arial"/>
              </w:rPr>
            </w:pPr>
            <w:r w:rsidRPr="00680DFC">
              <w:rPr>
                <w:rFonts w:ascii="Arial" w:eastAsia="Calibri" w:hAnsi="Arial" w:cs="Arial"/>
                <w:b/>
                <w:bCs/>
              </w:rPr>
              <w:t>When to test</w:t>
            </w:r>
          </w:p>
        </w:tc>
        <w:tc>
          <w:tcPr>
            <w:tcW w:w="3870" w:type="dxa"/>
            <w:shd w:val="clear" w:color="auto" w:fill="C2D69B" w:themeFill="accent3" w:themeFillTint="99"/>
            <w:vAlign w:val="bottom"/>
          </w:tcPr>
          <w:p w:rsidR="0071027C" w:rsidRPr="00680DFC" w:rsidRDefault="0071027C" w:rsidP="0071027C">
            <w:pPr>
              <w:spacing w:before="120" w:after="120" w:line="240" w:lineRule="auto"/>
              <w:jc w:val="both"/>
              <w:rPr>
                <w:rFonts w:ascii="Arial" w:eastAsia="Calibri" w:hAnsi="Arial" w:cs="Arial"/>
              </w:rPr>
            </w:pPr>
            <w:r w:rsidRPr="00680DFC">
              <w:rPr>
                <w:rFonts w:ascii="Arial" w:eastAsia="Calibri" w:hAnsi="Arial" w:cs="Arial"/>
                <w:b/>
                <w:bCs/>
              </w:rPr>
              <w:t>Where to test</w:t>
            </w:r>
          </w:p>
        </w:tc>
      </w:tr>
      <w:tr w:rsidR="0071027C" w:rsidRPr="00680DFC" w:rsidTr="0071027C">
        <w:tc>
          <w:tcPr>
            <w:tcW w:w="2448" w:type="dxa"/>
            <w:shd w:val="clear" w:color="auto" w:fill="D6E3BC" w:themeFill="accent3" w:themeFillTint="66"/>
          </w:tcPr>
          <w:p w:rsidR="0071027C" w:rsidRPr="00680DFC" w:rsidRDefault="0071027C" w:rsidP="0071027C">
            <w:pPr>
              <w:autoSpaceDE w:val="0"/>
              <w:autoSpaceDN w:val="0"/>
              <w:adjustRightInd w:val="0"/>
              <w:spacing w:before="120" w:after="120" w:line="240" w:lineRule="auto"/>
              <w:jc w:val="both"/>
              <w:rPr>
                <w:rFonts w:ascii="Arial" w:eastAsia="Calibri" w:hAnsi="Arial" w:cs="Arial"/>
                <w:b/>
              </w:rPr>
            </w:pPr>
            <w:r w:rsidRPr="00680DFC">
              <w:rPr>
                <w:rFonts w:ascii="Arial" w:eastAsia="Calibri" w:hAnsi="Arial" w:cs="Arial"/>
                <w:b/>
              </w:rPr>
              <w:t>Everyone attending health facilities</w:t>
            </w:r>
          </w:p>
        </w:tc>
        <w:tc>
          <w:tcPr>
            <w:tcW w:w="3600" w:type="dxa"/>
          </w:tcPr>
          <w:p w:rsidR="0071027C" w:rsidRPr="00680DFC" w:rsidRDefault="0071027C" w:rsidP="0071027C">
            <w:pPr>
              <w:autoSpaceDE w:val="0"/>
              <w:autoSpaceDN w:val="0"/>
              <w:adjustRightInd w:val="0"/>
              <w:spacing w:before="120" w:after="120" w:line="240" w:lineRule="auto"/>
              <w:jc w:val="both"/>
              <w:rPr>
                <w:rFonts w:ascii="Arial" w:eastAsia="Calibri" w:hAnsi="Arial" w:cs="Arial"/>
              </w:rPr>
            </w:pPr>
            <w:r w:rsidRPr="00680DFC">
              <w:rPr>
                <w:rFonts w:ascii="Arial" w:eastAsia="Calibri" w:hAnsi="Arial" w:cs="Arial"/>
              </w:rPr>
              <w:t>Integrate in all health care encounters</w:t>
            </w:r>
          </w:p>
        </w:tc>
        <w:tc>
          <w:tcPr>
            <w:tcW w:w="3870" w:type="dxa"/>
          </w:tcPr>
          <w:p w:rsidR="0071027C" w:rsidRPr="00680DFC" w:rsidRDefault="0071027C" w:rsidP="0071027C">
            <w:pPr>
              <w:autoSpaceDE w:val="0"/>
              <w:autoSpaceDN w:val="0"/>
              <w:adjustRightInd w:val="0"/>
              <w:spacing w:before="120" w:after="120" w:line="240" w:lineRule="auto"/>
              <w:jc w:val="both"/>
              <w:rPr>
                <w:rFonts w:ascii="Arial" w:eastAsia="Calibri" w:hAnsi="Arial" w:cs="Arial"/>
              </w:rPr>
            </w:pPr>
            <w:r w:rsidRPr="00680DFC">
              <w:rPr>
                <w:rFonts w:ascii="Arial" w:eastAsia="Calibri" w:hAnsi="Arial" w:cs="Arial"/>
              </w:rPr>
              <w:t>All settings, including primary health care, outpatient medical and surgical wards, antenatal care and maternal and child health, TB, family planning and sexually transmitted infection clinics.</w:t>
            </w:r>
          </w:p>
        </w:tc>
      </w:tr>
      <w:tr w:rsidR="0071027C" w:rsidRPr="00680DFC" w:rsidTr="0071027C">
        <w:tc>
          <w:tcPr>
            <w:tcW w:w="2448" w:type="dxa"/>
            <w:shd w:val="clear" w:color="auto" w:fill="D6E3BC" w:themeFill="accent3" w:themeFillTint="66"/>
          </w:tcPr>
          <w:p w:rsidR="0071027C" w:rsidRPr="00680DFC" w:rsidRDefault="0071027C" w:rsidP="0071027C">
            <w:pPr>
              <w:autoSpaceDE w:val="0"/>
              <w:autoSpaceDN w:val="0"/>
              <w:adjustRightInd w:val="0"/>
              <w:spacing w:before="120" w:after="120" w:line="240" w:lineRule="auto"/>
              <w:jc w:val="both"/>
              <w:rPr>
                <w:rFonts w:ascii="Arial" w:eastAsia="Calibri" w:hAnsi="Arial" w:cs="Arial"/>
                <w:b/>
              </w:rPr>
            </w:pPr>
            <w:r w:rsidRPr="00680DFC">
              <w:rPr>
                <w:rFonts w:ascii="Arial" w:eastAsia="Calibri" w:hAnsi="Arial" w:cs="Arial"/>
                <w:b/>
              </w:rPr>
              <w:t>Partners and couples</w:t>
            </w:r>
          </w:p>
        </w:tc>
        <w:tc>
          <w:tcPr>
            <w:tcW w:w="3600" w:type="dxa"/>
          </w:tcPr>
          <w:p w:rsidR="0071027C" w:rsidRPr="00680DFC" w:rsidRDefault="0071027C" w:rsidP="0071027C">
            <w:pPr>
              <w:autoSpaceDE w:val="0"/>
              <w:autoSpaceDN w:val="0"/>
              <w:adjustRightInd w:val="0"/>
              <w:spacing w:before="120" w:after="120" w:line="240" w:lineRule="auto"/>
              <w:jc w:val="both"/>
              <w:rPr>
                <w:rFonts w:ascii="Arial" w:eastAsia="Calibri" w:hAnsi="Arial" w:cs="Arial"/>
              </w:rPr>
            </w:pPr>
            <w:r w:rsidRPr="00680DFC">
              <w:rPr>
                <w:rFonts w:ascii="Arial" w:eastAsia="Calibri" w:hAnsi="Arial" w:cs="Arial"/>
              </w:rPr>
              <w:t>Premarital, pregnancy, after separations, new partnerships and at the start of care and ART</w:t>
            </w:r>
          </w:p>
          <w:p w:rsidR="0071027C" w:rsidRPr="00680DFC" w:rsidRDefault="0071027C" w:rsidP="0071027C">
            <w:pPr>
              <w:autoSpaceDE w:val="0"/>
              <w:autoSpaceDN w:val="0"/>
              <w:adjustRightInd w:val="0"/>
              <w:spacing w:before="120" w:after="120" w:line="240" w:lineRule="auto"/>
              <w:jc w:val="both"/>
              <w:rPr>
                <w:rFonts w:ascii="Arial" w:eastAsia="Calibri" w:hAnsi="Arial" w:cs="Arial"/>
              </w:rPr>
            </w:pPr>
          </w:p>
          <w:p w:rsidR="0071027C" w:rsidRPr="00680DFC" w:rsidRDefault="0071027C" w:rsidP="0071027C">
            <w:pPr>
              <w:autoSpaceDE w:val="0"/>
              <w:autoSpaceDN w:val="0"/>
              <w:adjustRightInd w:val="0"/>
              <w:spacing w:before="120" w:after="120" w:line="240" w:lineRule="auto"/>
              <w:jc w:val="both"/>
              <w:rPr>
                <w:rFonts w:ascii="Arial" w:eastAsia="Calibri" w:hAnsi="Arial" w:cs="Arial"/>
              </w:rPr>
            </w:pPr>
            <w:r w:rsidRPr="00680DFC">
              <w:rPr>
                <w:rFonts w:ascii="Arial" w:eastAsia="Calibri" w:hAnsi="Arial" w:cs="Arial"/>
              </w:rPr>
              <w:t>For the HIV-negative person in serodiscordant couples, offer re-testing every 6,  months</w:t>
            </w:r>
          </w:p>
        </w:tc>
        <w:tc>
          <w:tcPr>
            <w:tcW w:w="3870" w:type="dxa"/>
          </w:tcPr>
          <w:p w:rsidR="0071027C" w:rsidRPr="00680DFC" w:rsidRDefault="0071027C" w:rsidP="0071027C">
            <w:pPr>
              <w:autoSpaceDE w:val="0"/>
              <w:autoSpaceDN w:val="0"/>
              <w:adjustRightInd w:val="0"/>
              <w:spacing w:before="120" w:after="120" w:line="240" w:lineRule="auto"/>
              <w:jc w:val="both"/>
              <w:rPr>
                <w:rFonts w:ascii="Arial" w:eastAsia="Calibri" w:hAnsi="Arial" w:cs="Arial"/>
              </w:rPr>
            </w:pPr>
            <w:r w:rsidRPr="00680DFC">
              <w:rPr>
                <w:rFonts w:ascii="Arial" w:eastAsia="Calibri" w:hAnsi="Arial" w:cs="Arial"/>
              </w:rPr>
              <w:t>Primary health care settings, voluntary counselling and testing sites, ART clinics, antenatal care, family planning clinics, sexually transmitted infection clinics, community and mobile outreach, home.</w:t>
            </w:r>
          </w:p>
        </w:tc>
      </w:tr>
      <w:tr w:rsidR="0071027C" w:rsidRPr="00680DFC" w:rsidTr="0071027C">
        <w:tc>
          <w:tcPr>
            <w:tcW w:w="2448" w:type="dxa"/>
            <w:shd w:val="clear" w:color="auto" w:fill="D6E3BC" w:themeFill="accent3" w:themeFillTint="66"/>
          </w:tcPr>
          <w:p w:rsidR="0071027C" w:rsidRPr="00680DFC" w:rsidRDefault="0071027C" w:rsidP="0071027C">
            <w:pPr>
              <w:autoSpaceDE w:val="0"/>
              <w:autoSpaceDN w:val="0"/>
              <w:adjustRightInd w:val="0"/>
              <w:spacing w:before="120" w:after="120" w:line="240" w:lineRule="auto"/>
              <w:jc w:val="both"/>
              <w:rPr>
                <w:rFonts w:ascii="Arial" w:eastAsia="Calibri" w:hAnsi="Arial" w:cs="Arial"/>
                <w:b/>
              </w:rPr>
            </w:pPr>
            <w:r w:rsidRPr="00680DFC">
              <w:rPr>
                <w:rFonts w:ascii="Arial" w:eastAsia="Calibri" w:hAnsi="Arial" w:cs="Arial"/>
                <w:b/>
              </w:rPr>
              <w:t>Families of index cases</w:t>
            </w:r>
          </w:p>
        </w:tc>
        <w:tc>
          <w:tcPr>
            <w:tcW w:w="3600" w:type="dxa"/>
          </w:tcPr>
          <w:p w:rsidR="0071027C" w:rsidRPr="00680DFC" w:rsidRDefault="0071027C" w:rsidP="0071027C">
            <w:pPr>
              <w:autoSpaceDE w:val="0"/>
              <w:autoSpaceDN w:val="0"/>
              <w:adjustRightInd w:val="0"/>
              <w:spacing w:before="120" w:after="120" w:line="240" w:lineRule="auto"/>
              <w:jc w:val="both"/>
              <w:rPr>
                <w:rFonts w:ascii="Arial" w:eastAsia="Calibri" w:hAnsi="Arial" w:cs="Arial"/>
              </w:rPr>
            </w:pPr>
            <w:r w:rsidRPr="00680DFC">
              <w:rPr>
                <w:rFonts w:ascii="Arial" w:eastAsia="Calibri" w:hAnsi="Arial" w:cs="Arial"/>
              </w:rPr>
              <w:t>As soon as possible after the family member is diagnosed</w:t>
            </w:r>
          </w:p>
        </w:tc>
        <w:tc>
          <w:tcPr>
            <w:tcW w:w="3870" w:type="dxa"/>
          </w:tcPr>
          <w:p w:rsidR="0071027C" w:rsidRPr="00680DFC" w:rsidRDefault="0071027C" w:rsidP="0071027C">
            <w:pPr>
              <w:autoSpaceDE w:val="0"/>
              <w:autoSpaceDN w:val="0"/>
              <w:adjustRightInd w:val="0"/>
              <w:spacing w:before="120" w:after="120" w:line="240" w:lineRule="auto"/>
              <w:jc w:val="both"/>
              <w:rPr>
                <w:rFonts w:ascii="Arial" w:eastAsia="Calibri" w:hAnsi="Arial" w:cs="Arial"/>
              </w:rPr>
            </w:pPr>
            <w:r w:rsidRPr="00680DFC">
              <w:rPr>
                <w:rFonts w:ascii="Arial" w:eastAsia="Calibri" w:hAnsi="Arial" w:cs="Arial"/>
              </w:rPr>
              <w:t>Primary health care settings, ART clinics, maternal and child health and antenatal care settings, homes and community and mobile outreach.</w:t>
            </w:r>
          </w:p>
        </w:tc>
      </w:tr>
      <w:tr w:rsidR="0071027C" w:rsidRPr="00680DFC" w:rsidTr="0071027C">
        <w:tc>
          <w:tcPr>
            <w:tcW w:w="2448" w:type="dxa"/>
            <w:shd w:val="clear" w:color="auto" w:fill="D6E3BC" w:themeFill="accent3" w:themeFillTint="66"/>
          </w:tcPr>
          <w:p w:rsidR="0071027C" w:rsidRPr="00680DFC" w:rsidRDefault="0071027C" w:rsidP="0071027C">
            <w:pPr>
              <w:autoSpaceDE w:val="0"/>
              <w:autoSpaceDN w:val="0"/>
              <w:adjustRightInd w:val="0"/>
              <w:spacing w:before="120" w:after="120" w:line="240" w:lineRule="auto"/>
              <w:rPr>
                <w:rFonts w:ascii="Arial" w:eastAsia="Calibri" w:hAnsi="Arial" w:cs="Arial"/>
                <w:b/>
              </w:rPr>
            </w:pPr>
            <w:r w:rsidRPr="00680DFC">
              <w:rPr>
                <w:rFonts w:ascii="Arial" w:eastAsia="Calibri" w:hAnsi="Arial" w:cs="Arial"/>
                <w:b/>
              </w:rPr>
              <w:t xml:space="preserve">Key populations: </w:t>
            </w:r>
            <w:r w:rsidRPr="00680DFC">
              <w:rPr>
                <w:rFonts w:ascii="Arial" w:eastAsia="Calibri" w:hAnsi="Arial" w:cs="Arial"/>
              </w:rPr>
              <w:t>people who inject drugs, men who have sex with men, transgender people, sex workers, prisoners, and partners of people who inject drugs</w:t>
            </w:r>
          </w:p>
        </w:tc>
        <w:tc>
          <w:tcPr>
            <w:tcW w:w="3600" w:type="dxa"/>
          </w:tcPr>
          <w:p w:rsidR="0071027C" w:rsidRPr="00680DFC" w:rsidRDefault="0071027C" w:rsidP="0071027C">
            <w:pPr>
              <w:autoSpaceDE w:val="0"/>
              <w:autoSpaceDN w:val="0"/>
              <w:adjustRightInd w:val="0"/>
              <w:spacing w:before="120" w:after="120" w:line="240" w:lineRule="auto"/>
              <w:jc w:val="both"/>
              <w:rPr>
                <w:rFonts w:ascii="Arial" w:eastAsia="Calibri" w:hAnsi="Arial" w:cs="Arial"/>
              </w:rPr>
            </w:pPr>
            <w:r w:rsidRPr="00680DFC">
              <w:rPr>
                <w:rFonts w:ascii="Arial" w:eastAsia="Calibri" w:hAnsi="Arial" w:cs="Arial"/>
              </w:rPr>
              <w:t>Every 6 months</w:t>
            </w:r>
          </w:p>
        </w:tc>
        <w:tc>
          <w:tcPr>
            <w:tcW w:w="3870" w:type="dxa"/>
          </w:tcPr>
          <w:p w:rsidR="0071027C" w:rsidRPr="00680DFC" w:rsidRDefault="0071027C" w:rsidP="0071027C">
            <w:pPr>
              <w:autoSpaceDE w:val="0"/>
              <w:autoSpaceDN w:val="0"/>
              <w:adjustRightInd w:val="0"/>
              <w:spacing w:before="120" w:after="120" w:line="240" w:lineRule="auto"/>
              <w:jc w:val="both"/>
              <w:rPr>
                <w:rFonts w:ascii="Arial" w:eastAsia="Calibri" w:hAnsi="Arial" w:cs="Arial"/>
              </w:rPr>
            </w:pPr>
            <w:r w:rsidRPr="00680DFC">
              <w:rPr>
                <w:rFonts w:ascii="Arial" w:eastAsia="Calibri" w:hAnsi="Arial" w:cs="Arial"/>
              </w:rPr>
              <w:t>Primary health care settings, sexually transmitted infections clinics and outreach services, including harm reduction and other sites providing services to key populations.</w:t>
            </w:r>
          </w:p>
        </w:tc>
      </w:tr>
      <w:tr w:rsidR="0071027C" w:rsidRPr="00680DFC" w:rsidTr="0071027C">
        <w:tc>
          <w:tcPr>
            <w:tcW w:w="2448" w:type="dxa"/>
            <w:shd w:val="clear" w:color="auto" w:fill="D6E3BC" w:themeFill="accent3" w:themeFillTint="66"/>
          </w:tcPr>
          <w:p w:rsidR="0071027C" w:rsidRPr="00680DFC" w:rsidRDefault="0071027C" w:rsidP="0071027C">
            <w:pPr>
              <w:autoSpaceDE w:val="0"/>
              <w:autoSpaceDN w:val="0"/>
              <w:adjustRightInd w:val="0"/>
              <w:spacing w:before="120" w:after="120" w:line="240" w:lineRule="auto"/>
              <w:jc w:val="both"/>
              <w:rPr>
                <w:rFonts w:ascii="Arial" w:eastAsia="Calibri" w:hAnsi="Arial" w:cs="Arial"/>
                <w:b/>
              </w:rPr>
            </w:pPr>
            <w:r w:rsidRPr="00680DFC">
              <w:rPr>
                <w:rFonts w:ascii="Arial" w:eastAsia="Calibri" w:hAnsi="Arial" w:cs="Arial"/>
                <w:b/>
              </w:rPr>
              <w:t>Pregnant women and male partners</w:t>
            </w:r>
          </w:p>
        </w:tc>
        <w:tc>
          <w:tcPr>
            <w:tcW w:w="3600" w:type="dxa"/>
          </w:tcPr>
          <w:p w:rsidR="0071027C" w:rsidRPr="00680DFC" w:rsidRDefault="0071027C" w:rsidP="0071027C">
            <w:pPr>
              <w:autoSpaceDE w:val="0"/>
              <w:autoSpaceDN w:val="0"/>
              <w:adjustRightInd w:val="0"/>
              <w:spacing w:before="120" w:after="120" w:line="240" w:lineRule="auto"/>
              <w:jc w:val="both"/>
              <w:rPr>
                <w:rFonts w:ascii="Arial" w:eastAsia="Calibri" w:hAnsi="Arial" w:cs="Arial"/>
              </w:rPr>
            </w:pPr>
            <w:r w:rsidRPr="00680DFC">
              <w:rPr>
                <w:rFonts w:ascii="Arial" w:eastAsia="Calibri" w:hAnsi="Arial" w:cs="Arial"/>
              </w:rPr>
              <w:t>At first antenatal care visit</w:t>
            </w:r>
          </w:p>
          <w:p w:rsidR="0071027C" w:rsidRPr="00680DFC" w:rsidRDefault="0071027C" w:rsidP="0071027C">
            <w:pPr>
              <w:autoSpaceDE w:val="0"/>
              <w:autoSpaceDN w:val="0"/>
              <w:adjustRightInd w:val="0"/>
              <w:spacing w:before="120" w:after="120" w:line="240" w:lineRule="auto"/>
              <w:jc w:val="both"/>
              <w:rPr>
                <w:rFonts w:ascii="Arial" w:eastAsia="Calibri" w:hAnsi="Arial" w:cs="Arial"/>
              </w:rPr>
            </w:pPr>
          </w:p>
          <w:p w:rsidR="0071027C" w:rsidRPr="00680DFC" w:rsidRDefault="0071027C" w:rsidP="0071027C">
            <w:pPr>
              <w:autoSpaceDE w:val="0"/>
              <w:autoSpaceDN w:val="0"/>
              <w:adjustRightInd w:val="0"/>
              <w:spacing w:before="120" w:after="120" w:line="240" w:lineRule="auto"/>
              <w:jc w:val="both"/>
              <w:rPr>
                <w:rFonts w:ascii="Arial" w:eastAsia="Calibri" w:hAnsi="Arial" w:cs="Arial"/>
              </w:rPr>
            </w:pPr>
            <w:r w:rsidRPr="00680DFC">
              <w:rPr>
                <w:rFonts w:ascii="Arial" w:eastAsia="Calibri" w:hAnsi="Arial" w:cs="Arial"/>
              </w:rPr>
              <w:t>Re-test in third trimester or peripartum</w:t>
            </w:r>
          </w:p>
          <w:p w:rsidR="0071027C" w:rsidRPr="00680DFC" w:rsidRDefault="0071027C" w:rsidP="0071027C">
            <w:pPr>
              <w:autoSpaceDE w:val="0"/>
              <w:autoSpaceDN w:val="0"/>
              <w:adjustRightInd w:val="0"/>
              <w:spacing w:before="120" w:after="120" w:line="240" w:lineRule="auto"/>
              <w:jc w:val="both"/>
              <w:rPr>
                <w:rFonts w:ascii="Arial" w:eastAsia="Calibri" w:hAnsi="Arial" w:cs="Arial"/>
              </w:rPr>
            </w:pPr>
          </w:p>
          <w:p w:rsidR="0071027C" w:rsidRPr="00680DFC" w:rsidRDefault="0071027C" w:rsidP="0071027C">
            <w:pPr>
              <w:autoSpaceDE w:val="0"/>
              <w:autoSpaceDN w:val="0"/>
              <w:adjustRightInd w:val="0"/>
              <w:spacing w:before="120" w:after="120" w:line="240" w:lineRule="auto"/>
              <w:jc w:val="both"/>
              <w:rPr>
                <w:rFonts w:ascii="Arial" w:eastAsia="Calibri" w:hAnsi="Arial" w:cs="Arial"/>
              </w:rPr>
            </w:pPr>
            <w:r w:rsidRPr="00680DFC">
              <w:rPr>
                <w:rFonts w:ascii="Arial" w:eastAsia="Calibri" w:hAnsi="Arial" w:cs="Arial"/>
              </w:rPr>
              <w:t>Offer partner testing</w:t>
            </w:r>
          </w:p>
        </w:tc>
        <w:tc>
          <w:tcPr>
            <w:tcW w:w="3870" w:type="dxa"/>
          </w:tcPr>
          <w:p w:rsidR="0071027C" w:rsidRPr="00680DFC" w:rsidRDefault="0071027C" w:rsidP="0071027C">
            <w:pPr>
              <w:autoSpaceDE w:val="0"/>
              <w:autoSpaceDN w:val="0"/>
              <w:adjustRightInd w:val="0"/>
              <w:spacing w:before="120" w:after="120" w:line="240" w:lineRule="auto"/>
              <w:jc w:val="both"/>
              <w:rPr>
                <w:rFonts w:ascii="Arial" w:eastAsia="Calibri" w:hAnsi="Arial" w:cs="Arial"/>
              </w:rPr>
            </w:pPr>
            <w:r w:rsidRPr="00680DFC">
              <w:rPr>
                <w:rFonts w:ascii="Arial" w:eastAsia="Calibri" w:hAnsi="Arial" w:cs="Arial"/>
              </w:rPr>
              <w:t>Antenatal care, delivery, postpartum</w:t>
            </w:r>
          </w:p>
        </w:tc>
      </w:tr>
      <w:tr w:rsidR="0071027C" w:rsidRPr="00680DFC" w:rsidTr="0071027C">
        <w:trPr>
          <w:trHeight w:val="1104"/>
        </w:trPr>
        <w:tc>
          <w:tcPr>
            <w:tcW w:w="2448" w:type="dxa"/>
            <w:shd w:val="clear" w:color="auto" w:fill="D6E3BC" w:themeFill="accent3" w:themeFillTint="66"/>
          </w:tcPr>
          <w:p w:rsidR="0071027C" w:rsidRPr="00680DFC" w:rsidRDefault="0071027C" w:rsidP="0071027C">
            <w:pPr>
              <w:autoSpaceDE w:val="0"/>
              <w:autoSpaceDN w:val="0"/>
              <w:adjustRightInd w:val="0"/>
              <w:spacing w:before="120" w:after="120" w:line="240" w:lineRule="auto"/>
              <w:jc w:val="both"/>
              <w:rPr>
                <w:rFonts w:ascii="Arial" w:eastAsia="Calibri" w:hAnsi="Arial" w:cs="Arial"/>
                <w:b/>
              </w:rPr>
            </w:pPr>
            <w:r w:rsidRPr="00680DFC">
              <w:rPr>
                <w:rFonts w:ascii="Arial" w:eastAsia="Calibri" w:hAnsi="Arial" w:cs="Arial"/>
                <w:b/>
              </w:rPr>
              <w:t>Infants and children &lt;18 months</w:t>
            </w:r>
          </w:p>
        </w:tc>
        <w:tc>
          <w:tcPr>
            <w:tcW w:w="3600" w:type="dxa"/>
          </w:tcPr>
          <w:p w:rsidR="0071027C" w:rsidRPr="00680DFC" w:rsidRDefault="0071027C" w:rsidP="0071027C">
            <w:pPr>
              <w:autoSpaceDE w:val="0"/>
              <w:autoSpaceDN w:val="0"/>
              <w:adjustRightInd w:val="0"/>
              <w:spacing w:before="120" w:after="120" w:line="240" w:lineRule="auto"/>
              <w:jc w:val="both"/>
              <w:rPr>
                <w:rFonts w:ascii="Arial" w:eastAsia="Calibri" w:hAnsi="Arial" w:cs="Arial"/>
              </w:rPr>
            </w:pPr>
            <w:r w:rsidRPr="00680DFC">
              <w:rPr>
                <w:rFonts w:ascii="Arial" w:eastAsia="Calibri" w:hAnsi="Arial" w:cs="Arial"/>
              </w:rPr>
              <w:t xml:space="preserve">Early infant diagnosis at 4–6 weeks for all infants whose </w:t>
            </w:r>
          </w:p>
        </w:tc>
        <w:tc>
          <w:tcPr>
            <w:tcW w:w="3870" w:type="dxa"/>
          </w:tcPr>
          <w:p w:rsidR="0071027C" w:rsidRPr="00680DFC" w:rsidRDefault="0071027C" w:rsidP="0071027C">
            <w:pPr>
              <w:autoSpaceDE w:val="0"/>
              <w:autoSpaceDN w:val="0"/>
              <w:adjustRightInd w:val="0"/>
              <w:spacing w:before="120" w:after="120" w:line="240" w:lineRule="auto"/>
              <w:jc w:val="both"/>
              <w:rPr>
                <w:rFonts w:ascii="Arial" w:eastAsia="Calibri" w:hAnsi="Arial" w:cs="Arial"/>
              </w:rPr>
            </w:pPr>
            <w:r w:rsidRPr="00680DFC">
              <w:rPr>
                <w:rFonts w:ascii="Arial" w:eastAsia="Calibri" w:hAnsi="Arial" w:cs="Arial"/>
              </w:rPr>
              <w:t>Maternal and child health services</w:t>
            </w:r>
          </w:p>
          <w:p w:rsidR="0071027C" w:rsidRPr="00680DFC" w:rsidRDefault="0071027C" w:rsidP="0071027C">
            <w:pPr>
              <w:autoSpaceDE w:val="0"/>
              <w:autoSpaceDN w:val="0"/>
              <w:adjustRightInd w:val="0"/>
              <w:spacing w:before="120" w:after="120" w:line="240" w:lineRule="auto"/>
              <w:jc w:val="both"/>
              <w:rPr>
                <w:rFonts w:ascii="Arial" w:eastAsia="Calibri" w:hAnsi="Arial" w:cs="Arial"/>
              </w:rPr>
            </w:pPr>
          </w:p>
        </w:tc>
      </w:tr>
      <w:tr w:rsidR="0071027C" w:rsidRPr="00680DFC" w:rsidTr="0071027C">
        <w:tc>
          <w:tcPr>
            <w:tcW w:w="2448" w:type="dxa"/>
            <w:shd w:val="clear" w:color="auto" w:fill="D6E3BC" w:themeFill="accent3" w:themeFillTint="66"/>
          </w:tcPr>
          <w:p w:rsidR="0071027C" w:rsidRPr="00680DFC" w:rsidRDefault="0071027C" w:rsidP="0071027C">
            <w:pPr>
              <w:autoSpaceDE w:val="0"/>
              <w:autoSpaceDN w:val="0"/>
              <w:adjustRightInd w:val="0"/>
              <w:spacing w:before="120" w:after="120" w:line="240" w:lineRule="auto"/>
              <w:jc w:val="both"/>
              <w:rPr>
                <w:rFonts w:ascii="Arial" w:eastAsia="Calibri" w:hAnsi="Arial" w:cs="Arial"/>
                <w:b/>
              </w:rPr>
            </w:pPr>
            <w:r w:rsidRPr="00680DFC">
              <w:rPr>
                <w:rFonts w:ascii="Arial" w:eastAsia="Calibri" w:hAnsi="Arial" w:cs="Arial"/>
                <w:b/>
              </w:rPr>
              <w:lastRenderedPageBreak/>
              <w:t xml:space="preserve"> Old</w:t>
            </w:r>
          </w:p>
        </w:tc>
        <w:tc>
          <w:tcPr>
            <w:tcW w:w="3600" w:type="dxa"/>
          </w:tcPr>
          <w:p w:rsidR="0071027C" w:rsidRPr="00680DFC" w:rsidRDefault="0071027C" w:rsidP="0071027C">
            <w:pPr>
              <w:autoSpaceDE w:val="0"/>
              <w:autoSpaceDN w:val="0"/>
              <w:adjustRightInd w:val="0"/>
              <w:spacing w:before="120" w:after="120" w:line="240" w:lineRule="auto"/>
              <w:jc w:val="both"/>
              <w:rPr>
                <w:rFonts w:ascii="Arial" w:eastAsia="Calibri" w:hAnsi="Arial" w:cs="Arial"/>
              </w:rPr>
            </w:pPr>
            <w:r w:rsidRPr="00680DFC">
              <w:rPr>
                <w:rFonts w:ascii="Arial" w:eastAsia="Calibri" w:hAnsi="Arial" w:cs="Arial"/>
              </w:rPr>
              <w:t>mothers are living with HIV or if maternal HIV status is  unknown; determine the final infant HIV infection status after 18 months and/or when breastfeeding ends</w:t>
            </w:r>
          </w:p>
        </w:tc>
        <w:tc>
          <w:tcPr>
            <w:tcW w:w="3870" w:type="dxa"/>
          </w:tcPr>
          <w:p w:rsidR="0071027C" w:rsidRPr="00680DFC" w:rsidRDefault="0071027C" w:rsidP="0071027C">
            <w:pPr>
              <w:autoSpaceDE w:val="0"/>
              <w:autoSpaceDN w:val="0"/>
              <w:adjustRightInd w:val="0"/>
              <w:spacing w:before="120" w:after="120" w:line="240" w:lineRule="auto"/>
              <w:jc w:val="both"/>
              <w:rPr>
                <w:rFonts w:ascii="Arial" w:eastAsia="Calibri" w:hAnsi="Arial" w:cs="Arial"/>
              </w:rPr>
            </w:pPr>
            <w:r w:rsidRPr="00680DFC">
              <w:rPr>
                <w:rFonts w:ascii="Arial" w:eastAsia="Calibri" w:hAnsi="Arial" w:cs="Arial"/>
              </w:rPr>
              <w:t>Paediatric clinics</w:t>
            </w:r>
          </w:p>
          <w:p w:rsidR="0071027C" w:rsidRPr="00680DFC" w:rsidRDefault="0071027C" w:rsidP="0071027C">
            <w:pPr>
              <w:autoSpaceDE w:val="0"/>
              <w:autoSpaceDN w:val="0"/>
              <w:adjustRightInd w:val="0"/>
              <w:spacing w:before="120" w:after="120" w:line="240" w:lineRule="auto"/>
              <w:jc w:val="both"/>
              <w:rPr>
                <w:rFonts w:ascii="Arial" w:eastAsia="Calibri" w:hAnsi="Arial" w:cs="Arial"/>
              </w:rPr>
            </w:pPr>
          </w:p>
          <w:p w:rsidR="0071027C" w:rsidRPr="00680DFC" w:rsidRDefault="0071027C" w:rsidP="0071027C">
            <w:pPr>
              <w:autoSpaceDE w:val="0"/>
              <w:autoSpaceDN w:val="0"/>
              <w:adjustRightInd w:val="0"/>
              <w:spacing w:before="120" w:after="120" w:line="240" w:lineRule="auto"/>
              <w:jc w:val="both"/>
              <w:rPr>
                <w:rFonts w:ascii="Arial" w:eastAsia="Calibri" w:hAnsi="Arial" w:cs="Arial"/>
              </w:rPr>
            </w:pPr>
            <w:r w:rsidRPr="00680DFC">
              <w:rPr>
                <w:rFonts w:ascii="Arial" w:eastAsia="Calibri" w:hAnsi="Arial" w:cs="Arial"/>
              </w:rPr>
              <w:t>Immunization clinics</w:t>
            </w:r>
          </w:p>
        </w:tc>
      </w:tr>
      <w:tr w:rsidR="0071027C" w:rsidRPr="00680DFC" w:rsidTr="0071027C">
        <w:tc>
          <w:tcPr>
            <w:tcW w:w="2448" w:type="dxa"/>
            <w:shd w:val="clear" w:color="auto" w:fill="D6E3BC" w:themeFill="accent3" w:themeFillTint="66"/>
          </w:tcPr>
          <w:p w:rsidR="0071027C" w:rsidRPr="00680DFC" w:rsidRDefault="0071027C" w:rsidP="0071027C">
            <w:pPr>
              <w:autoSpaceDE w:val="0"/>
              <w:autoSpaceDN w:val="0"/>
              <w:adjustRightInd w:val="0"/>
              <w:spacing w:before="120" w:after="120" w:line="240" w:lineRule="auto"/>
              <w:jc w:val="both"/>
              <w:rPr>
                <w:rFonts w:ascii="Arial" w:eastAsia="Calibri" w:hAnsi="Arial" w:cs="Arial"/>
                <w:b/>
              </w:rPr>
            </w:pPr>
            <w:r w:rsidRPr="00680DFC">
              <w:rPr>
                <w:rFonts w:ascii="Arial" w:eastAsia="Calibri" w:hAnsi="Arial" w:cs="Arial"/>
                <w:b/>
              </w:rPr>
              <w:t>Children</w:t>
            </w:r>
          </w:p>
        </w:tc>
        <w:tc>
          <w:tcPr>
            <w:tcW w:w="3600" w:type="dxa"/>
          </w:tcPr>
          <w:p w:rsidR="0071027C" w:rsidRPr="00680DFC" w:rsidRDefault="0071027C" w:rsidP="0071027C">
            <w:pPr>
              <w:autoSpaceDE w:val="0"/>
              <w:autoSpaceDN w:val="0"/>
              <w:adjustRightInd w:val="0"/>
              <w:spacing w:before="120" w:after="120" w:line="240" w:lineRule="auto"/>
              <w:jc w:val="both"/>
              <w:rPr>
                <w:rFonts w:ascii="Arial" w:eastAsia="Calibri" w:hAnsi="Arial" w:cs="Arial"/>
              </w:rPr>
            </w:pPr>
            <w:r w:rsidRPr="00680DFC">
              <w:rPr>
                <w:rFonts w:ascii="Arial" w:eastAsia="Calibri" w:hAnsi="Arial" w:cs="Arial"/>
              </w:rPr>
              <w:t>Establish HIV status for all health contacts</w:t>
            </w:r>
          </w:p>
        </w:tc>
        <w:tc>
          <w:tcPr>
            <w:tcW w:w="3870" w:type="dxa"/>
          </w:tcPr>
          <w:p w:rsidR="0071027C" w:rsidRPr="00680DFC" w:rsidRDefault="0071027C" w:rsidP="0071027C">
            <w:pPr>
              <w:autoSpaceDE w:val="0"/>
              <w:autoSpaceDN w:val="0"/>
              <w:adjustRightInd w:val="0"/>
              <w:spacing w:before="120" w:after="120" w:line="240" w:lineRule="auto"/>
              <w:jc w:val="both"/>
              <w:rPr>
                <w:rFonts w:ascii="Arial" w:eastAsia="Calibri" w:hAnsi="Arial" w:cs="Arial"/>
              </w:rPr>
            </w:pPr>
            <w:r w:rsidRPr="00680DFC">
              <w:rPr>
                <w:rFonts w:ascii="Arial" w:eastAsia="Calibri" w:hAnsi="Arial" w:cs="Arial"/>
              </w:rPr>
              <w:t>Child inpatients and outpatients, immunization clinics.</w:t>
            </w:r>
          </w:p>
        </w:tc>
      </w:tr>
      <w:tr w:rsidR="0071027C" w:rsidRPr="00680DFC" w:rsidTr="0071027C">
        <w:tc>
          <w:tcPr>
            <w:tcW w:w="2448" w:type="dxa"/>
            <w:shd w:val="clear" w:color="auto" w:fill="D6E3BC" w:themeFill="accent3" w:themeFillTint="66"/>
          </w:tcPr>
          <w:p w:rsidR="0071027C" w:rsidRPr="00680DFC" w:rsidRDefault="0071027C" w:rsidP="0071027C">
            <w:pPr>
              <w:autoSpaceDE w:val="0"/>
              <w:autoSpaceDN w:val="0"/>
              <w:adjustRightInd w:val="0"/>
              <w:spacing w:before="120" w:after="120" w:line="240" w:lineRule="auto"/>
              <w:jc w:val="both"/>
              <w:rPr>
                <w:rFonts w:ascii="Arial" w:eastAsia="Calibri" w:hAnsi="Arial" w:cs="Arial"/>
                <w:b/>
              </w:rPr>
            </w:pPr>
            <w:r w:rsidRPr="00680DFC">
              <w:rPr>
                <w:rFonts w:ascii="Arial" w:eastAsia="Calibri" w:hAnsi="Arial" w:cs="Arial"/>
                <w:b/>
              </w:rPr>
              <w:t>Adolescents</w:t>
            </w:r>
          </w:p>
        </w:tc>
        <w:tc>
          <w:tcPr>
            <w:tcW w:w="3600" w:type="dxa"/>
          </w:tcPr>
          <w:p w:rsidR="0071027C" w:rsidRPr="00680DFC" w:rsidRDefault="0071027C" w:rsidP="0071027C">
            <w:pPr>
              <w:autoSpaceDE w:val="0"/>
              <w:autoSpaceDN w:val="0"/>
              <w:adjustRightInd w:val="0"/>
              <w:spacing w:before="120" w:after="120" w:line="240" w:lineRule="auto"/>
              <w:jc w:val="both"/>
              <w:rPr>
                <w:rFonts w:ascii="Arial" w:eastAsia="Calibri" w:hAnsi="Arial" w:cs="Arial"/>
              </w:rPr>
            </w:pPr>
            <w:r w:rsidRPr="00680DFC">
              <w:rPr>
                <w:rFonts w:ascii="Arial" w:eastAsia="Calibri" w:hAnsi="Arial" w:cs="Arial"/>
              </w:rPr>
              <w:t>Integrate into all health care  encounters Annually if sexually</w:t>
            </w:r>
          </w:p>
          <w:p w:rsidR="0071027C" w:rsidRPr="00680DFC" w:rsidRDefault="0071027C" w:rsidP="0071027C">
            <w:pPr>
              <w:autoSpaceDE w:val="0"/>
              <w:autoSpaceDN w:val="0"/>
              <w:adjustRightInd w:val="0"/>
              <w:spacing w:before="120" w:after="120" w:line="240" w:lineRule="auto"/>
              <w:jc w:val="both"/>
              <w:rPr>
                <w:rFonts w:ascii="Arial" w:eastAsia="Calibri" w:hAnsi="Arial" w:cs="Arial"/>
              </w:rPr>
            </w:pPr>
            <w:r w:rsidRPr="00680DFC">
              <w:rPr>
                <w:rFonts w:ascii="Arial" w:eastAsia="Calibri" w:hAnsi="Arial" w:cs="Arial"/>
              </w:rPr>
              <w:t>active; with new sexual partners</w:t>
            </w:r>
          </w:p>
        </w:tc>
        <w:tc>
          <w:tcPr>
            <w:tcW w:w="3870" w:type="dxa"/>
          </w:tcPr>
          <w:p w:rsidR="0071027C" w:rsidRPr="00680DFC" w:rsidRDefault="0071027C" w:rsidP="0071027C">
            <w:pPr>
              <w:autoSpaceDE w:val="0"/>
              <w:autoSpaceDN w:val="0"/>
              <w:adjustRightInd w:val="0"/>
              <w:spacing w:before="120" w:after="120" w:line="240" w:lineRule="auto"/>
              <w:jc w:val="both"/>
              <w:rPr>
                <w:rFonts w:ascii="Arial" w:eastAsia="Calibri" w:hAnsi="Arial" w:cs="Arial"/>
              </w:rPr>
            </w:pPr>
            <w:r w:rsidRPr="00680DFC">
              <w:rPr>
                <w:rFonts w:ascii="Arial" w:eastAsia="Calibri" w:hAnsi="Arial" w:cs="Arial"/>
              </w:rPr>
              <w:t>Primary health care, outpatients, inpatients, voluntary counselling and testing sites, youth-friendly services, family planning and sexually transmitted infections clinics.</w:t>
            </w:r>
          </w:p>
        </w:tc>
      </w:tr>
    </w:tbl>
    <w:p w:rsidR="0071027C" w:rsidRDefault="0071027C" w:rsidP="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Pr="002F03DF" w:rsidRDefault="0071027C" w:rsidP="0071027C">
      <w:pPr>
        <w:pStyle w:val="Heading1"/>
      </w:pPr>
      <w:bookmarkStart w:id="158" w:name="_Toc374957216"/>
      <w:bookmarkStart w:id="159" w:name="_Toc378258118"/>
      <w:bookmarkStart w:id="160" w:name="_Toc382213981"/>
      <w:r w:rsidRPr="002F03DF">
        <w:lastRenderedPageBreak/>
        <w:t>CHAPTER 4:</w:t>
      </w:r>
      <w:r w:rsidRPr="002F03DF">
        <w:tab/>
        <w:t>LABORATORY TESTS FOR HIV AND AIDS</w:t>
      </w:r>
      <w:bookmarkEnd w:id="158"/>
      <w:bookmarkEnd w:id="159"/>
      <w:bookmarkEnd w:id="160"/>
    </w:p>
    <w:p w:rsidR="0071027C" w:rsidRPr="002F03DF" w:rsidRDefault="0071027C" w:rsidP="0071027C">
      <w:pPr>
        <w:pStyle w:val="Heading2"/>
      </w:pPr>
      <w:bookmarkStart w:id="161" w:name="_Toc374957217"/>
      <w:bookmarkStart w:id="162" w:name="_Toc378258119"/>
      <w:bookmarkStart w:id="163" w:name="_Toc382213982"/>
      <w:r w:rsidRPr="002F03DF">
        <w:t>4.1 Introduction</w:t>
      </w:r>
      <w:bookmarkEnd w:id="161"/>
      <w:bookmarkEnd w:id="162"/>
      <w:bookmarkEnd w:id="163"/>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hAnsi="Arial" w:cs="Arial"/>
        </w:rPr>
        <w:t xml:space="preserve">Laboratory testing is an important integral </w:t>
      </w:r>
      <w:r>
        <w:rPr>
          <w:rFonts w:ascii="Arial" w:hAnsi="Arial" w:cs="Arial"/>
        </w:rPr>
        <w:t>part of HIV and AIDS prevention;</w:t>
      </w:r>
      <w:r w:rsidRPr="002F03DF">
        <w:rPr>
          <w:rFonts w:ascii="Arial" w:hAnsi="Arial" w:cs="Arial"/>
        </w:rPr>
        <w:t xml:space="preserve"> care, and treatment</w:t>
      </w:r>
      <w:r>
        <w:rPr>
          <w:rFonts w:ascii="Arial" w:hAnsi="Arial" w:cs="Arial"/>
        </w:rPr>
        <w:t>;</w:t>
      </w:r>
      <w:r w:rsidRPr="002F03DF">
        <w:rPr>
          <w:rFonts w:ascii="Arial" w:hAnsi="Arial" w:cs="Arial"/>
        </w:rPr>
        <w:t xml:space="preserve"> and support services. The tests that are done provide important information on an individual’s HIV status, disease staging, treatment eligibility and patient monitoring (viral load and CD4 count levels, toxicities and adverse reactions), and detection of treatment failure.</w:t>
      </w:r>
    </w:p>
    <w:p w:rsidR="0071027C" w:rsidRPr="00CA1CF7" w:rsidRDefault="0071027C" w:rsidP="0071027C">
      <w:pPr>
        <w:pStyle w:val="Heading2"/>
      </w:pPr>
      <w:bookmarkStart w:id="164" w:name="_Toc374957218"/>
      <w:bookmarkStart w:id="165" w:name="_Toc378258120"/>
      <w:bookmarkStart w:id="166" w:name="_Toc382213983"/>
      <w:r w:rsidRPr="00CA1CF7">
        <w:t>4.2 Tests for HIV Diagnosis</w:t>
      </w:r>
      <w:bookmarkEnd w:id="164"/>
      <w:bookmarkEnd w:id="165"/>
      <w:bookmarkEnd w:id="166"/>
    </w:p>
    <w:p w:rsidR="0071027C" w:rsidRPr="00CA1CF7" w:rsidRDefault="0071027C" w:rsidP="0071027C">
      <w:pPr>
        <w:pStyle w:val="Heading3"/>
      </w:pPr>
      <w:bookmarkStart w:id="167" w:name="_Toc374957219"/>
      <w:bookmarkStart w:id="168" w:name="_Toc378258121"/>
      <w:bookmarkStart w:id="169" w:name="_Toc382213984"/>
      <w:r w:rsidRPr="00CA1CF7">
        <w:t>4.2.1 HIV Testing in Adults and Children over 18 Months</w:t>
      </w:r>
      <w:bookmarkEnd w:id="167"/>
      <w:bookmarkEnd w:id="168"/>
      <w:bookmarkEnd w:id="169"/>
    </w:p>
    <w:p w:rsidR="0071027C" w:rsidRPr="002F03DF" w:rsidRDefault="0071027C" w:rsidP="00B247C9">
      <w:pPr>
        <w:pStyle w:val="StyleJustifiedCharChar"/>
      </w:pPr>
      <w:r w:rsidRPr="002F03DF">
        <w:t xml:space="preserve">Diagnosis of HIV infection using a single HIV test is not sufficient; it requires confirmation through approved HIV testing algorithms. In adults and children older than 18 months diagnosis is commonly done by detection of antibodies to HIV using rapid tests or Enzyme Immunoassays (EIA). </w:t>
      </w:r>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hAnsi="Arial" w:cs="Arial"/>
        </w:rPr>
        <w:t xml:space="preserve">A testing algorithm describes the number, type and order of tests that need to be performed. The first test conducted is </w:t>
      </w:r>
      <w:r w:rsidRPr="002F03DF">
        <w:rPr>
          <w:rFonts w:ascii="Arial" w:hAnsi="Arial" w:cs="Arial"/>
          <w:b/>
        </w:rPr>
        <w:t>highly sensitive</w:t>
      </w:r>
      <w:r w:rsidRPr="002F03DF">
        <w:rPr>
          <w:rFonts w:ascii="Arial" w:hAnsi="Arial" w:cs="Arial"/>
        </w:rPr>
        <w:t xml:space="preserve">, and the second test is </w:t>
      </w:r>
      <w:r w:rsidRPr="002F03DF">
        <w:rPr>
          <w:rFonts w:ascii="Arial" w:hAnsi="Arial" w:cs="Arial"/>
          <w:b/>
        </w:rPr>
        <w:t>highly specific</w:t>
      </w:r>
      <w:r w:rsidRPr="002F03DF">
        <w:rPr>
          <w:rFonts w:ascii="Arial" w:hAnsi="Arial" w:cs="Arial"/>
        </w:rPr>
        <w:t>. All HIV testing facilities whether in public or private must adhere to national HIV testing algorithms.</w:t>
      </w:r>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hAnsi="Arial" w:cs="Arial"/>
        </w:rPr>
        <w:t>The national HIV rapid testing algorithm utilizes a ‘serial’ testing strategy. That is, blood sample is tested with one HIV test kit first, and a second test kit is used only when the first HIV test kit revealed an HIV-positive test result. The actual tests used in the national HIV testing algorithm may change from time to time, based on the availability of quality assessment results and introduction of new technologies.</w:t>
      </w:r>
    </w:p>
    <w:p w:rsidR="0071027C" w:rsidRPr="002F03DF" w:rsidRDefault="0071027C" w:rsidP="00AA771C">
      <w:pPr>
        <w:spacing w:beforeLines="120" w:before="288" w:afterLines="120" w:after="288" w:line="240" w:lineRule="auto"/>
        <w:jc w:val="both"/>
        <w:rPr>
          <w:rFonts w:ascii="Arial" w:hAnsi="Arial" w:cs="Arial"/>
        </w:rPr>
      </w:pPr>
      <w:r w:rsidRPr="002F03DF">
        <w:rPr>
          <w:rFonts w:ascii="Arial" w:hAnsi="Arial" w:cs="Arial"/>
        </w:rPr>
        <w:t>NHLS and NACP will conduct periodic or whenever necessary evaluation of the HIV rapid testing technologies and will update the national testing algorithm based on the results of these evaluations.</w:t>
      </w:r>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hAnsi="Arial" w:cs="Arial"/>
        </w:rPr>
        <w:t>The rapid tests can be done using whole blood, serum or plasma samples. Whenever possible, rapid testing will be done with a finger prick sample. HIV rapid testing can be performed in the laboratory or in non-laboratory hospital, clinic or community settings by licensed health care workers trained to performed HIV rapid tests. However, all testing done outside a laboratory setting must be supervised by qualified laboratory personnel to ensure accurate and quality results.</w:t>
      </w:r>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p>
    <w:p w:rsidR="0071027C" w:rsidRDefault="0071027C" w:rsidP="00AA771C">
      <w:pPr>
        <w:spacing w:beforeLines="120" w:before="288" w:afterLines="120" w:after="288" w:line="240" w:lineRule="auto"/>
        <w:jc w:val="both"/>
        <w:rPr>
          <w:rFonts w:ascii="Arial" w:hAnsi="Arial" w:cs="Arial"/>
        </w:rPr>
      </w:pPr>
    </w:p>
    <w:p w:rsidR="0071027C" w:rsidRPr="002F03DF" w:rsidRDefault="0071027C" w:rsidP="00AA771C">
      <w:pPr>
        <w:spacing w:beforeLines="120" w:before="288" w:afterLines="120" w:after="288" w:line="240" w:lineRule="auto"/>
        <w:jc w:val="both"/>
        <w:rPr>
          <w:rFonts w:ascii="Arial" w:hAnsi="Arial" w:cs="Arial"/>
        </w:rPr>
      </w:pPr>
    </w:p>
    <w:p w:rsidR="0071027C" w:rsidRPr="002F03DF" w:rsidRDefault="0071027C" w:rsidP="00AA771C">
      <w:pPr>
        <w:spacing w:beforeLines="120" w:before="288" w:afterLines="120" w:after="288" w:line="240" w:lineRule="auto"/>
        <w:jc w:val="both"/>
        <w:rPr>
          <w:rFonts w:ascii="Arial" w:hAnsi="Arial" w:cs="Arial"/>
          <w:b/>
        </w:rPr>
      </w:pPr>
      <w:r w:rsidRPr="002F03DF">
        <w:rPr>
          <w:rFonts w:ascii="Arial" w:hAnsi="Arial" w:cs="Arial"/>
          <w:b/>
        </w:rPr>
        <w:t xml:space="preserve">Figure 4.1: Tanzania National Testing Algorithm for persons Aged more than 18 months </w:t>
      </w:r>
    </w:p>
    <w:p w:rsidR="0071027C" w:rsidRPr="002F03DF" w:rsidRDefault="00AA771C" w:rsidP="00AA771C">
      <w:pPr>
        <w:spacing w:beforeLines="120" w:before="288" w:afterLines="120" w:after="288" w:line="240" w:lineRule="auto"/>
        <w:jc w:val="both"/>
        <w:rPr>
          <w:rFonts w:ascii="Arial" w:hAnsi="Arial" w:cs="Arial"/>
        </w:rPr>
      </w:pPr>
      <w:r>
        <w:rPr>
          <w:rFonts w:ascii="Arial" w:hAnsi="Arial" w:cs="Arial"/>
          <w:noProof/>
        </w:rPr>
        <w:lastRenderedPageBreak/>
        <mc:AlternateContent>
          <mc:Choice Requires="wpc">
            <w:drawing>
              <wp:inline distT="0" distB="0" distL="0" distR="0">
                <wp:extent cx="5344160" cy="6911340"/>
                <wp:effectExtent l="0" t="0" r="0" b="3810"/>
                <wp:docPr id="799" name="Canvas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621" name="Group 41"/>
                        <wpg:cNvGrpSpPr>
                          <a:grpSpLocks/>
                        </wpg:cNvGrpSpPr>
                        <wpg:grpSpPr bwMode="auto">
                          <a:xfrm>
                            <a:off x="629920" y="626745"/>
                            <a:ext cx="4283075" cy="6180455"/>
                            <a:chOff x="992" y="987"/>
                            <a:chExt cx="6745" cy="9733"/>
                          </a:xfrm>
                        </wpg:grpSpPr>
                        <wps:wsp>
                          <wps:cNvPr id="622" name="Rectangle 42"/>
                          <wps:cNvSpPr>
                            <a:spLocks noChangeArrowheads="1"/>
                          </wps:cNvSpPr>
                          <wps:spPr bwMode="auto">
                            <a:xfrm>
                              <a:off x="4133" y="10022"/>
                              <a:ext cx="1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56</w:t>
                                </w:r>
                              </w:p>
                            </w:txbxContent>
                          </wps:txbx>
                          <wps:bodyPr rot="0" vert="horz" wrap="none" lIns="0" tIns="0" rIns="0" bIns="0" anchor="t" anchorCtr="0" upright="1">
                            <a:spAutoFit/>
                          </wps:bodyPr>
                        </wps:wsp>
                        <wps:wsp>
                          <wps:cNvPr id="623" name="Rectangle 43"/>
                          <wps:cNvSpPr>
                            <a:spLocks noChangeArrowheads="1"/>
                          </wps:cNvSpPr>
                          <wps:spPr bwMode="auto">
                            <a:xfrm>
                              <a:off x="4298" y="10022"/>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w:t>
                                </w:r>
                              </w:p>
                            </w:txbxContent>
                          </wps:txbx>
                          <wps:bodyPr rot="0" vert="horz" wrap="none" lIns="0" tIns="0" rIns="0" bIns="0" anchor="t" anchorCtr="0" upright="1">
                            <a:spAutoFit/>
                          </wps:bodyPr>
                        </wps:wsp>
                        <wps:wsp>
                          <wps:cNvPr id="624" name="Rectangle 44"/>
                          <wps:cNvSpPr>
                            <a:spLocks noChangeArrowheads="1"/>
                          </wps:cNvSpPr>
                          <wps:spPr bwMode="auto">
                            <a:xfrm>
                              <a:off x="992" y="10211"/>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w:t>
                                </w:r>
                              </w:p>
                            </w:txbxContent>
                          </wps:txbx>
                          <wps:bodyPr rot="0" vert="horz" wrap="none" lIns="0" tIns="0" rIns="0" bIns="0" anchor="t" anchorCtr="0" upright="1">
                            <a:spAutoFit/>
                          </wps:bodyPr>
                        </wps:wsp>
                        <wps:wsp>
                          <wps:cNvPr id="625" name="Freeform 45"/>
                          <wps:cNvSpPr>
                            <a:spLocks/>
                          </wps:cNvSpPr>
                          <wps:spPr bwMode="auto">
                            <a:xfrm>
                              <a:off x="992" y="987"/>
                              <a:ext cx="6446" cy="191"/>
                            </a:xfrm>
                            <a:custGeom>
                              <a:avLst/>
                              <a:gdLst>
                                <a:gd name="T0" fmla="*/ 0 w 6241"/>
                                <a:gd name="T1" fmla="*/ 185 h 185"/>
                                <a:gd name="T2" fmla="*/ 0 w 6241"/>
                                <a:gd name="T3" fmla="*/ 185 h 185"/>
                                <a:gd name="T4" fmla="*/ 6241 w 6241"/>
                                <a:gd name="T5" fmla="*/ 185 h 185"/>
                                <a:gd name="T6" fmla="*/ 6241 w 6241"/>
                                <a:gd name="T7" fmla="*/ 0 h 185"/>
                                <a:gd name="T8" fmla="*/ 0 w 6241"/>
                                <a:gd name="T9" fmla="*/ 0 h 185"/>
                                <a:gd name="T10" fmla="*/ 0 w 6241"/>
                                <a:gd name="T11" fmla="*/ 185 h 185"/>
                              </a:gdLst>
                              <a:ahLst/>
                              <a:cxnLst>
                                <a:cxn ang="0">
                                  <a:pos x="T0" y="T1"/>
                                </a:cxn>
                                <a:cxn ang="0">
                                  <a:pos x="T2" y="T3"/>
                                </a:cxn>
                                <a:cxn ang="0">
                                  <a:pos x="T4" y="T5"/>
                                </a:cxn>
                                <a:cxn ang="0">
                                  <a:pos x="T6" y="T7"/>
                                </a:cxn>
                                <a:cxn ang="0">
                                  <a:pos x="T8" y="T9"/>
                                </a:cxn>
                                <a:cxn ang="0">
                                  <a:pos x="T10" y="T11"/>
                                </a:cxn>
                              </a:cxnLst>
                              <a:rect l="0" t="0" r="r" b="b"/>
                              <a:pathLst>
                                <a:path w="6241" h="185">
                                  <a:moveTo>
                                    <a:pt x="0" y="185"/>
                                  </a:moveTo>
                                  <a:lnTo>
                                    <a:pt x="0" y="185"/>
                                  </a:lnTo>
                                  <a:lnTo>
                                    <a:pt x="6241" y="185"/>
                                  </a:lnTo>
                                  <a:lnTo>
                                    <a:pt x="6241" y="0"/>
                                  </a:lnTo>
                                  <a:lnTo>
                                    <a:pt x="0" y="0"/>
                                  </a:lnTo>
                                  <a:lnTo>
                                    <a:pt x="0" y="185"/>
                                  </a:lnTo>
                                  <a:close/>
                                </a:path>
                              </a:pathLst>
                            </a:custGeom>
                            <a:solidFill>
                              <a:srgbClr val="FFFF00"/>
                            </a:solidFill>
                            <a:ln w="0">
                              <a:solidFill>
                                <a:srgbClr val="000000"/>
                              </a:solidFill>
                              <a:round/>
                              <a:headEnd/>
                              <a:tailEnd/>
                            </a:ln>
                          </wps:spPr>
                          <wps:bodyPr rot="0" vert="horz" wrap="square" lIns="91440" tIns="45720" rIns="91440" bIns="45720" anchor="t" anchorCtr="0" upright="1">
                            <a:noAutofit/>
                          </wps:bodyPr>
                        </wps:wsp>
                        <wps:wsp>
                          <wps:cNvPr id="626" name="Rectangle 46"/>
                          <wps:cNvSpPr>
                            <a:spLocks noChangeArrowheads="1"/>
                          </wps:cNvSpPr>
                          <wps:spPr bwMode="auto">
                            <a:xfrm>
                              <a:off x="992" y="992"/>
                              <a:ext cx="11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F</w:t>
                                </w:r>
                              </w:p>
                            </w:txbxContent>
                          </wps:txbx>
                          <wps:bodyPr rot="0" vert="horz" wrap="none" lIns="0" tIns="0" rIns="0" bIns="0" anchor="t" anchorCtr="0" upright="1">
                            <a:spAutoFit/>
                          </wps:bodyPr>
                        </wps:wsp>
                        <wps:wsp>
                          <wps:cNvPr id="627" name="Rectangle 47"/>
                          <wps:cNvSpPr>
                            <a:spLocks noChangeArrowheads="1"/>
                          </wps:cNvSpPr>
                          <wps:spPr bwMode="auto">
                            <a:xfrm>
                              <a:off x="1102" y="992"/>
                              <a:ext cx="21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igu</w:t>
                                </w:r>
                              </w:p>
                            </w:txbxContent>
                          </wps:txbx>
                          <wps:bodyPr rot="0" vert="horz" wrap="none" lIns="0" tIns="0" rIns="0" bIns="0" anchor="t" anchorCtr="0" upright="1">
                            <a:spAutoFit/>
                          </wps:bodyPr>
                        </wps:wsp>
                        <wps:wsp>
                          <wps:cNvPr id="628" name="Rectangle 48"/>
                          <wps:cNvSpPr>
                            <a:spLocks noChangeArrowheads="1"/>
                          </wps:cNvSpPr>
                          <wps:spPr bwMode="auto">
                            <a:xfrm>
                              <a:off x="1324" y="992"/>
                              <a:ext cx="13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re</w:t>
                                </w:r>
                              </w:p>
                            </w:txbxContent>
                          </wps:txbx>
                          <wps:bodyPr rot="0" vert="horz" wrap="none" lIns="0" tIns="0" rIns="0" bIns="0" anchor="t" anchorCtr="0" upright="1">
                            <a:spAutoFit/>
                          </wps:bodyPr>
                        </wps:wsp>
                        <wps:wsp>
                          <wps:cNvPr id="629" name="Rectangle 49"/>
                          <wps:cNvSpPr>
                            <a:spLocks noChangeArrowheads="1"/>
                          </wps:cNvSpPr>
                          <wps:spPr bwMode="auto">
                            <a:xfrm>
                              <a:off x="1460" y="992"/>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 xml:space="preserve"> </w:t>
                                </w:r>
                              </w:p>
                            </w:txbxContent>
                          </wps:txbx>
                          <wps:bodyPr rot="0" vert="horz" wrap="none" lIns="0" tIns="0" rIns="0" bIns="0" anchor="t" anchorCtr="0" upright="1">
                            <a:spAutoFit/>
                          </wps:bodyPr>
                        </wps:wsp>
                        <wps:wsp>
                          <wps:cNvPr id="631" name="Rectangle 50"/>
                          <wps:cNvSpPr>
                            <a:spLocks noChangeArrowheads="1"/>
                          </wps:cNvSpPr>
                          <wps:spPr bwMode="auto">
                            <a:xfrm>
                              <a:off x="1520" y="992"/>
                              <a:ext cx="1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Pr="002F03DF" w:rsidRDefault="00B247C9">
                                <w:pPr>
                                  <w:rPr>
                                    <w:rFonts w:ascii="Times New Roman" w:hAnsi="Times New Roman" w:cs="Times New Roman"/>
                                    <w:sz w:val="16"/>
                                    <w:szCs w:val="16"/>
                                  </w:rPr>
                                </w:pPr>
                                <w:r w:rsidRPr="002F03DF">
                                  <w:rPr>
                                    <w:rFonts w:ascii="Times New Roman" w:hAnsi="Times New Roman" w:cs="Times New Roman"/>
                                    <w:b/>
                                    <w:i/>
                                    <w:sz w:val="16"/>
                                    <w:szCs w:val="16"/>
                                  </w:rPr>
                                  <w:t>4</w:t>
                                </w:r>
                                <w:r>
                                  <w:rPr>
                                    <w:rFonts w:ascii="Times New Roman" w:hAnsi="Times New Roman" w:cs="Times New Roman"/>
                                    <w:sz w:val="16"/>
                                    <w:szCs w:val="16"/>
                                  </w:rPr>
                                  <w:t>.</w:t>
                                </w:r>
                              </w:p>
                            </w:txbxContent>
                          </wps:txbx>
                          <wps:bodyPr rot="0" vert="horz" wrap="none" lIns="0" tIns="0" rIns="0" bIns="0" anchor="t" anchorCtr="0" upright="1">
                            <a:spAutoFit/>
                          </wps:bodyPr>
                        </wps:wsp>
                        <wps:wsp>
                          <wps:cNvPr id="632" name="Rectangle 51"/>
                          <wps:cNvSpPr>
                            <a:spLocks noChangeArrowheads="1"/>
                          </wps:cNvSpPr>
                          <wps:spPr bwMode="auto">
                            <a:xfrm>
                              <a:off x="1603" y="992"/>
                              <a:ext cx="5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 xml:space="preserve">: </w:t>
                                </w:r>
                              </w:p>
                            </w:txbxContent>
                          </wps:txbx>
                          <wps:bodyPr rot="0" vert="horz" wrap="none" lIns="0" tIns="0" rIns="0" bIns="0" anchor="t" anchorCtr="0" upright="1">
                            <a:spAutoFit/>
                          </wps:bodyPr>
                        </wps:wsp>
                        <wps:wsp>
                          <wps:cNvPr id="637" name="Rectangle 52"/>
                          <wps:cNvSpPr>
                            <a:spLocks noChangeArrowheads="1"/>
                          </wps:cNvSpPr>
                          <wps:spPr bwMode="auto">
                            <a:xfrm>
                              <a:off x="1718" y="992"/>
                              <a:ext cx="32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Tanz</w:t>
                                </w:r>
                              </w:p>
                            </w:txbxContent>
                          </wps:txbx>
                          <wps:bodyPr rot="0" vert="horz" wrap="none" lIns="0" tIns="0" rIns="0" bIns="0" anchor="t" anchorCtr="0" upright="1">
                            <a:spAutoFit/>
                          </wps:bodyPr>
                        </wps:wsp>
                        <wps:wsp>
                          <wps:cNvPr id="638" name="Rectangle 53"/>
                          <wps:cNvSpPr>
                            <a:spLocks noChangeArrowheads="1"/>
                          </wps:cNvSpPr>
                          <wps:spPr bwMode="auto">
                            <a:xfrm>
                              <a:off x="2058" y="992"/>
                              <a:ext cx="16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an</w:t>
                                </w:r>
                              </w:p>
                            </w:txbxContent>
                          </wps:txbx>
                          <wps:bodyPr rot="0" vert="horz" wrap="none" lIns="0" tIns="0" rIns="0" bIns="0" anchor="t" anchorCtr="0" upright="1">
                            <a:spAutoFit/>
                          </wps:bodyPr>
                        </wps:wsp>
                        <wps:wsp>
                          <wps:cNvPr id="643" name="Rectangle 54"/>
                          <wps:cNvSpPr>
                            <a:spLocks noChangeArrowheads="1"/>
                          </wps:cNvSpPr>
                          <wps:spPr bwMode="auto">
                            <a:xfrm>
                              <a:off x="2231" y="992"/>
                              <a:ext cx="12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 xml:space="preserve">ia </w:t>
                                </w:r>
                              </w:p>
                            </w:txbxContent>
                          </wps:txbx>
                          <wps:bodyPr rot="0" vert="horz" wrap="none" lIns="0" tIns="0" rIns="0" bIns="0" anchor="t" anchorCtr="0" upright="1">
                            <a:spAutoFit/>
                          </wps:bodyPr>
                        </wps:wsp>
                        <wps:wsp>
                          <wps:cNvPr id="644" name="Rectangle 55"/>
                          <wps:cNvSpPr>
                            <a:spLocks noChangeArrowheads="1"/>
                          </wps:cNvSpPr>
                          <wps:spPr bwMode="auto">
                            <a:xfrm>
                              <a:off x="2419" y="992"/>
                              <a:ext cx="241"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Nat</w:t>
                                </w:r>
                              </w:p>
                            </w:txbxContent>
                          </wps:txbx>
                          <wps:bodyPr rot="0" vert="horz" wrap="none" lIns="0" tIns="0" rIns="0" bIns="0" anchor="t" anchorCtr="0" upright="1">
                            <a:spAutoFit/>
                          </wps:bodyPr>
                        </wps:wsp>
                        <wps:wsp>
                          <wps:cNvPr id="645" name="Rectangle 56"/>
                          <wps:cNvSpPr>
                            <a:spLocks noChangeArrowheads="1"/>
                          </wps:cNvSpPr>
                          <wps:spPr bwMode="auto">
                            <a:xfrm>
                              <a:off x="2666" y="992"/>
                              <a:ext cx="21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ion</w:t>
                                </w:r>
                              </w:p>
                            </w:txbxContent>
                          </wps:txbx>
                          <wps:bodyPr rot="0" vert="horz" wrap="none" lIns="0" tIns="0" rIns="0" bIns="0" anchor="t" anchorCtr="0" upright="1">
                            <a:spAutoFit/>
                          </wps:bodyPr>
                        </wps:wsp>
                        <wps:wsp>
                          <wps:cNvPr id="646" name="Rectangle 57"/>
                          <wps:cNvSpPr>
                            <a:spLocks noChangeArrowheads="1"/>
                          </wps:cNvSpPr>
                          <wps:spPr bwMode="auto">
                            <a:xfrm>
                              <a:off x="2887" y="992"/>
                              <a:ext cx="12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 xml:space="preserve">al </w:t>
                                </w:r>
                              </w:p>
                            </w:txbxContent>
                          </wps:txbx>
                          <wps:bodyPr rot="0" vert="horz" wrap="none" lIns="0" tIns="0" rIns="0" bIns="0" anchor="t" anchorCtr="0" upright="1">
                            <a:spAutoFit/>
                          </wps:bodyPr>
                        </wps:wsp>
                        <wps:wsp>
                          <wps:cNvPr id="647" name="Rectangle 58"/>
                          <wps:cNvSpPr>
                            <a:spLocks noChangeArrowheads="1"/>
                          </wps:cNvSpPr>
                          <wps:spPr bwMode="auto">
                            <a:xfrm>
                              <a:off x="3075" y="992"/>
                              <a:ext cx="29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HIV</w:t>
                                </w:r>
                              </w:p>
                            </w:txbxContent>
                          </wps:txbx>
                          <wps:bodyPr rot="0" vert="horz" wrap="none" lIns="0" tIns="0" rIns="0" bIns="0" anchor="t" anchorCtr="0" upright="1">
                            <a:spAutoFit/>
                          </wps:bodyPr>
                        </wps:wsp>
                        <wps:wsp>
                          <wps:cNvPr id="648" name="Rectangle 59"/>
                          <wps:cNvSpPr>
                            <a:spLocks noChangeArrowheads="1"/>
                          </wps:cNvSpPr>
                          <wps:spPr bwMode="auto">
                            <a:xfrm>
                              <a:off x="3375" y="992"/>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 xml:space="preserve"> </w:t>
                                </w:r>
                              </w:p>
                            </w:txbxContent>
                          </wps:txbx>
                          <wps:bodyPr rot="0" vert="horz" wrap="none" lIns="0" tIns="0" rIns="0" bIns="0" anchor="t" anchorCtr="0" upright="1">
                            <a:spAutoFit/>
                          </wps:bodyPr>
                        </wps:wsp>
                        <wps:wsp>
                          <wps:cNvPr id="649" name="Rectangle 60"/>
                          <wps:cNvSpPr>
                            <a:spLocks noChangeArrowheads="1"/>
                          </wps:cNvSpPr>
                          <wps:spPr bwMode="auto">
                            <a:xfrm>
                              <a:off x="3435" y="992"/>
                              <a:ext cx="10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R</w:t>
                                </w:r>
                              </w:p>
                            </w:txbxContent>
                          </wps:txbx>
                          <wps:bodyPr rot="0" vert="horz" wrap="none" lIns="0" tIns="0" rIns="0" bIns="0" anchor="t" anchorCtr="0" upright="1">
                            <a:spAutoFit/>
                          </wps:bodyPr>
                        </wps:wsp>
                        <wps:wsp>
                          <wps:cNvPr id="650" name="Rectangle 61"/>
                          <wps:cNvSpPr>
                            <a:spLocks noChangeArrowheads="1"/>
                          </wps:cNvSpPr>
                          <wps:spPr bwMode="auto">
                            <a:xfrm>
                              <a:off x="3546" y="992"/>
                              <a:ext cx="28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 xml:space="preserve">apid </w:t>
                                </w:r>
                              </w:p>
                            </w:txbxContent>
                          </wps:txbx>
                          <wps:bodyPr rot="0" vert="horz" wrap="none" lIns="0" tIns="0" rIns="0" bIns="0" anchor="t" anchorCtr="0" upright="1">
                            <a:spAutoFit/>
                          </wps:bodyPr>
                        </wps:wsp>
                        <wps:wsp>
                          <wps:cNvPr id="651" name="Rectangle 62"/>
                          <wps:cNvSpPr>
                            <a:spLocks noChangeArrowheads="1"/>
                          </wps:cNvSpPr>
                          <wps:spPr bwMode="auto">
                            <a:xfrm>
                              <a:off x="3899" y="992"/>
                              <a:ext cx="16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Te</w:t>
                                </w:r>
                              </w:p>
                            </w:txbxContent>
                          </wps:txbx>
                          <wps:bodyPr rot="0" vert="horz" wrap="none" lIns="0" tIns="0" rIns="0" bIns="0" anchor="t" anchorCtr="0" upright="1">
                            <a:spAutoFit/>
                          </wps:bodyPr>
                        </wps:wsp>
                        <wps:wsp>
                          <wps:cNvPr id="652" name="Rectangle 63"/>
                          <wps:cNvSpPr>
                            <a:spLocks noChangeArrowheads="1"/>
                          </wps:cNvSpPr>
                          <wps:spPr bwMode="auto">
                            <a:xfrm>
                              <a:off x="4073" y="992"/>
                              <a:ext cx="15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sti</w:t>
                                </w:r>
                              </w:p>
                            </w:txbxContent>
                          </wps:txbx>
                          <wps:bodyPr rot="0" vert="horz" wrap="none" lIns="0" tIns="0" rIns="0" bIns="0" anchor="t" anchorCtr="0" upright="1">
                            <a:spAutoFit/>
                          </wps:bodyPr>
                        </wps:wsp>
                        <wps:wsp>
                          <wps:cNvPr id="653" name="Rectangle 64"/>
                          <wps:cNvSpPr>
                            <a:spLocks noChangeArrowheads="1"/>
                          </wps:cNvSpPr>
                          <wps:spPr bwMode="auto">
                            <a:xfrm>
                              <a:off x="4230" y="992"/>
                              <a:ext cx="8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n</w:t>
                                </w:r>
                              </w:p>
                            </w:txbxContent>
                          </wps:txbx>
                          <wps:bodyPr rot="0" vert="horz" wrap="none" lIns="0" tIns="0" rIns="0" bIns="0" anchor="t" anchorCtr="0" upright="1">
                            <a:spAutoFit/>
                          </wps:bodyPr>
                        </wps:wsp>
                        <wps:wsp>
                          <wps:cNvPr id="654" name="Rectangle 65"/>
                          <wps:cNvSpPr>
                            <a:spLocks noChangeArrowheads="1"/>
                          </wps:cNvSpPr>
                          <wps:spPr bwMode="auto">
                            <a:xfrm>
                              <a:off x="4321" y="992"/>
                              <a:ext cx="81"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 xml:space="preserve">g </w:t>
                                </w:r>
                              </w:p>
                            </w:txbxContent>
                          </wps:txbx>
                          <wps:bodyPr rot="0" vert="horz" wrap="none" lIns="0" tIns="0" rIns="0" bIns="0" anchor="t" anchorCtr="0" upright="1">
                            <a:spAutoFit/>
                          </wps:bodyPr>
                        </wps:wsp>
                        <wps:wsp>
                          <wps:cNvPr id="655" name="Rectangle 66"/>
                          <wps:cNvSpPr>
                            <a:spLocks noChangeArrowheads="1"/>
                          </wps:cNvSpPr>
                          <wps:spPr bwMode="auto">
                            <a:xfrm>
                              <a:off x="4462" y="992"/>
                              <a:ext cx="10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A</w:t>
                                </w:r>
                              </w:p>
                            </w:txbxContent>
                          </wps:txbx>
                          <wps:bodyPr rot="0" vert="horz" wrap="none" lIns="0" tIns="0" rIns="0" bIns="0" anchor="t" anchorCtr="0" upright="1">
                            <a:spAutoFit/>
                          </wps:bodyPr>
                        </wps:wsp>
                        <wps:wsp>
                          <wps:cNvPr id="656" name="Rectangle 67"/>
                          <wps:cNvSpPr>
                            <a:spLocks noChangeArrowheads="1"/>
                          </wps:cNvSpPr>
                          <wps:spPr bwMode="auto">
                            <a:xfrm>
                              <a:off x="4573" y="992"/>
                              <a:ext cx="31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lgori</w:t>
                                </w:r>
                              </w:p>
                            </w:txbxContent>
                          </wps:txbx>
                          <wps:bodyPr rot="0" vert="horz" wrap="none" lIns="0" tIns="0" rIns="0" bIns="0" anchor="t" anchorCtr="0" upright="1">
                            <a:spAutoFit/>
                          </wps:bodyPr>
                        </wps:wsp>
                        <wps:wsp>
                          <wps:cNvPr id="657" name="Rectangle 68"/>
                          <wps:cNvSpPr>
                            <a:spLocks noChangeArrowheads="1"/>
                          </wps:cNvSpPr>
                          <wps:spPr bwMode="auto">
                            <a:xfrm>
                              <a:off x="4895" y="992"/>
                              <a:ext cx="4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t</w:t>
                                </w:r>
                              </w:p>
                            </w:txbxContent>
                          </wps:txbx>
                          <wps:bodyPr rot="0" vert="horz" wrap="none" lIns="0" tIns="0" rIns="0" bIns="0" anchor="t" anchorCtr="0" upright="1">
                            <a:spAutoFit/>
                          </wps:bodyPr>
                        </wps:wsp>
                        <wps:wsp>
                          <wps:cNvPr id="658" name="Rectangle 69"/>
                          <wps:cNvSpPr>
                            <a:spLocks noChangeArrowheads="1"/>
                          </wps:cNvSpPr>
                          <wps:spPr bwMode="auto">
                            <a:xfrm>
                              <a:off x="4939" y="992"/>
                              <a:ext cx="8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h</w:t>
                                </w:r>
                              </w:p>
                            </w:txbxContent>
                          </wps:txbx>
                          <wps:bodyPr rot="0" vert="horz" wrap="none" lIns="0" tIns="0" rIns="0" bIns="0" anchor="t" anchorCtr="0" upright="1">
                            <a:spAutoFit/>
                          </wps:bodyPr>
                        </wps:wsp>
                        <wps:wsp>
                          <wps:cNvPr id="659" name="Rectangle 70"/>
                          <wps:cNvSpPr>
                            <a:spLocks noChangeArrowheads="1"/>
                          </wps:cNvSpPr>
                          <wps:spPr bwMode="auto">
                            <a:xfrm>
                              <a:off x="5030" y="992"/>
                              <a:ext cx="12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m</w:t>
                                </w:r>
                              </w:p>
                            </w:txbxContent>
                          </wps:txbx>
                          <wps:bodyPr rot="0" vert="horz" wrap="none" lIns="0" tIns="0" rIns="0" bIns="0" anchor="t" anchorCtr="0" upright="1">
                            <a:spAutoFit/>
                          </wps:bodyPr>
                        </wps:wsp>
                        <wps:wsp>
                          <wps:cNvPr id="665" name="Rectangle 71"/>
                          <wps:cNvSpPr>
                            <a:spLocks noChangeArrowheads="1"/>
                          </wps:cNvSpPr>
                          <wps:spPr bwMode="auto">
                            <a:xfrm>
                              <a:off x="5161" y="992"/>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 xml:space="preserve"> </w:t>
                                </w:r>
                              </w:p>
                            </w:txbxContent>
                          </wps:txbx>
                          <wps:bodyPr rot="0" vert="horz" wrap="none" lIns="0" tIns="0" rIns="0" bIns="0" anchor="t" anchorCtr="0" upright="1">
                            <a:spAutoFit/>
                          </wps:bodyPr>
                        </wps:wsp>
                        <wps:wsp>
                          <wps:cNvPr id="666" name="Rectangle 72"/>
                          <wps:cNvSpPr>
                            <a:spLocks noChangeArrowheads="1"/>
                          </wps:cNvSpPr>
                          <wps:spPr bwMode="auto">
                            <a:xfrm>
                              <a:off x="5220" y="992"/>
                              <a:ext cx="200"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 xml:space="preserve">for </w:t>
                                </w:r>
                              </w:p>
                            </w:txbxContent>
                          </wps:txbx>
                          <wps:bodyPr rot="0" vert="horz" wrap="none" lIns="0" tIns="0" rIns="0" bIns="0" anchor="t" anchorCtr="0" upright="1">
                            <a:spAutoFit/>
                          </wps:bodyPr>
                        </wps:wsp>
                        <wps:wsp>
                          <wps:cNvPr id="667" name="Rectangle 73"/>
                          <wps:cNvSpPr>
                            <a:spLocks noChangeArrowheads="1"/>
                          </wps:cNvSpPr>
                          <wps:spPr bwMode="auto">
                            <a:xfrm>
                              <a:off x="5482" y="992"/>
                              <a:ext cx="16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Pe</w:t>
                                </w:r>
                              </w:p>
                            </w:txbxContent>
                          </wps:txbx>
                          <wps:bodyPr rot="0" vert="horz" wrap="none" lIns="0" tIns="0" rIns="0" bIns="0" anchor="t" anchorCtr="0" upright="1">
                            <a:spAutoFit/>
                          </wps:bodyPr>
                        </wps:wsp>
                        <wps:wsp>
                          <wps:cNvPr id="668" name="Rectangle 74"/>
                          <wps:cNvSpPr>
                            <a:spLocks noChangeArrowheads="1"/>
                          </wps:cNvSpPr>
                          <wps:spPr bwMode="auto">
                            <a:xfrm>
                              <a:off x="5655" y="992"/>
                              <a:ext cx="29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rson</w:t>
                                </w:r>
                              </w:p>
                            </w:txbxContent>
                          </wps:txbx>
                          <wps:bodyPr rot="0" vert="horz" wrap="none" lIns="0" tIns="0" rIns="0" bIns="0" anchor="t" anchorCtr="0" upright="1">
                            <a:spAutoFit/>
                          </wps:bodyPr>
                        </wps:wsp>
                        <wps:wsp>
                          <wps:cNvPr id="669" name="Rectangle 75"/>
                          <wps:cNvSpPr>
                            <a:spLocks noChangeArrowheads="1"/>
                          </wps:cNvSpPr>
                          <wps:spPr bwMode="auto">
                            <a:xfrm>
                              <a:off x="5957" y="992"/>
                              <a:ext cx="6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 xml:space="preserve">s </w:t>
                                </w:r>
                              </w:p>
                            </w:txbxContent>
                          </wps:txbx>
                          <wps:bodyPr rot="0" vert="horz" wrap="none" lIns="0" tIns="0" rIns="0" bIns="0" anchor="t" anchorCtr="0" upright="1">
                            <a:spAutoFit/>
                          </wps:bodyPr>
                        </wps:wsp>
                        <wps:wsp>
                          <wps:cNvPr id="670" name="Rectangle 76"/>
                          <wps:cNvSpPr>
                            <a:spLocks noChangeArrowheads="1"/>
                          </wps:cNvSpPr>
                          <wps:spPr bwMode="auto">
                            <a:xfrm>
                              <a:off x="6081" y="992"/>
                              <a:ext cx="10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A</w:t>
                                </w:r>
                              </w:p>
                            </w:txbxContent>
                          </wps:txbx>
                          <wps:bodyPr rot="0" vert="horz" wrap="none" lIns="0" tIns="0" rIns="0" bIns="0" anchor="t" anchorCtr="0" upright="1">
                            <a:spAutoFit/>
                          </wps:bodyPr>
                        </wps:wsp>
                        <wps:wsp>
                          <wps:cNvPr id="671" name="Rectangle 77"/>
                          <wps:cNvSpPr>
                            <a:spLocks noChangeArrowheads="1"/>
                          </wps:cNvSpPr>
                          <wps:spPr bwMode="auto">
                            <a:xfrm>
                              <a:off x="6191" y="992"/>
                              <a:ext cx="15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ge</w:t>
                                </w:r>
                              </w:p>
                            </w:txbxContent>
                          </wps:txbx>
                          <wps:bodyPr rot="0" vert="horz" wrap="none" lIns="0" tIns="0" rIns="0" bIns="0" anchor="t" anchorCtr="0" upright="1">
                            <a:spAutoFit/>
                          </wps:bodyPr>
                        </wps:wsp>
                        <wps:wsp>
                          <wps:cNvPr id="672" name="Rectangle 78"/>
                          <wps:cNvSpPr>
                            <a:spLocks noChangeArrowheads="1"/>
                          </wps:cNvSpPr>
                          <wps:spPr bwMode="auto">
                            <a:xfrm>
                              <a:off x="6347" y="992"/>
                              <a:ext cx="81"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 xml:space="preserve">d </w:t>
                                </w:r>
                              </w:p>
                            </w:txbxContent>
                          </wps:txbx>
                          <wps:bodyPr rot="0" vert="horz" wrap="none" lIns="0" tIns="0" rIns="0" bIns="0" anchor="t" anchorCtr="0" upright="1">
                            <a:spAutoFit/>
                          </wps:bodyPr>
                        </wps:wsp>
                        <wps:wsp>
                          <wps:cNvPr id="673" name="Rectangle 79"/>
                          <wps:cNvSpPr>
                            <a:spLocks noChangeArrowheads="1"/>
                          </wps:cNvSpPr>
                          <wps:spPr bwMode="auto">
                            <a:xfrm>
                              <a:off x="6493" y="992"/>
                              <a:ext cx="12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m</w:t>
                                </w:r>
                              </w:p>
                            </w:txbxContent>
                          </wps:txbx>
                          <wps:bodyPr rot="0" vert="horz" wrap="none" lIns="0" tIns="0" rIns="0" bIns="0" anchor="t" anchorCtr="0" upright="1">
                            <a:spAutoFit/>
                          </wps:bodyPr>
                        </wps:wsp>
                        <wps:wsp>
                          <wps:cNvPr id="674" name="Rectangle 80"/>
                          <wps:cNvSpPr>
                            <a:spLocks noChangeArrowheads="1"/>
                          </wps:cNvSpPr>
                          <wps:spPr bwMode="auto">
                            <a:xfrm>
                              <a:off x="6623" y="992"/>
                              <a:ext cx="81"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o</w:t>
                                </w:r>
                              </w:p>
                            </w:txbxContent>
                          </wps:txbx>
                          <wps:bodyPr rot="0" vert="horz" wrap="none" lIns="0" tIns="0" rIns="0" bIns="0" anchor="t" anchorCtr="0" upright="1">
                            <a:spAutoFit/>
                          </wps:bodyPr>
                        </wps:wsp>
                        <wps:wsp>
                          <wps:cNvPr id="675" name="Rectangle 81"/>
                          <wps:cNvSpPr>
                            <a:spLocks noChangeArrowheads="1"/>
                          </wps:cNvSpPr>
                          <wps:spPr bwMode="auto">
                            <a:xfrm>
                              <a:off x="6704" y="992"/>
                              <a:ext cx="13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re</w:t>
                                </w:r>
                              </w:p>
                            </w:txbxContent>
                          </wps:txbx>
                          <wps:bodyPr rot="0" vert="horz" wrap="none" lIns="0" tIns="0" rIns="0" bIns="0" anchor="t" anchorCtr="0" upright="1">
                            <a:spAutoFit/>
                          </wps:bodyPr>
                        </wps:wsp>
                        <wps:wsp>
                          <wps:cNvPr id="676" name="Rectangle 82"/>
                          <wps:cNvSpPr>
                            <a:spLocks noChangeArrowheads="1"/>
                          </wps:cNvSpPr>
                          <wps:spPr bwMode="auto">
                            <a:xfrm>
                              <a:off x="6842" y="992"/>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 xml:space="preserve"> </w:t>
                                </w:r>
                              </w:p>
                            </w:txbxContent>
                          </wps:txbx>
                          <wps:bodyPr rot="0" vert="horz" wrap="none" lIns="0" tIns="0" rIns="0" bIns="0" anchor="t" anchorCtr="0" upright="1">
                            <a:spAutoFit/>
                          </wps:bodyPr>
                        </wps:wsp>
                        <wps:wsp>
                          <wps:cNvPr id="677" name="Rectangle 83"/>
                          <wps:cNvSpPr>
                            <a:spLocks noChangeArrowheads="1"/>
                          </wps:cNvSpPr>
                          <wps:spPr bwMode="auto">
                            <a:xfrm>
                              <a:off x="6901" y="992"/>
                              <a:ext cx="13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th</w:t>
                                </w:r>
                              </w:p>
                            </w:txbxContent>
                          </wps:txbx>
                          <wps:bodyPr rot="0" vert="horz" wrap="none" lIns="0" tIns="0" rIns="0" bIns="0" anchor="t" anchorCtr="0" upright="1">
                            <a:spAutoFit/>
                          </wps:bodyPr>
                        </wps:wsp>
                        <wps:wsp>
                          <wps:cNvPr id="678" name="Rectangle 84"/>
                          <wps:cNvSpPr>
                            <a:spLocks noChangeArrowheads="1"/>
                          </wps:cNvSpPr>
                          <wps:spPr bwMode="auto">
                            <a:xfrm>
                              <a:off x="7040" y="992"/>
                              <a:ext cx="16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an</w:t>
                                </w:r>
                              </w:p>
                            </w:txbxContent>
                          </wps:txbx>
                          <wps:bodyPr rot="0" vert="horz" wrap="none" lIns="0" tIns="0" rIns="0" bIns="0" anchor="t" anchorCtr="0" upright="1">
                            <a:spAutoFit/>
                          </wps:bodyPr>
                        </wps:wsp>
                        <wps:wsp>
                          <wps:cNvPr id="679" name="Rectangle 85"/>
                          <wps:cNvSpPr>
                            <a:spLocks noChangeArrowheads="1"/>
                          </wps:cNvSpPr>
                          <wps:spPr bwMode="auto">
                            <a:xfrm>
                              <a:off x="7215" y="992"/>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 xml:space="preserve"> </w:t>
                                </w:r>
                              </w:p>
                            </w:txbxContent>
                          </wps:txbx>
                          <wps:bodyPr rot="0" vert="horz" wrap="none" lIns="0" tIns="0" rIns="0" bIns="0" anchor="t" anchorCtr="0" upright="1">
                            <a:spAutoFit/>
                          </wps:bodyPr>
                        </wps:wsp>
                        <wps:wsp>
                          <wps:cNvPr id="680" name="Rectangle 86"/>
                          <wps:cNvSpPr>
                            <a:spLocks noChangeArrowheads="1"/>
                          </wps:cNvSpPr>
                          <wps:spPr bwMode="auto">
                            <a:xfrm>
                              <a:off x="7274" y="992"/>
                              <a:ext cx="161"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18</w:t>
                                </w:r>
                              </w:p>
                            </w:txbxContent>
                          </wps:txbx>
                          <wps:bodyPr rot="0" vert="horz" wrap="none" lIns="0" tIns="0" rIns="0" bIns="0" anchor="t" anchorCtr="0" upright="1">
                            <a:spAutoFit/>
                          </wps:bodyPr>
                        </wps:wsp>
                        <wps:wsp>
                          <wps:cNvPr id="681" name="Rectangle 87"/>
                          <wps:cNvSpPr>
                            <a:spLocks noChangeArrowheads="1"/>
                          </wps:cNvSpPr>
                          <wps:spPr bwMode="auto">
                            <a:xfrm>
                              <a:off x="7438" y="992"/>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 xml:space="preserve"> </w:t>
                                </w:r>
                              </w:p>
                            </w:txbxContent>
                          </wps:txbx>
                          <wps:bodyPr rot="0" vert="horz" wrap="none" lIns="0" tIns="0" rIns="0" bIns="0" anchor="t" anchorCtr="0" upright="1">
                            <a:spAutoFit/>
                          </wps:bodyPr>
                        </wps:wsp>
                        <wps:wsp>
                          <wps:cNvPr id="683" name="Freeform 88"/>
                          <wps:cNvSpPr>
                            <a:spLocks/>
                          </wps:cNvSpPr>
                          <wps:spPr bwMode="auto">
                            <a:xfrm>
                              <a:off x="992" y="1178"/>
                              <a:ext cx="523" cy="190"/>
                            </a:xfrm>
                            <a:custGeom>
                              <a:avLst/>
                              <a:gdLst>
                                <a:gd name="T0" fmla="*/ 0 w 507"/>
                                <a:gd name="T1" fmla="*/ 184 h 184"/>
                                <a:gd name="T2" fmla="*/ 0 w 507"/>
                                <a:gd name="T3" fmla="*/ 184 h 184"/>
                                <a:gd name="T4" fmla="*/ 507 w 507"/>
                                <a:gd name="T5" fmla="*/ 184 h 184"/>
                                <a:gd name="T6" fmla="*/ 507 w 507"/>
                                <a:gd name="T7" fmla="*/ 0 h 184"/>
                                <a:gd name="T8" fmla="*/ 0 w 507"/>
                                <a:gd name="T9" fmla="*/ 0 h 184"/>
                                <a:gd name="T10" fmla="*/ 0 w 507"/>
                                <a:gd name="T11" fmla="*/ 184 h 184"/>
                              </a:gdLst>
                              <a:ahLst/>
                              <a:cxnLst>
                                <a:cxn ang="0">
                                  <a:pos x="T0" y="T1"/>
                                </a:cxn>
                                <a:cxn ang="0">
                                  <a:pos x="T2" y="T3"/>
                                </a:cxn>
                                <a:cxn ang="0">
                                  <a:pos x="T4" y="T5"/>
                                </a:cxn>
                                <a:cxn ang="0">
                                  <a:pos x="T6" y="T7"/>
                                </a:cxn>
                                <a:cxn ang="0">
                                  <a:pos x="T8" y="T9"/>
                                </a:cxn>
                                <a:cxn ang="0">
                                  <a:pos x="T10" y="T11"/>
                                </a:cxn>
                              </a:cxnLst>
                              <a:rect l="0" t="0" r="r" b="b"/>
                              <a:pathLst>
                                <a:path w="507" h="184">
                                  <a:moveTo>
                                    <a:pt x="0" y="184"/>
                                  </a:moveTo>
                                  <a:lnTo>
                                    <a:pt x="0" y="184"/>
                                  </a:lnTo>
                                  <a:lnTo>
                                    <a:pt x="507" y="184"/>
                                  </a:lnTo>
                                  <a:lnTo>
                                    <a:pt x="507" y="0"/>
                                  </a:lnTo>
                                  <a:lnTo>
                                    <a:pt x="0" y="0"/>
                                  </a:lnTo>
                                  <a:lnTo>
                                    <a:pt x="0" y="184"/>
                                  </a:lnTo>
                                  <a:close/>
                                </a:path>
                              </a:pathLst>
                            </a:custGeom>
                            <a:solidFill>
                              <a:srgbClr val="FFFF00"/>
                            </a:solidFill>
                            <a:ln w="0">
                              <a:solidFill>
                                <a:srgbClr val="000000"/>
                              </a:solidFill>
                              <a:round/>
                              <a:headEnd/>
                              <a:tailEnd/>
                            </a:ln>
                          </wps:spPr>
                          <wps:bodyPr rot="0" vert="horz" wrap="square" lIns="91440" tIns="45720" rIns="91440" bIns="45720" anchor="t" anchorCtr="0" upright="1">
                            <a:noAutofit/>
                          </wps:bodyPr>
                        </wps:wsp>
                        <wps:wsp>
                          <wps:cNvPr id="684" name="Rectangle 89"/>
                          <wps:cNvSpPr>
                            <a:spLocks noChangeArrowheads="1"/>
                          </wps:cNvSpPr>
                          <wps:spPr bwMode="auto">
                            <a:xfrm>
                              <a:off x="992" y="1182"/>
                              <a:ext cx="312"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Mon</w:t>
                                </w:r>
                              </w:p>
                            </w:txbxContent>
                          </wps:txbx>
                          <wps:bodyPr rot="0" vert="horz" wrap="none" lIns="0" tIns="0" rIns="0" bIns="0" anchor="t" anchorCtr="0" upright="1">
                            <a:spAutoFit/>
                          </wps:bodyPr>
                        </wps:wsp>
                        <wps:wsp>
                          <wps:cNvPr id="689" name="Rectangle 90"/>
                          <wps:cNvSpPr>
                            <a:spLocks noChangeArrowheads="1"/>
                          </wps:cNvSpPr>
                          <wps:spPr bwMode="auto">
                            <a:xfrm>
                              <a:off x="1314" y="1182"/>
                              <a:ext cx="13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th</w:t>
                                </w:r>
                              </w:p>
                            </w:txbxContent>
                          </wps:txbx>
                          <wps:bodyPr rot="0" vert="horz" wrap="none" lIns="0" tIns="0" rIns="0" bIns="0" anchor="t" anchorCtr="0" upright="1">
                            <a:spAutoFit/>
                          </wps:bodyPr>
                        </wps:wsp>
                        <wps:wsp>
                          <wps:cNvPr id="690" name="Rectangle 91"/>
                          <wps:cNvSpPr>
                            <a:spLocks noChangeArrowheads="1"/>
                          </wps:cNvSpPr>
                          <wps:spPr bwMode="auto">
                            <a:xfrm>
                              <a:off x="1452" y="1182"/>
                              <a:ext cx="6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s</w:t>
                                </w:r>
                              </w:p>
                            </w:txbxContent>
                          </wps:txbx>
                          <wps:bodyPr rot="0" vert="horz" wrap="none" lIns="0" tIns="0" rIns="0" bIns="0" anchor="t" anchorCtr="0" upright="1">
                            <a:spAutoFit/>
                          </wps:bodyPr>
                        </wps:wsp>
                        <wps:wsp>
                          <wps:cNvPr id="695" name="Rectangle 92"/>
                          <wps:cNvSpPr>
                            <a:spLocks noChangeArrowheads="1"/>
                          </wps:cNvSpPr>
                          <wps:spPr bwMode="auto">
                            <a:xfrm>
                              <a:off x="1515" y="1182"/>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 xml:space="preserve"> </w:t>
                                </w:r>
                              </w:p>
                            </w:txbxContent>
                          </wps:txbx>
                          <wps:bodyPr rot="0" vert="horz" wrap="none" lIns="0" tIns="0" rIns="0" bIns="0" anchor="t" anchorCtr="0" upright="1">
                            <a:spAutoFit/>
                          </wps:bodyPr>
                        </wps:wsp>
                        <wps:wsp>
                          <wps:cNvPr id="696" name="Rectangle 93"/>
                          <wps:cNvSpPr>
                            <a:spLocks noChangeArrowheads="1"/>
                          </wps:cNvSpPr>
                          <wps:spPr bwMode="auto">
                            <a:xfrm>
                              <a:off x="992" y="1372"/>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 xml:space="preserve"> </w:t>
                                </w:r>
                              </w:p>
                            </w:txbxContent>
                          </wps:txbx>
                          <wps:bodyPr rot="0" vert="horz" wrap="none" lIns="0" tIns="0" rIns="0" bIns="0" anchor="t" anchorCtr="0" upright="1">
                            <a:spAutoFit/>
                          </wps:bodyPr>
                        </wps:wsp>
                        <wps:wsp>
                          <wps:cNvPr id="697" name="Rectangle 94"/>
                          <wps:cNvSpPr>
                            <a:spLocks noChangeArrowheads="1"/>
                          </wps:cNvSpPr>
                          <wps:spPr bwMode="auto">
                            <a:xfrm>
                              <a:off x="7696" y="9222"/>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Bold Italic" w:hAnsi="Times New Roman Bold Italic" w:cs="Times New Roman Bold Italic"/>
                                    <w:b/>
                                    <w:bCs/>
                                    <w:i/>
                                    <w:iCs/>
                                    <w:color w:val="000000"/>
                                    <w:sz w:val="16"/>
                                    <w:szCs w:val="16"/>
                                  </w:rPr>
                                  <w:t xml:space="preserve"> </w:t>
                                </w:r>
                              </w:p>
                            </w:txbxContent>
                          </wps:txbx>
                          <wps:bodyPr rot="0" vert="horz" wrap="none" lIns="0" tIns="0" rIns="0" bIns="0" anchor="t" anchorCtr="0" upright="1">
                            <a:spAutoFit/>
                          </wps:bodyPr>
                        </wps:wsp>
                        <wps:wsp>
                          <wps:cNvPr id="698" name="Freeform 95"/>
                          <wps:cNvSpPr>
                            <a:spLocks/>
                          </wps:cNvSpPr>
                          <wps:spPr bwMode="auto">
                            <a:xfrm>
                              <a:off x="2597" y="2248"/>
                              <a:ext cx="2131" cy="640"/>
                            </a:xfrm>
                            <a:custGeom>
                              <a:avLst/>
                              <a:gdLst>
                                <a:gd name="T0" fmla="*/ 0 w 2063"/>
                                <a:gd name="T1" fmla="*/ 104 h 620"/>
                                <a:gd name="T2" fmla="*/ 0 w 2063"/>
                                <a:gd name="T3" fmla="*/ 104 h 620"/>
                                <a:gd name="T4" fmla="*/ 103 w 2063"/>
                                <a:gd name="T5" fmla="*/ 0 h 620"/>
                                <a:gd name="T6" fmla="*/ 1960 w 2063"/>
                                <a:gd name="T7" fmla="*/ 0 h 620"/>
                                <a:gd name="T8" fmla="*/ 2063 w 2063"/>
                                <a:gd name="T9" fmla="*/ 104 h 620"/>
                                <a:gd name="T10" fmla="*/ 2063 w 2063"/>
                                <a:gd name="T11" fmla="*/ 517 h 620"/>
                                <a:gd name="T12" fmla="*/ 1960 w 2063"/>
                                <a:gd name="T13" fmla="*/ 620 h 620"/>
                                <a:gd name="T14" fmla="*/ 103 w 2063"/>
                                <a:gd name="T15" fmla="*/ 620 h 620"/>
                                <a:gd name="T16" fmla="*/ 0 w 2063"/>
                                <a:gd name="T17" fmla="*/ 517 h 620"/>
                                <a:gd name="T18" fmla="*/ 0 w 2063"/>
                                <a:gd name="T19" fmla="*/ 104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63" h="620">
                                  <a:moveTo>
                                    <a:pt x="0" y="104"/>
                                  </a:moveTo>
                                  <a:lnTo>
                                    <a:pt x="0" y="104"/>
                                  </a:lnTo>
                                  <a:cubicBezTo>
                                    <a:pt x="0" y="47"/>
                                    <a:pt x="46" y="0"/>
                                    <a:pt x="103" y="0"/>
                                  </a:cubicBezTo>
                                  <a:lnTo>
                                    <a:pt x="1960" y="0"/>
                                  </a:lnTo>
                                  <a:cubicBezTo>
                                    <a:pt x="2017" y="0"/>
                                    <a:pt x="2063" y="47"/>
                                    <a:pt x="2063" y="104"/>
                                  </a:cubicBezTo>
                                  <a:lnTo>
                                    <a:pt x="2063" y="517"/>
                                  </a:lnTo>
                                  <a:cubicBezTo>
                                    <a:pt x="2063" y="574"/>
                                    <a:pt x="2017" y="620"/>
                                    <a:pt x="1960" y="620"/>
                                  </a:cubicBezTo>
                                  <a:lnTo>
                                    <a:pt x="103" y="620"/>
                                  </a:lnTo>
                                  <a:cubicBezTo>
                                    <a:pt x="46" y="620"/>
                                    <a:pt x="0" y="574"/>
                                    <a:pt x="0" y="517"/>
                                  </a:cubicBezTo>
                                  <a:lnTo>
                                    <a:pt x="0" y="104"/>
                                  </a:lnTo>
                                  <a:close/>
                                </a:path>
                              </a:pathLst>
                            </a:custGeom>
                            <a:noFill/>
                            <a:ln w="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Rectangle 96"/>
                          <wps:cNvSpPr>
                            <a:spLocks noChangeArrowheads="1"/>
                          </wps:cNvSpPr>
                          <wps:spPr bwMode="auto">
                            <a:xfrm>
                              <a:off x="3346" y="2377"/>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F</w:t>
                                </w:r>
                              </w:p>
                            </w:txbxContent>
                          </wps:txbx>
                          <wps:bodyPr rot="0" vert="horz" wrap="none" lIns="0" tIns="0" rIns="0" bIns="0" anchor="t" anchorCtr="0" upright="1">
                            <a:spAutoFit/>
                          </wps:bodyPr>
                        </wps:wsp>
                        <wps:wsp>
                          <wps:cNvPr id="700" name="Rectangle 97"/>
                          <wps:cNvSpPr>
                            <a:spLocks noChangeArrowheads="1"/>
                          </wps:cNvSpPr>
                          <wps:spPr bwMode="auto">
                            <a:xfrm>
                              <a:off x="3436" y="2377"/>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irst H</w:t>
                                </w:r>
                              </w:p>
                            </w:txbxContent>
                          </wps:txbx>
                          <wps:bodyPr rot="0" vert="horz" wrap="none" lIns="0" tIns="0" rIns="0" bIns="0" anchor="t" anchorCtr="0" upright="1">
                            <a:spAutoFit/>
                          </wps:bodyPr>
                        </wps:wsp>
                        <wps:wsp>
                          <wps:cNvPr id="701" name="Rectangle 98"/>
                          <wps:cNvSpPr>
                            <a:spLocks noChangeArrowheads="1"/>
                          </wps:cNvSpPr>
                          <wps:spPr bwMode="auto">
                            <a:xfrm>
                              <a:off x="3810" y="2377"/>
                              <a:ext cx="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I</w:t>
                                </w:r>
                              </w:p>
                            </w:txbxContent>
                          </wps:txbx>
                          <wps:bodyPr rot="0" vert="horz" wrap="none" lIns="0" tIns="0" rIns="0" bIns="0" anchor="t" anchorCtr="0" upright="1">
                            <a:spAutoFit/>
                          </wps:bodyPr>
                        </wps:wsp>
                        <wps:wsp>
                          <wps:cNvPr id="702" name="Rectangle 99"/>
                          <wps:cNvSpPr>
                            <a:spLocks noChangeArrowheads="1"/>
                          </wps:cNvSpPr>
                          <wps:spPr bwMode="auto">
                            <a:xfrm>
                              <a:off x="3863" y="2377"/>
                              <a:ext cx="11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V </w:t>
                                </w:r>
                              </w:p>
                            </w:txbxContent>
                          </wps:txbx>
                          <wps:bodyPr rot="0" vert="horz" wrap="none" lIns="0" tIns="0" rIns="0" bIns="0" anchor="t" anchorCtr="0" upright="1">
                            <a:spAutoFit/>
                          </wps:bodyPr>
                        </wps:wsp>
                        <wps:wsp>
                          <wps:cNvPr id="703" name="Rectangle 100"/>
                          <wps:cNvSpPr>
                            <a:spLocks noChangeArrowheads="1"/>
                          </wps:cNvSpPr>
                          <wps:spPr bwMode="auto">
                            <a:xfrm>
                              <a:off x="4025" y="2377"/>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w:t>
                                </w:r>
                              </w:p>
                            </w:txbxContent>
                          </wps:txbx>
                          <wps:bodyPr rot="0" vert="horz" wrap="none" lIns="0" tIns="0" rIns="0" bIns="0" anchor="t" anchorCtr="0" upright="1">
                            <a:spAutoFit/>
                          </wps:bodyPr>
                        </wps:wsp>
                        <wps:wsp>
                          <wps:cNvPr id="9152" name="Rectangle 101"/>
                          <wps:cNvSpPr>
                            <a:spLocks noChangeArrowheads="1"/>
                          </wps:cNvSpPr>
                          <wps:spPr bwMode="auto">
                            <a:xfrm>
                              <a:off x="3302" y="257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R</w:t>
                                </w:r>
                              </w:p>
                            </w:txbxContent>
                          </wps:txbx>
                          <wps:bodyPr rot="0" vert="horz" wrap="none" lIns="0" tIns="0" rIns="0" bIns="0" anchor="t" anchorCtr="0" upright="1">
                            <a:spAutoFit/>
                          </wps:bodyPr>
                        </wps:wsp>
                        <wps:wsp>
                          <wps:cNvPr id="9153" name="Rectangle 102"/>
                          <wps:cNvSpPr>
                            <a:spLocks noChangeArrowheads="1"/>
                          </wps:cNvSpPr>
                          <wps:spPr bwMode="auto">
                            <a:xfrm>
                              <a:off x="3414" y="2574"/>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a</w:t>
                                </w:r>
                              </w:p>
                            </w:txbxContent>
                          </wps:txbx>
                          <wps:bodyPr rot="0" vert="horz" wrap="none" lIns="0" tIns="0" rIns="0" bIns="0" anchor="t" anchorCtr="0" upright="1">
                            <a:spAutoFit/>
                          </wps:bodyPr>
                        </wps:wsp>
                        <wps:wsp>
                          <wps:cNvPr id="9154" name="Rectangle 103"/>
                          <wps:cNvSpPr>
                            <a:spLocks noChangeArrowheads="1"/>
                          </wps:cNvSpPr>
                          <wps:spPr bwMode="auto">
                            <a:xfrm>
                              <a:off x="3486" y="2574"/>
                              <a:ext cx="41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pid Te</w:t>
                                </w:r>
                              </w:p>
                            </w:txbxContent>
                          </wps:txbx>
                          <wps:bodyPr rot="0" vert="horz" wrap="none" lIns="0" tIns="0" rIns="0" bIns="0" anchor="t" anchorCtr="0" upright="1">
                            <a:spAutoFit/>
                          </wps:bodyPr>
                        </wps:wsp>
                        <wps:wsp>
                          <wps:cNvPr id="9155" name="Rectangle 104"/>
                          <wps:cNvSpPr>
                            <a:spLocks noChangeArrowheads="1"/>
                          </wps:cNvSpPr>
                          <wps:spPr bwMode="auto">
                            <a:xfrm>
                              <a:off x="3913" y="2574"/>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st</w:t>
                                </w:r>
                              </w:p>
                            </w:txbxContent>
                          </wps:txbx>
                          <wps:bodyPr rot="0" vert="horz" wrap="none" lIns="0" tIns="0" rIns="0" bIns="0" anchor="t" anchorCtr="0" upright="1">
                            <a:spAutoFit/>
                          </wps:bodyPr>
                        </wps:wsp>
                        <wps:wsp>
                          <wps:cNvPr id="9158" name="Rectangle 105"/>
                          <wps:cNvSpPr>
                            <a:spLocks noChangeArrowheads="1"/>
                          </wps:cNvSpPr>
                          <wps:spPr bwMode="auto">
                            <a:xfrm>
                              <a:off x="4023" y="2574"/>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w:t>
                                </w:r>
                              </w:p>
                            </w:txbxContent>
                          </wps:txbx>
                          <wps:bodyPr rot="0" vert="horz" wrap="none" lIns="0" tIns="0" rIns="0" bIns="0" anchor="t" anchorCtr="0" upright="1">
                            <a:spAutoFit/>
                          </wps:bodyPr>
                        </wps:wsp>
                        <wps:wsp>
                          <wps:cNvPr id="9159" name="Freeform 106"/>
                          <wps:cNvSpPr>
                            <a:spLocks/>
                          </wps:cNvSpPr>
                          <wps:spPr bwMode="auto">
                            <a:xfrm>
                              <a:off x="1001" y="3375"/>
                              <a:ext cx="1968" cy="388"/>
                            </a:xfrm>
                            <a:custGeom>
                              <a:avLst/>
                              <a:gdLst>
                                <a:gd name="T0" fmla="*/ 0 w 1905"/>
                                <a:gd name="T1" fmla="*/ 62 h 376"/>
                                <a:gd name="T2" fmla="*/ 0 w 1905"/>
                                <a:gd name="T3" fmla="*/ 62 h 376"/>
                                <a:gd name="T4" fmla="*/ 63 w 1905"/>
                                <a:gd name="T5" fmla="*/ 0 h 376"/>
                                <a:gd name="T6" fmla="*/ 1842 w 1905"/>
                                <a:gd name="T7" fmla="*/ 0 h 376"/>
                                <a:gd name="T8" fmla="*/ 1905 w 1905"/>
                                <a:gd name="T9" fmla="*/ 62 h 376"/>
                                <a:gd name="T10" fmla="*/ 1905 w 1905"/>
                                <a:gd name="T11" fmla="*/ 313 h 376"/>
                                <a:gd name="T12" fmla="*/ 1842 w 1905"/>
                                <a:gd name="T13" fmla="*/ 376 h 376"/>
                                <a:gd name="T14" fmla="*/ 63 w 1905"/>
                                <a:gd name="T15" fmla="*/ 376 h 376"/>
                                <a:gd name="T16" fmla="*/ 0 w 1905"/>
                                <a:gd name="T17" fmla="*/ 313 h 376"/>
                                <a:gd name="T18" fmla="*/ 0 w 1905"/>
                                <a:gd name="T19" fmla="*/ 62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05" h="376">
                                  <a:moveTo>
                                    <a:pt x="0" y="62"/>
                                  </a:moveTo>
                                  <a:lnTo>
                                    <a:pt x="0" y="62"/>
                                  </a:lnTo>
                                  <a:cubicBezTo>
                                    <a:pt x="0" y="28"/>
                                    <a:pt x="29" y="0"/>
                                    <a:pt x="63" y="0"/>
                                  </a:cubicBezTo>
                                  <a:lnTo>
                                    <a:pt x="1842" y="0"/>
                                  </a:lnTo>
                                  <a:cubicBezTo>
                                    <a:pt x="1877" y="0"/>
                                    <a:pt x="1905" y="28"/>
                                    <a:pt x="1905" y="62"/>
                                  </a:cubicBezTo>
                                  <a:lnTo>
                                    <a:pt x="1905" y="313"/>
                                  </a:lnTo>
                                  <a:cubicBezTo>
                                    <a:pt x="1905" y="348"/>
                                    <a:pt x="1877" y="376"/>
                                    <a:pt x="1842" y="376"/>
                                  </a:cubicBezTo>
                                  <a:lnTo>
                                    <a:pt x="63" y="376"/>
                                  </a:lnTo>
                                  <a:cubicBezTo>
                                    <a:pt x="29" y="376"/>
                                    <a:pt x="0" y="348"/>
                                    <a:pt x="0" y="313"/>
                                  </a:cubicBezTo>
                                  <a:lnTo>
                                    <a:pt x="0" y="62"/>
                                  </a:lnTo>
                                  <a:close/>
                                </a:path>
                              </a:pathLst>
                            </a:custGeom>
                            <a:noFill/>
                            <a:ln w="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0" name="Rectangle 107"/>
                          <wps:cNvSpPr>
                            <a:spLocks noChangeArrowheads="1"/>
                          </wps:cNvSpPr>
                          <wps:spPr bwMode="auto">
                            <a:xfrm>
                              <a:off x="1553" y="3490"/>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Non</w:t>
                                </w:r>
                              </w:p>
                            </w:txbxContent>
                          </wps:txbx>
                          <wps:bodyPr rot="0" vert="horz" wrap="none" lIns="0" tIns="0" rIns="0" bIns="0" anchor="t" anchorCtr="0" upright="1">
                            <a:spAutoFit/>
                          </wps:bodyPr>
                        </wps:wsp>
                        <wps:wsp>
                          <wps:cNvPr id="9161" name="Rectangle 108"/>
                          <wps:cNvSpPr>
                            <a:spLocks noChangeArrowheads="1"/>
                          </wps:cNvSpPr>
                          <wps:spPr bwMode="auto">
                            <a:xfrm>
                              <a:off x="1838" y="3490"/>
                              <a:ext cx="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w:t>
                                </w:r>
                              </w:p>
                            </w:txbxContent>
                          </wps:txbx>
                          <wps:bodyPr rot="0" vert="horz" wrap="none" lIns="0" tIns="0" rIns="0" bIns="0" anchor="t" anchorCtr="0" upright="1">
                            <a:spAutoFit/>
                          </wps:bodyPr>
                        </wps:wsp>
                        <wps:wsp>
                          <wps:cNvPr id="9162" name="Rectangle 109"/>
                          <wps:cNvSpPr>
                            <a:spLocks noChangeArrowheads="1"/>
                          </wps:cNvSpPr>
                          <wps:spPr bwMode="auto">
                            <a:xfrm>
                              <a:off x="1892" y="3490"/>
                              <a:ext cx="1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re</w:t>
                                </w:r>
                              </w:p>
                            </w:txbxContent>
                          </wps:txbx>
                          <wps:bodyPr rot="0" vert="horz" wrap="none" lIns="0" tIns="0" rIns="0" bIns="0" anchor="t" anchorCtr="0" upright="1">
                            <a:spAutoFit/>
                          </wps:bodyPr>
                        </wps:wsp>
                        <wps:wsp>
                          <wps:cNvPr id="9163" name="Rectangle 110"/>
                          <wps:cNvSpPr>
                            <a:spLocks noChangeArrowheads="1"/>
                          </wps:cNvSpPr>
                          <wps:spPr bwMode="auto">
                            <a:xfrm>
                              <a:off x="2021" y="3490"/>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a</w:t>
                                </w:r>
                              </w:p>
                            </w:txbxContent>
                          </wps:txbx>
                          <wps:bodyPr rot="0" vert="horz" wrap="none" lIns="0" tIns="0" rIns="0" bIns="0" anchor="t" anchorCtr="0" upright="1">
                            <a:spAutoFit/>
                          </wps:bodyPr>
                        </wps:wsp>
                        <wps:wsp>
                          <wps:cNvPr id="9164" name="Rectangle 111"/>
                          <wps:cNvSpPr>
                            <a:spLocks noChangeArrowheads="1"/>
                          </wps:cNvSpPr>
                          <wps:spPr bwMode="auto">
                            <a:xfrm>
                              <a:off x="2094" y="3490"/>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c</w:t>
                                </w:r>
                              </w:p>
                            </w:txbxContent>
                          </wps:txbx>
                          <wps:bodyPr rot="0" vert="horz" wrap="none" lIns="0" tIns="0" rIns="0" bIns="0" anchor="t" anchorCtr="0" upright="1">
                            <a:spAutoFit/>
                          </wps:bodyPr>
                        </wps:wsp>
                        <wps:wsp>
                          <wps:cNvPr id="9165" name="Rectangle 112"/>
                          <wps:cNvSpPr>
                            <a:spLocks noChangeArrowheads="1"/>
                          </wps:cNvSpPr>
                          <wps:spPr bwMode="auto">
                            <a:xfrm>
                              <a:off x="2167" y="3490"/>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ti</w:t>
                                </w:r>
                              </w:p>
                            </w:txbxContent>
                          </wps:txbx>
                          <wps:bodyPr rot="0" vert="horz" wrap="none" lIns="0" tIns="0" rIns="0" bIns="0" anchor="t" anchorCtr="0" upright="1">
                            <a:spAutoFit/>
                          </wps:bodyPr>
                        </wps:wsp>
                        <wps:wsp>
                          <wps:cNvPr id="9166" name="Rectangle 113"/>
                          <wps:cNvSpPr>
                            <a:spLocks noChangeArrowheads="1"/>
                          </wps:cNvSpPr>
                          <wps:spPr bwMode="auto">
                            <a:xfrm>
                              <a:off x="2259" y="3490"/>
                              <a:ext cx="15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ve</w:t>
                                </w:r>
                              </w:p>
                            </w:txbxContent>
                          </wps:txbx>
                          <wps:bodyPr rot="0" vert="horz" wrap="none" lIns="0" tIns="0" rIns="0" bIns="0" anchor="t" anchorCtr="0" upright="1">
                            <a:spAutoFit/>
                          </wps:bodyPr>
                        </wps:wsp>
                        <wps:wsp>
                          <wps:cNvPr id="9167" name="Rectangle 114"/>
                          <wps:cNvSpPr>
                            <a:spLocks noChangeArrowheads="1"/>
                          </wps:cNvSpPr>
                          <wps:spPr bwMode="auto">
                            <a:xfrm>
                              <a:off x="2417" y="3490"/>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w:t>
                                </w:r>
                              </w:p>
                            </w:txbxContent>
                          </wps:txbx>
                          <wps:bodyPr rot="0" vert="horz" wrap="none" lIns="0" tIns="0" rIns="0" bIns="0" anchor="t" anchorCtr="0" upright="1">
                            <a:spAutoFit/>
                          </wps:bodyPr>
                        </wps:wsp>
                        <wps:wsp>
                          <wps:cNvPr id="9168" name="Freeform 115"/>
                          <wps:cNvSpPr>
                            <a:spLocks/>
                          </wps:cNvSpPr>
                          <wps:spPr bwMode="auto">
                            <a:xfrm>
                              <a:off x="4345" y="3375"/>
                              <a:ext cx="1967" cy="388"/>
                            </a:xfrm>
                            <a:custGeom>
                              <a:avLst/>
                              <a:gdLst>
                                <a:gd name="T0" fmla="*/ 0 w 1904"/>
                                <a:gd name="T1" fmla="*/ 62 h 376"/>
                                <a:gd name="T2" fmla="*/ 0 w 1904"/>
                                <a:gd name="T3" fmla="*/ 62 h 376"/>
                                <a:gd name="T4" fmla="*/ 62 w 1904"/>
                                <a:gd name="T5" fmla="*/ 0 h 376"/>
                                <a:gd name="T6" fmla="*/ 1841 w 1904"/>
                                <a:gd name="T7" fmla="*/ 0 h 376"/>
                                <a:gd name="T8" fmla="*/ 1904 w 1904"/>
                                <a:gd name="T9" fmla="*/ 62 h 376"/>
                                <a:gd name="T10" fmla="*/ 1904 w 1904"/>
                                <a:gd name="T11" fmla="*/ 313 h 376"/>
                                <a:gd name="T12" fmla="*/ 1841 w 1904"/>
                                <a:gd name="T13" fmla="*/ 376 h 376"/>
                                <a:gd name="T14" fmla="*/ 62 w 1904"/>
                                <a:gd name="T15" fmla="*/ 376 h 376"/>
                                <a:gd name="T16" fmla="*/ 0 w 1904"/>
                                <a:gd name="T17" fmla="*/ 313 h 376"/>
                                <a:gd name="T18" fmla="*/ 0 w 1904"/>
                                <a:gd name="T19" fmla="*/ 62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04" h="376">
                                  <a:moveTo>
                                    <a:pt x="0" y="62"/>
                                  </a:moveTo>
                                  <a:lnTo>
                                    <a:pt x="0" y="62"/>
                                  </a:lnTo>
                                  <a:cubicBezTo>
                                    <a:pt x="0" y="28"/>
                                    <a:pt x="28" y="0"/>
                                    <a:pt x="62" y="0"/>
                                  </a:cubicBezTo>
                                  <a:lnTo>
                                    <a:pt x="1841" y="0"/>
                                  </a:lnTo>
                                  <a:cubicBezTo>
                                    <a:pt x="1876" y="0"/>
                                    <a:pt x="1904" y="28"/>
                                    <a:pt x="1904" y="62"/>
                                  </a:cubicBezTo>
                                  <a:lnTo>
                                    <a:pt x="1904" y="313"/>
                                  </a:lnTo>
                                  <a:cubicBezTo>
                                    <a:pt x="1904" y="348"/>
                                    <a:pt x="1876" y="376"/>
                                    <a:pt x="1841" y="376"/>
                                  </a:cubicBezTo>
                                  <a:lnTo>
                                    <a:pt x="62" y="376"/>
                                  </a:lnTo>
                                  <a:cubicBezTo>
                                    <a:pt x="28" y="376"/>
                                    <a:pt x="0" y="348"/>
                                    <a:pt x="0" y="313"/>
                                  </a:cubicBezTo>
                                  <a:lnTo>
                                    <a:pt x="0" y="62"/>
                                  </a:lnTo>
                                  <a:close/>
                                </a:path>
                              </a:pathLst>
                            </a:custGeom>
                            <a:noFill/>
                            <a:ln w="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9" name="Rectangle 116"/>
                          <wps:cNvSpPr>
                            <a:spLocks noChangeArrowheads="1"/>
                          </wps:cNvSpPr>
                          <wps:spPr bwMode="auto">
                            <a:xfrm>
                              <a:off x="5039" y="3490"/>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R</w:t>
                                </w:r>
                              </w:p>
                            </w:txbxContent>
                          </wps:txbx>
                          <wps:bodyPr rot="0" vert="horz" wrap="none" lIns="0" tIns="0" rIns="0" bIns="0" anchor="t" anchorCtr="0" upright="1">
                            <a:spAutoFit/>
                          </wps:bodyPr>
                        </wps:wsp>
                        <wps:wsp>
                          <wps:cNvPr id="9170" name="Rectangle 117"/>
                          <wps:cNvSpPr>
                            <a:spLocks noChangeArrowheads="1"/>
                          </wps:cNvSpPr>
                          <wps:spPr bwMode="auto">
                            <a:xfrm>
                              <a:off x="5150" y="3490"/>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e</w:t>
                                </w:r>
                              </w:p>
                            </w:txbxContent>
                          </wps:txbx>
                          <wps:bodyPr rot="0" vert="horz" wrap="none" lIns="0" tIns="0" rIns="0" bIns="0" anchor="t" anchorCtr="0" upright="1">
                            <a:spAutoFit/>
                          </wps:bodyPr>
                        </wps:wsp>
                        <wps:wsp>
                          <wps:cNvPr id="9171" name="Rectangle 118"/>
                          <wps:cNvSpPr>
                            <a:spLocks noChangeArrowheads="1"/>
                          </wps:cNvSpPr>
                          <wps:spPr bwMode="auto">
                            <a:xfrm>
                              <a:off x="5223" y="3490"/>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a</w:t>
                                </w:r>
                              </w:p>
                            </w:txbxContent>
                          </wps:txbx>
                          <wps:bodyPr rot="0" vert="horz" wrap="none" lIns="0" tIns="0" rIns="0" bIns="0" anchor="t" anchorCtr="0" upright="1">
                            <a:spAutoFit/>
                          </wps:bodyPr>
                        </wps:wsp>
                        <wps:wsp>
                          <wps:cNvPr id="9172" name="Rectangle 119"/>
                          <wps:cNvSpPr>
                            <a:spLocks noChangeArrowheads="1"/>
                          </wps:cNvSpPr>
                          <wps:spPr bwMode="auto">
                            <a:xfrm>
                              <a:off x="5296" y="3490"/>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c</w:t>
                                </w:r>
                              </w:p>
                            </w:txbxContent>
                          </wps:txbx>
                          <wps:bodyPr rot="0" vert="horz" wrap="none" lIns="0" tIns="0" rIns="0" bIns="0" anchor="t" anchorCtr="0" upright="1">
                            <a:spAutoFit/>
                          </wps:bodyPr>
                        </wps:wsp>
                        <wps:wsp>
                          <wps:cNvPr id="9173" name="Rectangle 120"/>
                          <wps:cNvSpPr>
                            <a:spLocks noChangeArrowheads="1"/>
                          </wps:cNvSpPr>
                          <wps:spPr bwMode="auto">
                            <a:xfrm>
                              <a:off x="5369" y="3490"/>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ti</w:t>
                                </w:r>
                              </w:p>
                            </w:txbxContent>
                          </wps:txbx>
                          <wps:bodyPr rot="0" vert="horz" wrap="none" lIns="0" tIns="0" rIns="0" bIns="0" anchor="t" anchorCtr="0" upright="1">
                            <a:spAutoFit/>
                          </wps:bodyPr>
                        </wps:wsp>
                        <wps:wsp>
                          <wps:cNvPr id="9174" name="Rectangle 121"/>
                          <wps:cNvSpPr>
                            <a:spLocks noChangeArrowheads="1"/>
                          </wps:cNvSpPr>
                          <wps:spPr bwMode="auto">
                            <a:xfrm>
                              <a:off x="5461" y="3490"/>
                              <a:ext cx="15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ve</w:t>
                                </w:r>
                              </w:p>
                            </w:txbxContent>
                          </wps:txbx>
                          <wps:bodyPr rot="0" vert="horz" wrap="none" lIns="0" tIns="0" rIns="0" bIns="0" anchor="t" anchorCtr="0" upright="1">
                            <a:spAutoFit/>
                          </wps:bodyPr>
                        </wps:wsp>
                        <wps:wsp>
                          <wps:cNvPr id="9175" name="Rectangle 122"/>
                          <wps:cNvSpPr>
                            <a:spLocks noChangeArrowheads="1"/>
                          </wps:cNvSpPr>
                          <wps:spPr bwMode="auto">
                            <a:xfrm>
                              <a:off x="5619" y="3490"/>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w:t>
                                </w:r>
                              </w:p>
                            </w:txbxContent>
                          </wps:txbx>
                          <wps:bodyPr rot="0" vert="horz" wrap="none" lIns="0" tIns="0" rIns="0" bIns="0" anchor="t" anchorCtr="0" upright="1">
                            <a:spAutoFit/>
                          </wps:bodyPr>
                        </wps:wsp>
                        <wps:wsp>
                          <wps:cNvPr id="9176" name="Freeform 123"/>
                          <wps:cNvSpPr>
                            <a:spLocks/>
                          </wps:cNvSpPr>
                          <wps:spPr bwMode="auto">
                            <a:xfrm>
                              <a:off x="1001" y="3996"/>
                              <a:ext cx="1968" cy="350"/>
                            </a:xfrm>
                            <a:custGeom>
                              <a:avLst/>
                              <a:gdLst>
                                <a:gd name="T0" fmla="*/ 0 w 1905"/>
                                <a:gd name="T1" fmla="*/ 56 h 339"/>
                                <a:gd name="T2" fmla="*/ 0 w 1905"/>
                                <a:gd name="T3" fmla="*/ 56 h 339"/>
                                <a:gd name="T4" fmla="*/ 57 w 1905"/>
                                <a:gd name="T5" fmla="*/ 0 h 339"/>
                                <a:gd name="T6" fmla="*/ 1848 w 1905"/>
                                <a:gd name="T7" fmla="*/ 0 h 339"/>
                                <a:gd name="T8" fmla="*/ 1905 w 1905"/>
                                <a:gd name="T9" fmla="*/ 56 h 339"/>
                                <a:gd name="T10" fmla="*/ 1905 w 1905"/>
                                <a:gd name="T11" fmla="*/ 282 h 339"/>
                                <a:gd name="T12" fmla="*/ 1848 w 1905"/>
                                <a:gd name="T13" fmla="*/ 339 h 339"/>
                                <a:gd name="T14" fmla="*/ 57 w 1905"/>
                                <a:gd name="T15" fmla="*/ 339 h 339"/>
                                <a:gd name="T16" fmla="*/ 0 w 1905"/>
                                <a:gd name="T17" fmla="*/ 282 h 339"/>
                                <a:gd name="T18" fmla="*/ 0 w 1905"/>
                                <a:gd name="T19" fmla="*/ 56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05" h="339">
                                  <a:moveTo>
                                    <a:pt x="0" y="56"/>
                                  </a:moveTo>
                                  <a:lnTo>
                                    <a:pt x="0" y="56"/>
                                  </a:lnTo>
                                  <a:cubicBezTo>
                                    <a:pt x="0" y="25"/>
                                    <a:pt x="26" y="0"/>
                                    <a:pt x="57" y="0"/>
                                  </a:cubicBezTo>
                                  <a:lnTo>
                                    <a:pt x="1848" y="0"/>
                                  </a:lnTo>
                                  <a:cubicBezTo>
                                    <a:pt x="1880" y="0"/>
                                    <a:pt x="1905" y="25"/>
                                    <a:pt x="1905" y="56"/>
                                  </a:cubicBezTo>
                                  <a:lnTo>
                                    <a:pt x="1905" y="282"/>
                                  </a:lnTo>
                                  <a:cubicBezTo>
                                    <a:pt x="1905" y="313"/>
                                    <a:pt x="1880" y="339"/>
                                    <a:pt x="1848" y="339"/>
                                  </a:cubicBezTo>
                                  <a:lnTo>
                                    <a:pt x="57" y="339"/>
                                  </a:lnTo>
                                  <a:cubicBezTo>
                                    <a:pt x="26" y="339"/>
                                    <a:pt x="0" y="313"/>
                                    <a:pt x="0" y="282"/>
                                  </a:cubicBezTo>
                                  <a:lnTo>
                                    <a:pt x="0" y="56"/>
                                  </a:lnTo>
                                  <a:close/>
                                </a:path>
                              </a:pathLst>
                            </a:custGeom>
                            <a:solidFill>
                              <a:srgbClr val="CCFFCC"/>
                            </a:solidFill>
                            <a:ln w="0">
                              <a:solidFill>
                                <a:srgbClr val="000000"/>
                              </a:solidFill>
                              <a:round/>
                              <a:headEnd/>
                              <a:tailEnd/>
                            </a:ln>
                          </wps:spPr>
                          <wps:bodyPr rot="0" vert="horz" wrap="square" lIns="91440" tIns="45720" rIns="91440" bIns="45720" anchor="t" anchorCtr="0" upright="1">
                            <a:noAutofit/>
                          </wps:bodyPr>
                        </wps:wsp>
                        <wps:wsp>
                          <wps:cNvPr id="9177" name="Freeform 124"/>
                          <wps:cNvSpPr>
                            <a:spLocks/>
                          </wps:cNvSpPr>
                          <wps:spPr bwMode="auto">
                            <a:xfrm>
                              <a:off x="1001" y="3996"/>
                              <a:ext cx="1968" cy="350"/>
                            </a:xfrm>
                            <a:custGeom>
                              <a:avLst/>
                              <a:gdLst>
                                <a:gd name="T0" fmla="*/ 0 w 1905"/>
                                <a:gd name="T1" fmla="*/ 56 h 339"/>
                                <a:gd name="T2" fmla="*/ 0 w 1905"/>
                                <a:gd name="T3" fmla="*/ 56 h 339"/>
                                <a:gd name="T4" fmla="*/ 57 w 1905"/>
                                <a:gd name="T5" fmla="*/ 0 h 339"/>
                                <a:gd name="T6" fmla="*/ 1848 w 1905"/>
                                <a:gd name="T7" fmla="*/ 0 h 339"/>
                                <a:gd name="T8" fmla="*/ 1905 w 1905"/>
                                <a:gd name="T9" fmla="*/ 56 h 339"/>
                                <a:gd name="T10" fmla="*/ 1905 w 1905"/>
                                <a:gd name="T11" fmla="*/ 282 h 339"/>
                                <a:gd name="T12" fmla="*/ 1848 w 1905"/>
                                <a:gd name="T13" fmla="*/ 339 h 339"/>
                                <a:gd name="T14" fmla="*/ 57 w 1905"/>
                                <a:gd name="T15" fmla="*/ 339 h 339"/>
                                <a:gd name="T16" fmla="*/ 0 w 1905"/>
                                <a:gd name="T17" fmla="*/ 282 h 339"/>
                                <a:gd name="T18" fmla="*/ 0 w 1905"/>
                                <a:gd name="T19" fmla="*/ 56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05" h="339">
                                  <a:moveTo>
                                    <a:pt x="0" y="56"/>
                                  </a:moveTo>
                                  <a:lnTo>
                                    <a:pt x="0" y="56"/>
                                  </a:lnTo>
                                  <a:cubicBezTo>
                                    <a:pt x="0" y="25"/>
                                    <a:pt x="26" y="0"/>
                                    <a:pt x="57" y="0"/>
                                  </a:cubicBezTo>
                                  <a:lnTo>
                                    <a:pt x="1848" y="0"/>
                                  </a:lnTo>
                                  <a:cubicBezTo>
                                    <a:pt x="1880" y="0"/>
                                    <a:pt x="1905" y="25"/>
                                    <a:pt x="1905" y="56"/>
                                  </a:cubicBezTo>
                                  <a:lnTo>
                                    <a:pt x="1905" y="282"/>
                                  </a:lnTo>
                                  <a:cubicBezTo>
                                    <a:pt x="1905" y="313"/>
                                    <a:pt x="1880" y="339"/>
                                    <a:pt x="1848" y="339"/>
                                  </a:cubicBezTo>
                                  <a:lnTo>
                                    <a:pt x="57" y="339"/>
                                  </a:lnTo>
                                  <a:cubicBezTo>
                                    <a:pt x="26" y="339"/>
                                    <a:pt x="0" y="313"/>
                                    <a:pt x="0" y="282"/>
                                  </a:cubicBezTo>
                                  <a:lnTo>
                                    <a:pt x="0" y="56"/>
                                  </a:lnTo>
                                  <a:close/>
                                </a:path>
                              </a:pathLst>
                            </a:custGeom>
                            <a:noFill/>
                            <a:ln w="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8" name="Rectangle 125"/>
                          <wps:cNvSpPr>
                            <a:spLocks noChangeArrowheads="1"/>
                          </wps:cNvSpPr>
                          <wps:spPr bwMode="auto">
                            <a:xfrm>
                              <a:off x="1124" y="4074"/>
                              <a:ext cx="11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H</w:t>
                                </w:r>
                              </w:p>
                            </w:txbxContent>
                          </wps:txbx>
                          <wps:bodyPr rot="0" vert="horz" wrap="none" lIns="0" tIns="0" rIns="0" bIns="0" anchor="t" anchorCtr="0" upright="1">
                            <a:spAutoFit/>
                          </wps:bodyPr>
                        </wps:wsp>
                        <wps:wsp>
                          <wps:cNvPr id="9179" name="Rectangle 126"/>
                          <wps:cNvSpPr>
                            <a:spLocks noChangeArrowheads="1"/>
                          </wps:cNvSpPr>
                          <wps:spPr bwMode="auto">
                            <a:xfrm>
                              <a:off x="1245" y="4074"/>
                              <a:ext cx="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I</w:t>
                                </w:r>
                              </w:p>
                            </w:txbxContent>
                          </wps:txbx>
                          <wps:bodyPr rot="0" vert="horz" wrap="none" lIns="0" tIns="0" rIns="0" bIns="0" anchor="t" anchorCtr="0" upright="1">
                            <a:spAutoFit/>
                          </wps:bodyPr>
                        </wps:wsp>
                        <wps:wsp>
                          <wps:cNvPr id="9180" name="Rectangle 127"/>
                          <wps:cNvSpPr>
                            <a:spLocks noChangeArrowheads="1"/>
                          </wps:cNvSpPr>
                          <wps:spPr bwMode="auto">
                            <a:xfrm>
                              <a:off x="1297" y="4074"/>
                              <a:ext cx="2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V N</w:t>
                                </w:r>
                              </w:p>
                            </w:txbxContent>
                          </wps:txbx>
                          <wps:bodyPr rot="0" vert="horz" wrap="none" lIns="0" tIns="0" rIns="0" bIns="0" anchor="t" anchorCtr="0" upright="1">
                            <a:spAutoFit/>
                          </wps:bodyPr>
                        </wps:wsp>
                        <wps:wsp>
                          <wps:cNvPr id="9181" name="Rectangle 128"/>
                          <wps:cNvSpPr>
                            <a:spLocks noChangeArrowheads="1"/>
                          </wps:cNvSpPr>
                          <wps:spPr bwMode="auto">
                            <a:xfrm>
                              <a:off x="1577" y="4074"/>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e</w:t>
                                </w:r>
                              </w:p>
                            </w:txbxContent>
                          </wps:txbx>
                          <wps:bodyPr rot="0" vert="horz" wrap="none" lIns="0" tIns="0" rIns="0" bIns="0" anchor="t" anchorCtr="0" upright="1">
                            <a:spAutoFit/>
                          </wps:bodyPr>
                        </wps:wsp>
                        <wps:wsp>
                          <wps:cNvPr id="9182" name="Rectangle 129"/>
                          <wps:cNvSpPr>
                            <a:spLocks noChangeArrowheads="1"/>
                          </wps:cNvSpPr>
                          <wps:spPr bwMode="auto">
                            <a:xfrm>
                              <a:off x="1651" y="4074"/>
                              <a:ext cx="15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ga</w:t>
                                </w:r>
                              </w:p>
                            </w:txbxContent>
                          </wps:txbx>
                          <wps:bodyPr rot="0" vert="horz" wrap="none" lIns="0" tIns="0" rIns="0" bIns="0" anchor="t" anchorCtr="0" upright="1">
                            <a:spAutoFit/>
                          </wps:bodyPr>
                        </wps:wsp>
                        <wps:wsp>
                          <wps:cNvPr id="9183" name="Rectangle 130"/>
                          <wps:cNvSpPr>
                            <a:spLocks noChangeArrowheads="1"/>
                          </wps:cNvSpPr>
                          <wps:spPr bwMode="auto">
                            <a:xfrm>
                              <a:off x="1807" y="4074"/>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ti</w:t>
                                </w:r>
                              </w:p>
                            </w:txbxContent>
                          </wps:txbx>
                          <wps:bodyPr rot="0" vert="horz" wrap="none" lIns="0" tIns="0" rIns="0" bIns="0" anchor="t" anchorCtr="0" upright="1">
                            <a:spAutoFit/>
                          </wps:bodyPr>
                        </wps:wsp>
                        <wps:wsp>
                          <wps:cNvPr id="9184" name="Rectangle 131"/>
                          <wps:cNvSpPr>
                            <a:spLocks noChangeArrowheads="1"/>
                          </wps:cNvSpPr>
                          <wps:spPr bwMode="auto">
                            <a:xfrm>
                              <a:off x="1898" y="4074"/>
                              <a:ext cx="15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ve</w:t>
                                </w:r>
                              </w:p>
                            </w:txbxContent>
                          </wps:txbx>
                          <wps:bodyPr rot="0" vert="horz" wrap="none" lIns="0" tIns="0" rIns="0" bIns="0" anchor="t" anchorCtr="0" upright="1">
                            <a:spAutoFit/>
                          </wps:bodyPr>
                        </wps:wsp>
                        <wps:wsp>
                          <wps:cNvPr id="9185" name="Rectangle 132"/>
                          <wps:cNvSpPr>
                            <a:spLocks noChangeArrowheads="1"/>
                          </wps:cNvSpPr>
                          <wps:spPr bwMode="auto">
                            <a:xfrm>
                              <a:off x="2056" y="4074"/>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w:t>
                                </w:r>
                              </w:p>
                            </w:txbxContent>
                          </wps:txbx>
                          <wps:bodyPr rot="0" vert="horz" wrap="none" lIns="0" tIns="0" rIns="0" bIns="0" anchor="t" anchorCtr="0" upright="1">
                            <a:spAutoFit/>
                          </wps:bodyPr>
                        </wps:wsp>
                        <wps:wsp>
                          <wps:cNvPr id="9186" name="Freeform 133"/>
                          <wps:cNvSpPr>
                            <a:spLocks/>
                          </wps:cNvSpPr>
                          <wps:spPr bwMode="auto">
                            <a:xfrm>
                              <a:off x="5722" y="5860"/>
                              <a:ext cx="1967" cy="349"/>
                            </a:xfrm>
                            <a:custGeom>
                              <a:avLst/>
                              <a:gdLst>
                                <a:gd name="T0" fmla="*/ 0 w 1904"/>
                                <a:gd name="T1" fmla="*/ 57 h 339"/>
                                <a:gd name="T2" fmla="*/ 0 w 1904"/>
                                <a:gd name="T3" fmla="*/ 57 h 339"/>
                                <a:gd name="T4" fmla="*/ 56 w 1904"/>
                                <a:gd name="T5" fmla="*/ 0 h 339"/>
                                <a:gd name="T6" fmla="*/ 1848 w 1904"/>
                                <a:gd name="T7" fmla="*/ 0 h 339"/>
                                <a:gd name="T8" fmla="*/ 1904 w 1904"/>
                                <a:gd name="T9" fmla="*/ 57 h 339"/>
                                <a:gd name="T10" fmla="*/ 1904 w 1904"/>
                                <a:gd name="T11" fmla="*/ 282 h 339"/>
                                <a:gd name="T12" fmla="*/ 1848 w 1904"/>
                                <a:gd name="T13" fmla="*/ 339 h 339"/>
                                <a:gd name="T14" fmla="*/ 56 w 1904"/>
                                <a:gd name="T15" fmla="*/ 339 h 339"/>
                                <a:gd name="T16" fmla="*/ 0 w 1904"/>
                                <a:gd name="T17" fmla="*/ 282 h 339"/>
                                <a:gd name="T18" fmla="*/ 0 w 1904"/>
                                <a:gd name="T19" fmla="*/ 57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04" h="339">
                                  <a:moveTo>
                                    <a:pt x="0" y="57"/>
                                  </a:moveTo>
                                  <a:lnTo>
                                    <a:pt x="0" y="57"/>
                                  </a:lnTo>
                                  <a:cubicBezTo>
                                    <a:pt x="0" y="25"/>
                                    <a:pt x="25" y="0"/>
                                    <a:pt x="56" y="0"/>
                                  </a:cubicBezTo>
                                  <a:lnTo>
                                    <a:pt x="1848" y="0"/>
                                  </a:lnTo>
                                  <a:cubicBezTo>
                                    <a:pt x="1879" y="0"/>
                                    <a:pt x="1904" y="25"/>
                                    <a:pt x="1904" y="57"/>
                                  </a:cubicBezTo>
                                  <a:lnTo>
                                    <a:pt x="1904" y="282"/>
                                  </a:lnTo>
                                  <a:cubicBezTo>
                                    <a:pt x="1904" y="314"/>
                                    <a:pt x="1879" y="339"/>
                                    <a:pt x="1848" y="339"/>
                                  </a:cubicBezTo>
                                  <a:lnTo>
                                    <a:pt x="56" y="339"/>
                                  </a:lnTo>
                                  <a:cubicBezTo>
                                    <a:pt x="25" y="339"/>
                                    <a:pt x="0" y="314"/>
                                    <a:pt x="0" y="282"/>
                                  </a:cubicBezTo>
                                  <a:lnTo>
                                    <a:pt x="0" y="57"/>
                                  </a:lnTo>
                                  <a:close/>
                                </a:path>
                              </a:pathLst>
                            </a:custGeom>
                            <a:solidFill>
                              <a:srgbClr val="FFCC99"/>
                            </a:solidFill>
                            <a:ln w="0">
                              <a:solidFill>
                                <a:srgbClr val="000000"/>
                              </a:solidFill>
                              <a:round/>
                              <a:headEnd/>
                              <a:tailEnd/>
                            </a:ln>
                          </wps:spPr>
                          <wps:bodyPr rot="0" vert="horz" wrap="square" lIns="91440" tIns="45720" rIns="91440" bIns="45720" anchor="t" anchorCtr="0" upright="1">
                            <a:noAutofit/>
                          </wps:bodyPr>
                        </wps:wsp>
                        <wps:wsp>
                          <wps:cNvPr id="9187" name="Freeform 134"/>
                          <wps:cNvSpPr>
                            <a:spLocks/>
                          </wps:cNvSpPr>
                          <wps:spPr bwMode="auto">
                            <a:xfrm>
                              <a:off x="5722" y="5860"/>
                              <a:ext cx="1967" cy="349"/>
                            </a:xfrm>
                            <a:custGeom>
                              <a:avLst/>
                              <a:gdLst>
                                <a:gd name="T0" fmla="*/ 0 w 1904"/>
                                <a:gd name="T1" fmla="*/ 57 h 339"/>
                                <a:gd name="T2" fmla="*/ 0 w 1904"/>
                                <a:gd name="T3" fmla="*/ 57 h 339"/>
                                <a:gd name="T4" fmla="*/ 56 w 1904"/>
                                <a:gd name="T5" fmla="*/ 0 h 339"/>
                                <a:gd name="T6" fmla="*/ 1848 w 1904"/>
                                <a:gd name="T7" fmla="*/ 0 h 339"/>
                                <a:gd name="T8" fmla="*/ 1904 w 1904"/>
                                <a:gd name="T9" fmla="*/ 57 h 339"/>
                                <a:gd name="T10" fmla="*/ 1904 w 1904"/>
                                <a:gd name="T11" fmla="*/ 282 h 339"/>
                                <a:gd name="T12" fmla="*/ 1848 w 1904"/>
                                <a:gd name="T13" fmla="*/ 339 h 339"/>
                                <a:gd name="T14" fmla="*/ 56 w 1904"/>
                                <a:gd name="T15" fmla="*/ 339 h 339"/>
                                <a:gd name="T16" fmla="*/ 0 w 1904"/>
                                <a:gd name="T17" fmla="*/ 282 h 339"/>
                                <a:gd name="T18" fmla="*/ 0 w 1904"/>
                                <a:gd name="T19" fmla="*/ 57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04" h="339">
                                  <a:moveTo>
                                    <a:pt x="0" y="57"/>
                                  </a:moveTo>
                                  <a:lnTo>
                                    <a:pt x="0" y="57"/>
                                  </a:lnTo>
                                  <a:cubicBezTo>
                                    <a:pt x="0" y="25"/>
                                    <a:pt x="25" y="0"/>
                                    <a:pt x="56" y="0"/>
                                  </a:cubicBezTo>
                                  <a:lnTo>
                                    <a:pt x="1848" y="0"/>
                                  </a:lnTo>
                                  <a:cubicBezTo>
                                    <a:pt x="1879" y="0"/>
                                    <a:pt x="1904" y="25"/>
                                    <a:pt x="1904" y="57"/>
                                  </a:cubicBezTo>
                                  <a:lnTo>
                                    <a:pt x="1904" y="282"/>
                                  </a:lnTo>
                                  <a:cubicBezTo>
                                    <a:pt x="1904" y="314"/>
                                    <a:pt x="1879" y="339"/>
                                    <a:pt x="1848" y="339"/>
                                  </a:cubicBezTo>
                                  <a:lnTo>
                                    <a:pt x="56" y="339"/>
                                  </a:lnTo>
                                  <a:cubicBezTo>
                                    <a:pt x="25" y="339"/>
                                    <a:pt x="0" y="314"/>
                                    <a:pt x="0" y="282"/>
                                  </a:cubicBezTo>
                                  <a:lnTo>
                                    <a:pt x="0" y="57"/>
                                  </a:lnTo>
                                  <a:close/>
                                </a:path>
                              </a:pathLst>
                            </a:custGeom>
                            <a:noFill/>
                            <a:ln w="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8" name="Rectangle 135"/>
                          <wps:cNvSpPr>
                            <a:spLocks noChangeArrowheads="1"/>
                          </wps:cNvSpPr>
                          <wps:spPr bwMode="auto">
                            <a:xfrm>
                              <a:off x="6273" y="5974"/>
                              <a:ext cx="11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H</w:t>
                                </w:r>
                              </w:p>
                            </w:txbxContent>
                          </wps:txbx>
                          <wps:bodyPr rot="0" vert="horz" wrap="none" lIns="0" tIns="0" rIns="0" bIns="0" anchor="t" anchorCtr="0" upright="1">
                            <a:spAutoFit/>
                          </wps:bodyPr>
                        </wps:wsp>
                        <wps:wsp>
                          <wps:cNvPr id="9189" name="Rectangle 136"/>
                          <wps:cNvSpPr>
                            <a:spLocks noChangeArrowheads="1"/>
                          </wps:cNvSpPr>
                          <wps:spPr bwMode="auto">
                            <a:xfrm>
                              <a:off x="6394" y="5974"/>
                              <a:ext cx="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I</w:t>
                                </w:r>
                              </w:p>
                            </w:txbxContent>
                          </wps:txbx>
                          <wps:bodyPr rot="0" vert="horz" wrap="none" lIns="0" tIns="0" rIns="0" bIns="0" anchor="t" anchorCtr="0" upright="1">
                            <a:spAutoFit/>
                          </wps:bodyPr>
                        </wps:wsp>
                        <wps:wsp>
                          <wps:cNvPr id="9190" name="Rectangle 137"/>
                          <wps:cNvSpPr>
                            <a:spLocks noChangeArrowheads="1"/>
                          </wps:cNvSpPr>
                          <wps:spPr bwMode="auto">
                            <a:xfrm>
                              <a:off x="6446" y="5974"/>
                              <a:ext cx="38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V Pos</w:t>
                                </w:r>
                              </w:p>
                            </w:txbxContent>
                          </wps:txbx>
                          <wps:bodyPr rot="0" vert="horz" wrap="none" lIns="0" tIns="0" rIns="0" bIns="0" anchor="t" anchorCtr="0" upright="1">
                            <a:spAutoFit/>
                          </wps:bodyPr>
                        </wps:wsp>
                        <wps:wsp>
                          <wps:cNvPr id="9191" name="Rectangle 138"/>
                          <wps:cNvSpPr>
                            <a:spLocks noChangeArrowheads="1"/>
                          </wps:cNvSpPr>
                          <wps:spPr bwMode="auto">
                            <a:xfrm>
                              <a:off x="6846" y="5974"/>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it</w:t>
                                </w:r>
                              </w:p>
                            </w:txbxContent>
                          </wps:txbx>
                          <wps:bodyPr rot="0" vert="horz" wrap="none" lIns="0" tIns="0" rIns="0" bIns="0" anchor="t" anchorCtr="0" upright="1">
                            <a:spAutoFit/>
                          </wps:bodyPr>
                        </wps:wsp>
                        <wps:wsp>
                          <wps:cNvPr id="9192" name="Rectangle 139"/>
                          <wps:cNvSpPr>
                            <a:spLocks noChangeArrowheads="1"/>
                          </wps:cNvSpPr>
                          <wps:spPr bwMode="auto">
                            <a:xfrm>
                              <a:off x="6939" y="5974"/>
                              <a:ext cx="19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ive</w:t>
                                </w:r>
                              </w:p>
                            </w:txbxContent>
                          </wps:txbx>
                          <wps:bodyPr rot="0" vert="horz" wrap="none" lIns="0" tIns="0" rIns="0" bIns="0" anchor="t" anchorCtr="0" upright="1">
                            <a:spAutoFit/>
                          </wps:bodyPr>
                        </wps:wsp>
                        <wps:wsp>
                          <wps:cNvPr id="9193" name="Rectangle 140"/>
                          <wps:cNvSpPr>
                            <a:spLocks noChangeArrowheads="1"/>
                          </wps:cNvSpPr>
                          <wps:spPr bwMode="auto">
                            <a:xfrm>
                              <a:off x="7140" y="5974"/>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w:t>
                                </w:r>
                              </w:p>
                            </w:txbxContent>
                          </wps:txbx>
                          <wps:bodyPr rot="0" vert="horz" wrap="none" lIns="0" tIns="0" rIns="0" bIns="0" anchor="t" anchorCtr="0" upright="1">
                            <a:spAutoFit/>
                          </wps:bodyPr>
                        </wps:wsp>
                        <wps:wsp>
                          <wps:cNvPr id="9194" name="Freeform 141"/>
                          <wps:cNvSpPr>
                            <a:spLocks/>
                          </wps:cNvSpPr>
                          <wps:spPr bwMode="auto">
                            <a:xfrm>
                              <a:off x="2969" y="5860"/>
                              <a:ext cx="1966" cy="349"/>
                            </a:xfrm>
                            <a:custGeom>
                              <a:avLst/>
                              <a:gdLst>
                                <a:gd name="T0" fmla="*/ 0 w 1904"/>
                                <a:gd name="T1" fmla="*/ 57 h 339"/>
                                <a:gd name="T2" fmla="*/ 0 w 1904"/>
                                <a:gd name="T3" fmla="*/ 57 h 339"/>
                                <a:gd name="T4" fmla="*/ 56 w 1904"/>
                                <a:gd name="T5" fmla="*/ 0 h 339"/>
                                <a:gd name="T6" fmla="*/ 1848 w 1904"/>
                                <a:gd name="T7" fmla="*/ 0 h 339"/>
                                <a:gd name="T8" fmla="*/ 1904 w 1904"/>
                                <a:gd name="T9" fmla="*/ 57 h 339"/>
                                <a:gd name="T10" fmla="*/ 1904 w 1904"/>
                                <a:gd name="T11" fmla="*/ 282 h 339"/>
                                <a:gd name="T12" fmla="*/ 1848 w 1904"/>
                                <a:gd name="T13" fmla="*/ 339 h 339"/>
                                <a:gd name="T14" fmla="*/ 56 w 1904"/>
                                <a:gd name="T15" fmla="*/ 339 h 339"/>
                                <a:gd name="T16" fmla="*/ 0 w 1904"/>
                                <a:gd name="T17" fmla="*/ 282 h 339"/>
                                <a:gd name="T18" fmla="*/ 0 w 1904"/>
                                <a:gd name="T19" fmla="*/ 57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04" h="339">
                                  <a:moveTo>
                                    <a:pt x="0" y="57"/>
                                  </a:moveTo>
                                  <a:lnTo>
                                    <a:pt x="0" y="57"/>
                                  </a:lnTo>
                                  <a:cubicBezTo>
                                    <a:pt x="0" y="25"/>
                                    <a:pt x="25" y="0"/>
                                    <a:pt x="56" y="0"/>
                                  </a:cubicBezTo>
                                  <a:lnTo>
                                    <a:pt x="1848" y="0"/>
                                  </a:lnTo>
                                  <a:cubicBezTo>
                                    <a:pt x="1879" y="0"/>
                                    <a:pt x="1904" y="25"/>
                                    <a:pt x="1904" y="57"/>
                                  </a:cubicBezTo>
                                  <a:lnTo>
                                    <a:pt x="1904" y="282"/>
                                  </a:lnTo>
                                  <a:cubicBezTo>
                                    <a:pt x="1904" y="314"/>
                                    <a:pt x="1879" y="339"/>
                                    <a:pt x="1848" y="339"/>
                                  </a:cubicBezTo>
                                  <a:lnTo>
                                    <a:pt x="56" y="339"/>
                                  </a:lnTo>
                                  <a:cubicBezTo>
                                    <a:pt x="25" y="339"/>
                                    <a:pt x="0" y="314"/>
                                    <a:pt x="0" y="282"/>
                                  </a:cubicBezTo>
                                  <a:lnTo>
                                    <a:pt x="0" y="57"/>
                                  </a:lnTo>
                                  <a:close/>
                                </a:path>
                              </a:pathLst>
                            </a:custGeom>
                            <a:solidFill>
                              <a:srgbClr val="CC99FF"/>
                            </a:solidFill>
                            <a:ln w="0">
                              <a:solidFill>
                                <a:srgbClr val="000000"/>
                              </a:solidFill>
                              <a:round/>
                              <a:headEnd/>
                              <a:tailEnd/>
                            </a:ln>
                          </wps:spPr>
                          <wps:bodyPr rot="0" vert="horz" wrap="square" lIns="91440" tIns="45720" rIns="91440" bIns="45720" anchor="t" anchorCtr="0" upright="1">
                            <a:noAutofit/>
                          </wps:bodyPr>
                        </wps:wsp>
                        <wps:wsp>
                          <wps:cNvPr id="9195" name="Freeform 142"/>
                          <wps:cNvSpPr>
                            <a:spLocks/>
                          </wps:cNvSpPr>
                          <wps:spPr bwMode="auto">
                            <a:xfrm>
                              <a:off x="2969" y="5860"/>
                              <a:ext cx="1966" cy="349"/>
                            </a:xfrm>
                            <a:custGeom>
                              <a:avLst/>
                              <a:gdLst>
                                <a:gd name="T0" fmla="*/ 0 w 1904"/>
                                <a:gd name="T1" fmla="*/ 57 h 339"/>
                                <a:gd name="T2" fmla="*/ 0 w 1904"/>
                                <a:gd name="T3" fmla="*/ 57 h 339"/>
                                <a:gd name="T4" fmla="*/ 56 w 1904"/>
                                <a:gd name="T5" fmla="*/ 0 h 339"/>
                                <a:gd name="T6" fmla="*/ 1848 w 1904"/>
                                <a:gd name="T7" fmla="*/ 0 h 339"/>
                                <a:gd name="T8" fmla="*/ 1904 w 1904"/>
                                <a:gd name="T9" fmla="*/ 57 h 339"/>
                                <a:gd name="T10" fmla="*/ 1904 w 1904"/>
                                <a:gd name="T11" fmla="*/ 282 h 339"/>
                                <a:gd name="T12" fmla="*/ 1848 w 1904"/>
                                <a:gd name="T13" fmla="*/ 339 h 339"/>
                                <a:gd name="T14" fmla="*/ 56 w 1904"/>
                                <a:gd name="T15" fmla="*/ 339 h 339"/>
                                <a:gd name="T16" fmla="*/ 0 w 1904"/>
                                <a:gd name="T17" fmla="*/ 282 h 339"/>
                                <a:gd name="T18" fmla="*/ 0 w 1904"/>
                                <a:gd name="T19" fmla="*/ 57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04" h="339">
                                  <a:moveTo>
                                    <a:pt x="0" y="57"/>
                                  </a:moveTo>
                                  <a:lnTo>
                                    <a:pt x="0" y="57"/>
                                  </a:lnTo>
                                  <a:cubicBezTo>
                                    <a:pt x="0" y="25"/>
                                    <a:pt x="25" y="0"/>
                                    <a:pt x="56" y="0"/>
                                  </a:cubicBezTo>
                                  <a:lnTo>
                                    <a:pt x="1848" y="0"/>
                                  </a:lnTo>
                                  <a:cubicBezTo>
                                    <a:pt x="1879" y="0"/>
                                    <a:pt x="1904" y="25"/>
                                    <a:pt x="1904" y="57"/>
                                  </a:cubicBezTo>
                                  <a:lnTo>
                                    <a:pt x="1904" y="282"/>
                                  </a:lnTo>
                                  <a:cubicBezTo>
                                    <a:pt x="1904" y="314"/>
                                    <a:pt x="1879" y="339"/>
                                    <a:pt x="1848" y="339"/>
                                  </a:cubicBezTo>
                                  <a:lnTo>
                                    <a:pt x="56" y="339"/>
                                  </a:lnTo>
                                  <a:cubicBezTo>
                                    <a:pt x="25" y="339"/>
                                    <a:pt x="0" y="314"/>
                                    <a:pt x="0" y="282"/>
                                  </a:cubicBezTo>
                                  <a:lnTo>
                                    <a:pt x="0" y="57"/>
                                  </a:lnTo>
                                  <a:close/>
                                </a:path>
                              </a:pathLst>
                            </a:custGeom>
                            <a:noFill/>
                            <a:ln w="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6" name="Rectangle 143"/>
                          <wps:cNvSpPr>
                            <a:spLocks noChangeArrowheads="1"/>
                          </wps:cNvSpPr>
                          <wps:spPr bwMode="auto">
                            <a:xfrm>
                              <a:off x="3530" y="5974"/>
                              <a:ext cx="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I</w:t>
                                </w:r>
                              </w:p>
                            </w:txbxContent>
                          </wps:txbx>
                          <wps:bodyPr rot="0" vert="horz" wrap="none" lIns="0" tIns="0" rIns="0" bIns="0" anchor="t" anchorCtr="0" upright="1">
                            <a:spAutoFit/>
                          </wps:bodyPr>
                        </wps:wsp>
                        <wps:wsp>
                          <wps:cNvPr id="9197" name="Rectangle 144"/>
                          <wps:cNvSpPr>
                            <a:spLocks noChangeArrowheads="1"/>
                          </wps:cNvSpPr>
                          <wps:spPr bwMode="auto">
                            <a:xfrm>
                              <a:off x="3583" y="5974"/>
                              <a:ext cx="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n</w:t>
                                </w:r>
                              </w:p>
                            </w:txbxContent>
                          </wps:txbx>
                          <wps:bodyPr rot="0" vert="horz" wrap="none" lIns="0" tIns="0" rIns="0" bIns="0" anchor="t" anchorCtr="0" upright="1">
                            <a:spAutoFit/>
                          </wps:bodyPr>
                        </wps:wsp>
                        <wps:wsp>
                          <wps:cNvPr id="9198" name="Rectangle 145"/>
                          <wps:cNvSpPr>
                            <a:spLocks noChangeArrowheads="1"/>
                          </wps:cNvSpPr>
                          <wps:spPr bwMode="auto">
                            <a:xfrm>
                              <a:off x="3668" y="5974"/>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c</w:t>
                                </w:r>
                              </w:p>
                            </w:txbxContent>
                          </wps:txbx>
                          <wps:bodyPr rot="0" vert="horz" wrap="none" lIns="0" tIns="0" rIns="0" bIns="0" anchor="t" anchorCtr="0" upright="1">
                            <a:spAutoFit/>
                          </wps:bodyPr>
                        </wps:wsp>
                        <wps:wsp>
                          <wps:cNvPr id="9199" name="Rectangle 146"/>
                          <wps:cNvSpPr>
                            <a:spLocks noChangeArrowheads="1"/>
                          </wps:cNvSpPr>
                          <wps:spPr bwMode="auto">
                            <a:xfrm>
                              <a:off x="3740" y="5974"/>
                              <a:ext cx="23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onc</w:t>
                                </w:r>
                              </w:p>
                            </w:txbxContent>
                          </wps:txbx>
                          <wps:bodyPr rot="0" vert="horz" wrap="none" lIns="0" tIns="0" rIns="0" bIns="0" anchor="t" anchorCtr="0" upright="1">
                            <a:spAutoFit/>
                          </wps:bodyPr>
                        </wps:wsp>
                        <wps:wsp>
                          <wps:cNvPr id="9200" name="Rectangle 147"/>
                          <wps:cNvSpPr>
                            <a:spLocks noChangeArrowheads="1"/>
                          </wps:cNvSpPr>
                          <wps:spPr bwMode="auto">
                            <a:xfrm>
                              <a:off x="3979" y="5974"/>
                              <a:ext cx="23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lusi</w:t>
                                </w:r>
                              </w:p>
                            </w:txbxContent>
                          </wps:txbx>
                          <wps:bodyPr rot="0" vert="horz" wrap="none" lIns="0" tIns="0" rIns="0" bIns="0" anchor="t" anchorCtr="0" upright="1">
                            <a:spAutoFit/>
                          </wps:bodyPr>
                        </wps:wsp>
                        <wps:wsp>
                          <wps:cNvPr id="9201" name="Rectangle 148"/>
                          <wps:cNvSpPr>
                            <a:spLocks noChangeArrowheads="1"/>
                          </wps:cNvSpPr>
                          <wps:spPr bwMode="auto">
                            <a:xfrm>
                              <a:off x="4218" y="5974"/>
                              <a:ext cx="15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ve</w:t>
                                </w:r>
                              </w:p>
                            </w:txbxContent>
                          </wps:txbx>
                          <wps:bodyPr rot="0" vert="horz" wrap="none" lIns="0" tIns="0" rIns="0" bIns="0" anchor="t" anchorCtr="0" upright="1">
                            <a:spAutoFit/>
                          </wps:bodyPr>
                        </wps:wsp>
                        <wps:wsp>
                          <wps:cNvPr id="9202" name="Rectangle 149"/>
                          <wps:cNvSpPr>
                            <a:spLocks noChangeArrowheads="1"/>
                          </wps:cNvSpPr>
                          <wps:spPr bwMode="auto">
                            <a:xfrm>
                              <a:off x="4375" y="5974"/>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w:t>
                                </w:r>
                              </w:p>
                            </w:txbxContent>
                          </wps:txbx>
                          <wps:bodyPr rot="0" vert="horz" wrap="none" lIns="0" tIns="0" rIns="0" bIns="0" anchor="t" anchorCtr="0" upright="1">
                            <a:spAutoFit/>
                          </wps:bodyPr>
                        </wps:wsp>
                        <wps:wsp>
                          <wps:cNvPr id="9203" name="Freeform 150"/>
                          <wps:cNvSpPr>
                            <a:spLocks/>
                          </wps:cNvSpPr>
                          <wps:spPr bwMode="auto">
                            <a:xfrm>
                              <a:off x="3656" y="2888"/>
                              <a:ext cx="1" cy="233"/>
                            </a:xfrm>
                            <a:custGeom>
                              <a:avLst/>
                              <a:gdLst>
                                <a:gd name="T0" fmla="*/ 0 h 226"/>
                                <a:gd name="T1" fmla="*/ 0 h 226"/>
                                <a:gd name="T2" fmla="*/ 226 h 226"/>
                              </a:gdLst>
                              <a:ahLst/>
                              <a:cxnLst>
                                <a:cxn ang="0">
                                  <a:pos x="0" y="T0"/>
                                </a:cxn>
                                <a:cxn ang="0">
                                  <a:pos x="0" y="T1"/>
                                </a:cxn>
                                <a:cxn ang="0">
                                  <a:pos x="0" y="T2"/>
                                </a:cxn>
                              </a:cxnLst>
                              <a:rect l="0" t="0" r="r" b="b"/>
                              <a:pathLst>
                                <a:path h="226">
                                  <a:moveTo>
                                    <a:pt x="0" y="0"/>
                                  </a:moveTo>
                                  <a:lnTo>
                                    <a:pt x="0" y="0"/>
                                  </a:lnTo>
                                  <a:lnTo>
                                    <a:pt x="0" y="226"/>
                                  </a:lnTo>
                                </a:path>
                              </a:pathLst>
                            </a:custGeom>
                            <a:noFill/>
                            <a:ln w="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4" name="Freeform 151"/>
                          <wps:cNvSpPr>
                            <a:spLocks noEditPoints="1"/>
                          </wps:cNvSpPr>
                          <wps:spPr bwMode="auto">
                            <a:xfrm>
                              <a:off x="1848" y="3122"/>
                              <a:ext cx="82" cy="252"/>
                            </a:xfrm>
                            <a:custGeom>
                              <a:avLst/>
                              <a:gdLst>
                                <a:gd name="T0" fmla="*/ 46 w 80"/>
                                <a:gd name="T1" fmla="*/ 0 h 244"/>
                                <a:gd name="T2" fmla="*/ 46 w 80"/>
                                <a:gd name="T3" fmla="*/ 0 h 244"/>
                                <a:gd name="T4" fmla="*/ 46 w 80"/>
                                <a:gd name="T5" fmla="*/ 177 h 244"/>
                                <a:gd name="T6" fmla="*/ 33 w 80"/>
                                <a:gd name="T7" fmla="*/ 177 h 244"/>
                                <a:gd name="T8" fmla="*/ 33 w 80"/>
                                <a:gd name="T9" fmla="*/ 0 h 244"/>
                                <a:gd name="T10" fmla="*/ 46 w 80"/>
                                <a:gd name="T11" fmla="*/ 0 h 244"/>
                                <a:gd name="T12" fmla="*/ 80 w 80"/>
                                <a:gd name="T13" fmla="*/ 164 h 244"/>
                                <a:gd name="T14" fmla="*/ 80 w 80"/>
                                <a:gd name="T15" fmla="*/ 164 h 244"/>
                                <a:gd name="T16" fmla="*/ 40 w 80"/>
                                <a:gd name="T17" fmla="*/ 244 h 244"/>
                                <a:gd name="T18" fmla="*/ 0 w 80"/>
                                <a:gd name="T19" fmla="*/ 164 h 244"/>
                                <a:gd name="T20" fmla="*/ 80 w 80"/>
                                <a:gd name="T21" fmla="*/ 164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244">
                                  <a:moveTo>
                                    <a:pt x="46" y="0"/>
                                  </a:moveTo>
                                  <a:lnTo>
                                    <a:pt x="46" y="0"/>
                                  </a:lnTo>
                                  <a:lnTo>
                                    <a:pt x="46" y="177"/>
                                  </a:lnTo>
                                  <a:lnTo>
                                    <a:pt x="33" y="177"/>
                                  </a:lnTo>
                                  <a:lnTo>
                                    <a:pt x="33" y="0"/>
                                  </a:lnTo>
                                  <a:lnTo>
                                    <a:pt x="46" y="0"/>
                                  </a:lnTo>
                                  <a:close/>
                                  <a:moveTo>
                                    <a:pt x="80" y="164"/>
                                  </a:moveTo>
                                  <a:lnTo>
                                    <a:pt x="80" y="164"/>
                                  </a:lnTo>
                                  <a:lnTo>
                                    <a:pt x="40" y="244"/>
                                  </a:lnTo>
                                  <a:lnTo>
                                    <a:pt x="0" y="164"/>
                                  </a:lnTo>
                                  <a:lnTo>
                                    <a:pt x="80" y="16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205" name="Freeform 152"/>
                          <wps:cNvSpPr>
                            <a:spLocks noEditPoints="1"/>
                          </wps:cNvSpPr>
                          <wps:spPr bwMode="auto">
                            <a:xfrm>
                              <a:off x="5388" y="3122"/>
                              <a:ext cx="82" cy="252"/>
                            </a:xfrm>
                            <a:custGeom>
                              <a:avLst/>
                              <a:gdLst>
                                <a:gd name="T0" fmla="*/ 47 w 80"/>
                                <a:gd name="T1" fmla="*/ 0 h 244"/>
                                <a:gd name="T2" fmla="*/ 47 w 80"/>
                                <a:gd name="T3" fmla="*/ 0 h 244"/>
                                <a:gd name="T4" fmla="*/ 47 w 80"/>
                                <a:gd name="T5" fmla="*/ 177 h 244"/>
                                <a:gd name="T6" fmla="*/ 34 w 80"/>
                                <a:gd name="T7" fmla="*/ 177 h 244"/>
                                <a:gd name="T8" fmla="*/ 34 w 80"/>
                                <a:gd name="T9" fmla="*/ 0 h 244"/>
                                <a:gd name="T10" fmla="*/ 47 w 80"/>
                                <a:gd name="T11" fmla="*/ 0 h 244"/>
                                <a:gd name="T12" fmla="*/ 80 w 80"/>
                                <a:gd name="T13" fmla="*/ 164 h 244"/>
                                <a:gd name="T14" fmla="*/ 80 w 80"/>
                                <a:gd name="T15" fmla="*/ 164 h 244"/>
                                <a:gd name="T16" fmla="*/ 40 w 80"/>
                                <a:gd name="T17" fmla="*/ 244 h 244"/>
                                <a:gd name="T18" fmla="*/ 0 w 80"/>
                                <a:gd name="T19" fmla="*/ 164 h 244"/>
                                <a:gd name="T20" fmla="*/ 80 w 80"/>
                                <a:gd name="T21" fmla="*/ 164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244">
                                  <a:moveTo>
                                    <a:pt x="47" y="0"/>
                                  </a:moveTo>
                                  <a:lnTo>
                                    <a:pt x="47" y="0"/>
                                  </a:lnTo>
                                  <a:lnTo>
                                    <a:pt x="47" y="177"/>
                                  </a:lnTo>
                                  <a:lnTo>
                                    <a:pt x="34" y="177"/>
                                  </a:lnTo>
                                  <a:lnTo>
                                    <a:pt x="34" y="0"/>
                                  </a:lnTo>
                                  <a:lnTo>
                                    <a:pt x="47" y="0"/>
                                  </a:lnTo>
                                  <a:close/>
                                  <a:moveTo>
                                    <a:pt x="80" y="164"/>
                                  </a:moveTo>
                                  <a:lnTo>
                                    <a:pt x="80" y="164"/>
                                  </a:lnTo>
                                  <a:lnTo>
                                    <a:pt x="40" y="244"/>
                                  </a:lnTo>
                                  <a:lnTo>
                                    <a:pt x="0" y="164"/>
                                  </a:lnTo>
                                  <a:lnTo>
                                    <a:pt x="80" y="16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206" name="Freeform 153"/>
                          <wps:cNvSpPr>
                            <a:spLocks/>
                          </wps:cNvSpPr>
                          <wps:spPr bwMode="auto">
                            <a:xfrm>
                              <a:off x="3952" y="3996"/>
                              <a:ext cx="2753" cy="815"/>
                            </a:xfrm>
                            <a:custGeom>
                              <a:avLst/>
                              <a:gdLst>
                                <a:gd name="T0" fmla="*/ 0 w 2666"/>
                                <a:gd name="T1" fmla="*/ 131 h 790"/>
                                <a:gd name="T2" fmla="*/ 0 w 2666"/>
                                <a:gd name="T3" fmla="*/ 131 h 790"/>
                                <a:gd name="T4" fmla="*/ 132 w 2666"/>
                                <a:gd name="T5" fmla="*/ 0 h 790"/>
                                <a:gd name="T6" fmla="*/ 2534 w 2666"/>
                                <a:gd name="T7" fmla="*/ 0 h 790"/>
                                <a:gd name="T8" fmla="*/ 2666 w 2666"/>
                                <a:gd name="T9" fmla="*/ 131 h 790"/>
                                <a:gd name="T10" fmla="*/ 2666 w 2666"/>
                                <a:gd name="T11" fmla="*/ 658 h 790"/>
                                <a:gd name="T12" fmla="*/ 2534 w 2666"/>
                                <a:gd name="T13" fmla="*/ 790 h 790"/>
                                <a:gd name="T14" fmla="*/ 132 w 2666"/>
                                <a:gd name="T15" fmla="*/ 790 h 790"/>
                                <a:gd name="T16" fmla="*/ 0 w 2666"/>
                                <a:gd name="T17" fmla="*/ 658 h 790"/>
                                <a:gd name="T18" fmla="*/ 0 w 2666"/>
                                <a:gd name="T19" fmla="*/ 131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66" h="790">
                                  <a:moveTo>
                                    <a:pt x="0" y="131"/>
                                  </a:moveTo>
                                  <a:lnTo>
                                    <a:pt x="0" y="131"/>
                                  </a:lnTo>
                                  <a:cubicBezTo>
                                    <a:pt x="0" y="59"/>
                                    <a:pt x="59" y="0"/>
                                    <a:pt x="132" y="0"/>
                                  </a:cubicBezTo>
                                  <a:lnTo>
                                    <a:pt x="2534" y="0"/>
                                  </a:lnTo>
                                  <a:cubicBezTo>
                                    <a:pt x="2607" y="0"/>
                                    <a:pt x="2666" y="59"/>
                                    <a:pt x="2666" y="131"/>
                                  </a:cubicBezTo>
                                  <a:lnTo>
                                    <a:pt x="2666" y="658"/>
                                  </a:lnTo>
                                  <a:cubicBezTo>
                                    <a:pt x="2666" y="731"/>
                                    <a:pt x="2607" y="790"/>
                                    <a:pt x="2534" y="790"/>
                                  </a:cubicBezTo>
                                  <a:lnTo>
                                    <a:pt x="132" y="790"/>
                                  </a:lnTo>
                                  <a:cubicBezTo>
                                    <a:pt x="59" y="790"/>
                                    <a:pt x="0" y="731"/>
                                    <a:pt x="0" y="658"/>
                                  </a:cubicBezTo>
                                  <a:lnTo>
                                    <a:pt x="0" y="131"/>
                                  </a:lnTo>
                                  <a:close/>
                                </a:path>
                              </a:pathLst>
                            </a:custGeom>
                            <a:noFill/>
                            <a:ln w="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7" name="Rectangle 154"/>
                          <wps:cNvSpPr>
                            <a:spLocks noChangeArrowheads="1"/>
                          </wps:cNvSpPr>
                          <wps:spPr bwMode="auto">
                            <a:xfrm>
                              <a:off x="4321" y="4132"/>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S</w:t>
                                </w:r>
                              </w:p>
                            </w:txbxContent>
                          </wps:txbx>
                          <wps:bodyPr rot="0" vert="horz" wrap="none" lIns="0" tIns="0" rIns="0" bIns="0" anchor="t" anchorCtr="0" upright="1">
                            <a:spAutoFit/>
                          </wps:bodyPr>
                        </wps:wsp>
                        <wps:wsp>
                          <wps:cNvPr id="9208" name="Rectangle 155"/>
                          <wps:cNvSpPr>
                            <a:spLocks noChangeArrowheads="1"/>
                          </wps:cNvSpPr>
                          <wps:spPr bwMode="auto">
                            <a:xfrm>
                              <a:off x="4414" y="4132"/>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e</w:t>
                                </w:r>
                              </w:p>
                            </w:txbxContent>
                          </wps:txbx>
                          <wps:bodyPr rot="0" vert="horz" wrap="none" lIns="0" tIns="0" rIns="0" bIns="0" anchor="t" anchorCtr="0" upright="1">
                            <a:spAutoFit/>
                          </wps:bodyPr>
                        </wps:wsp>
                        <wps:wsp>
                          <wps:cNvPr id="9209" name="Rectangle 156"/>
                          <wps:cNvSpPr>
                            <a:spLocks noChangeArrowheads="1"/>
                          </wps:cNvSpPr>
                          <wps:spPr bwMode="auto">
                            <a:xfrm>
                              <a:off x="4486" y="4132"/>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c</w:t>
                                </w:r>
                              </w:p>
                            </w:txbxContent>
                          </wps:txbx>
                          <wps:bodyPr rot="0" vert="horz" wrap="none" lIns="0" tIns="0" rIns="0" bIns="0" anchor="t" anchorCtr="0" upright="1">
                            <a:spAutoFit/>
                          </wps:bodyPr>
                        </wps:wsp>
                        <wps:wsp>
                          <wps:cNvPr id="9210" name="Rectangle 157"/>
                          <wps:cNvSpPr>
                            <a:spLocks noChangeArrowheads="1"/>
                          </wps:cNvSpPr>
                          <wps:spPr bwMode="auto">
                            <a:xfrm>
                              <a:off x="4559" y="4132"/>
                              <a:ext cx="39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ond H</w:t>
                                </w:r>
                              </w:p>
                            </w:txbxContent>
                          </wps:txbx>
                          <wps:bodyPr rot="0" vert="horz" wrap="none" lIns="0" tIns="0" rIns="0" bIns="0" anchor="t" anchorCtr="0" upright="1">
                            <a:spAutoFit/>
                          </wps:bodyPr>
                        </wps:wsp>
                        <wps:wsp>
                          <wps:cNvPr id="9211" name="Rectangle 158"/>
                          <wps:cNvSpPr>
                            <a:spLocks noChangeArrowheads="1"/>
                          </wps:cNvSpPr>
                          <wps:spPr bwMode="auto">
                            <a:xfrm>
                              <a:off x="4968" y="4132"/>
                              <a:ext cx="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I</w:t>
                                </w:r>
                              </w:p>
                            </w:txbxContent>
                          </wps:txbx>
                          <wps:bodyPr rot="0" vert="horz" wrap="none" lIns="0" tIns="0" rIns="0" bIns="0" anchor="t" anchorCtr="0" upright="1">
                            <a:spAutoFit/>
                          </wps:bodyPr>
                        </wps:wsp>
                        <wps:wsp>
                          <wps:cNvPr id="9212" name="Rectangle 159"/>
                          <wps:cNvSpPr>
                            <a:spLocks noChangeArrowheads="1"/>
                          </wps:cNvSpPr>
                          <wps:spPr bwMode="auto">
                            <a:xfrm>
                              <a:off x="5021" y="4132"/>
                              <a:ext cx="3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V Ra</w:t>
                                </w:r>
                              </w:p>
                            </w:txbxContent>
                          </wps:txbx>
                          <wps:bodyPr rot="0" vert="horz" wrap="none" lIns="0" tIns="0" rIns="0" bIns="0" anchor="t" anchorCtr="0" upright="1">
                            <a:spAutoFit/>
                          </wps:bodyPr>
                        </wps:wsp>
                        <wps:wsp>
                          <wps:cNvPr id="9215" name="Rectangle 160"/>
                          <wps:cNvSpPr>
                            <a:spLocks noChangeArrowheads="1"/>
                          </wps:cNvSpPr>
                          <wps:spPr bwMode="auto">
                            <a:xfrm>
                              <a:off x="5365" y="4132"/>
                              <a:ext cx="34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pid T</w:t>
                                </w:r>
                              </w:p>
                            </w:txbxContent>
                          </wps:txbx>
                          <wps:bodyPr rot="0" vert="horz" wrap="none" lIns="0" tIns="0" rIns="0" bIns="0" anchor="t" anchorCtr="0" upright="1">
                            <a:spAutoFit/>
                          </wps:bodyPr>
                        </wps:wsp>
                        <wps:wsp>
                          <wps:cNvPr id="704" name="Rectangle 161"/>
                          <wps:cNvSpPr>
                            <a:spLocks noChangeArrowheads="1"/>
                          </wps:cNvSpPr>
                          <wps:spPr bwMode="auto">
                            <a:xfrm>
                              <a:off x="5720" y="4132"/>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e</w:t>
                                </w:r>
                              </w:p>
                            </w:txbxContent>
                          </wps:txbx>
                          <wps:bodyPr rot="0" vert="horz" wrap="none" lIns="0" tIns="0" rIns="0" bIns="0" anchor="t" anchorCtr="0" upright="1">
                            <a:spAutoFit/>
                          </wps:bodyPr>
                        </wps:wsp>
                        <wps:wsp>
                          <wps:cNvPr id="705" name="Rectangle 162"/>
                          <wps:cNvSpPr>
                            <a:spLocks noChangeArrowheads="1"/>
                          </wps:cNvSpPr>
                          <wps:spPr bwMode="auto">
                            <a:xfrm>
                              <a:off x="5792" y="413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st </w:t>
                                </w:r>
                              </w:p>
                            </w:txbxContent>
                          </wps:txbx>
                          <wps:bodyPr rot="0" vert="horz" wrap="none" lIns="0" tIns="0" rIns="0" bIns="0" anchor="t" anchorCtr="0" upright="1">
                            <a:spAutoFit/>
                          </wps:bodyPr>
                        </wps:wsp>
                        <wps:wsp>
                          <wps:cNvPr id="706" name="Rectangle 163"/>
                          <wps:cNvSpPr>
                            <a:spLocks noChangeArrowheads="1"/>
                          </wps:cNvSpPr>
                          <wps:spPr bwMode="auto">
                            <a:xfrm>
                              <a:off x="5946" y="4132"/>
                              <a:ext cx="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w:t>
                                </w:r>
                              </w:p>
                            </w:txbxContent>
                          </wps:txbx>
                          <wps:bodyPr rot="0" vert="horz" wrap="none" lIns="0" tIns="0" rIns="0" bIns="0" anchor="t" anchorCtr="0" upright="1">
                            <a:spAutoFit/>
                          </wps:bodyPr>
                        </wps:wsp>
                        <wps:wsp>
                          <wps:cNvPr id="707" name="Rectangle 164"/>
                          <wps:cNvSpPr>
                            <a:spLocks noChangeArrowheads="1"/>
                          </wps:cNvSpPr>
                          <wps:spPr bwMode="auto">
                            <a:xfrm>
                              <a:off x="6002" y="4132"/>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sa</w:t>
                                </w:r>
                              </w:p>
                            </w:txbxContent>
                          </wps:txbx>
                          <wps:bodyPr rot="0" vert="horz" wrap="none" lIns="0" tIns="0" rIns="0" bIns="0" anchor="t" anchorCtr="0" upright="1">
                            <a:spAutoFit/>
                          </wps:bodyPr>
                        </wps:wsp>
                        <wps:wsp>
                          <wps:cNvPr id="708" name="Rectangle 165"/>
                          <wps:cNvSpPr>
                            <a:spLocks noChangeArrowheads="1"/>
                          </wps:cNvSpPr>
                          <wps:spPr bwMode="auto">
                            <a:xfrm>
                              <a:off x="6139" y="4132"/>
                              <a:ext cx="19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me </w:t>
                                </w:r>
                              </w:p>
                            </w:txbxContent>
                          </wps:txbx>
                          <wps:bodyPr rot="0" vert="horz" wrap="none" lIns="0" tIns="0" rIns="0" bIns="0" anchor="t" anchorCtr="0" upright="1">
                            <a:spAutoFit/>
                          </wps:bodyPr>
                        </wps:wsp>
                        <wps:wsp>
                          <wps:cNvPr id="709" name="Rectangle 166"/>
                          <wps:cNvSpPr>
                            <a:spLocks noChangeArrowheads="1"/>
                          </wps:cNvSpPr>
                          <wps:spPr bwMode="auto">
                            <a:xfrm>
                              <a:off x="5068" y="4327"/>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sa</w:t>
                                </w:r>
                              </w:p>
                            </w:txbxContent>
                          </wps:txbx>
                          <wps:bodyPr rot="0" vert="horz" wrap="none" lIns="0" tIns="0" rIns="0" bIns="0" anchor="t" anchorCtr="0" upright="1">
                            <a:spAutoFit/>
                          </wps:bodyPr>
                        </wps:wsp>
                        <wps:wsp>
                          <wps:cNvPr id="710" name="Rectangle 167"/>
                          <wps:cNvSpPr>
                            <a:spLocks noChangeArrowheads="1"/>
                          </wps:cNvSpPr>
                          <wps:spPr bwMode="auto">
                            <a:xfrm>
                              <a:off x="5205" y="4327"/>
                              <a:ext cx="24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mpl</w:t>
                                </w:r>
                              </w:p>
                            </w:txbxContent>
                          </wps:txbx>
                          <wps:bodyPr rot="0" vert="horz" wrap="none" lIns="0" tIns="0" rIns="0" bIns="0" anchor="t" anchorCtr="0" upright="1">
                            <a:spAutoFit/>
                          </wps:bodyPr>
                        </wps:wsp>
                        <wps:wsp>
                          <wps:cNvPr id="711" name="Rectangle 168"/>
                          <wps:cNvSpPr>
                            <a:spLocks noChangeArrowheads="1"/>
                          </wps:cNvSpPr>
                          <wps:spPr bwMode="auto">
                            <a:xfrm>
                              <a:off x="5463" y="4327"/>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e</w:t>
                                </w:r>
                              </w:p>
                            </w:txbxContent>
                          </wps:txbx>
                          <wps:bodyPr rot="0" vert="horz" wrap="none" lIns="0" tIns="0" rIns="0" bIns="0" anchor="t" anchorCtr="0" upright="1">
                            <a:spAutoFit/>
                          </wps:bodyPr>
                        </wps:wsp>
                        <wps:wsp>
                          <wps:cNvPr id="712" name="Rectangle 169"/>
                          <wps:cNvSpPr>
                            <a:spLocks noChangeArrowheads="1"/>
                          </wps:cNvSpPr>
                          <wps:spPr bwMode="auto">
                            <a:xfrm>
                              <a:off x="5535" y="4327"/>
                              <a:ext cx="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w:t>
                                </w:r>
                              </w:p>
                            </w:txbxContent>
                          </wps:txbx>
                          <wps:bodyPr rot="0" vert="horz" wrap="none" lIns="0" tIns="0" rIns="0" bIns="0" anchor="t" anchorCtr="0" upright="1">
                            <a:spAutoFit/>
                          </wps:bodyPr>
                        </wps:wsp>
                        <wps:wsp>
                          <wps:cNvPr id="713" name="Rectangle 170"/>
                          <wps:cNvSpPr>
                            <a:spLocks noChangeArrowheads="1"/>
                          </wps:cNvSpPr>
                          <wps:spPr bwMode="auto">
                            <a:xfrm>
                              <a:off x="5592" y="4327"/>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w:t>
                                </w:r>
                              </w:p>
                            </w:txbxContent>
                          </wps:txbx>
                          <wps:bodyPr rot="0" vert="horz" wrap="none" lIns="0" tIns="0" rIns="0" bIns="0" anchor="t" anchorCtr="0" upright="1">
                            <a:spAutoFit/>
                          </wps:bodyPr>
                        </wps:wsp>
                        <wps:wsp>
                          <wps:cNvPr id="714" name="Freeform 171"/>
                          <wps:cNvSpPr>
                            <a:spLocks/>
                          </wps:cNvSpPr>
                          <wps:spPr bwMode="auto">
                            <a:xfrm>
                              <a:off x="2969" y="5278"/>
                              <a:ext cx="1966" cy="349"/>
                            </a:xfrm>
                            <a:custGeom>
                              <a:avLst/>
                              <a:gdLst>
                                <a:gd name="T0" fmla="*/ 0 w 1904"/>
                                <a:gd name="T1" fmla="*/ 56 h 338"/>
                                <a:gd name="T2" fmla="*/ 0 w 1904"/>
                                <a:gd name="T3" fmla="*/ 56 h 338"/>
                                <a:gd name="T4" fmla="*/ 56 w 1904"/>
                                <a:gd name="T5" fmla="*/ 0 h 338"/>
                                <a:gd name="T6" fmla="*/ 1848 w 1904"/>
                                <a:gd name="T7" fmla="*/ 0 h 338"/>
                                <a:gd name="T8" fmla="*/ 1904 w 1904"/>
                                <a:gd name="T9" fmla="*/ 56 h 338"/>
                                <a:gd name="T10" fmla="*/ 1904 w 1904"/>
                                <a:gd name="T11" fmla="*/ 282 h 338"/>
                                <a:gd name="T12" fmla="*/ 1848 w 1904"/>
                                <a:gd name="T13" fmla="*/ 338 h 338"/>
                                <a:gd name="T14" fmla="*/ 56 w 1904"/>
                                <a:gd name="T15" fmla="*/ 338 h 338"/>
                                <a:gd name="T16" fmla="*/ 0 w 1904"/>
                                <a:gd name="T17" fmla="*/ 282 h 338"/>
                                <a:gd name="T18" fmla="*/ 0 w 1904"/>
                                <a:gd name="T19" fmla="*/ 56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04" h="338">
                                  <a:moveTo>
                                    <a:pt x="0" y="56"/>
                                  </a:moveTo>
                                  <a:lnTo>
                                    <a:pt x="0" y="56"/>
                                  </a:lnTo>
                                  <a:cubicBezTo>
                                    <a:pt x="0" y="25"/>
                                    <a:pt x="25" y="0"/>
                                    <a:pt x="56" y="0"/>
                                  </a:cubicBezTo>
                                  <a:lnTo>
                                    <a:pt x="1848" y="0"/>
                                  </a:lnTo>
                                  <a:cubicBezTo>
                                    <a:pt x="1879" y="0"/>
                                    <a:pt x="1904" y="25"/>
                                    <a:pt x="1904" y="56"/>
                                  </a:cubicBezTo>
                                  <a:lnTo>
                                    <a:pt x="1904" y="282"/>
                                  </a:lnTo>
                                  <a:cubicBezTo>
                                    <a:pt x="1904" y="313"/>
                                    <a:pt x="1879" y="338"/>
                                    <a:pt x="1848" y="338"/>
                                  </a:cubicBezTo>
                                  <a:lnTo>
                                    <a:pt x="56" y="338"/>
                                  </a:lnTo>
                                  <a:cubicBezTo>
                                    <a:pt x="25" y="338"/>
                                    <a:pt x="0" y="313"/>
                                    <a:pt x="0" y="282"/>
                                  </a:cubicBezTo>
                                  <a:lnTo>
                                    <a:pt x="0" y="56"/>
                                  </a:lnTo>
                                  <a:close/>
                                </a:path>
                              </a:pathLst>
                            </a:custGeom>
                            <a:noFill/>
                            <a:ln w="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Rectangle 172"/>
                          <wps:cNvSpPr>
                            <a:spLocks noChangeArrowheads="1"/>
                          </wps:cNvSpPr>
                          <wps:spPr bwMode="auto">
                            <a:xfrm>
                              <a:off x="3521" y="5392"/>
                              <a:ext cx="2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Non</w:t>
                                </w:r>
                              </w:p>
                            </w:txbxContent>
                          </wps:txbx>
                          <wps:bodyPr rot="0" vert="horz" wrap="none" lIns="0" tIns="0" rIns="0" bIns="0" anchor="t" anchorCtr="0" upright="1">
                            <a:spAutoFit/>
                          </wps:bodyPr>
                        </wps:wsp>
                        <wps:wsp>
                          <wps:cNvPr id="716" name="Rectangle 173"/>
                          <wps:cNvSpPr>
                            <a:spLocks noChangeArrowheads="1"/>
                          </wps:cNvSpPr>
                          <wps:spPr bwMode="auto">
                            <a:xfrm>
                              <a:off x="3805" y="5392"/>
                              <a:ext cx="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w:t>
                                </w:r>
                              </w:p>
                            </w:txbxContent>
                          </wps:txbx>
                          <wps:bodyPr rot="0" vert="horz" wrap="none" lIns="0" tIns="0" rIns="0" bIns="0" anchor="t" anchorCtr="0" upright="1">
                            <a:spAutoFit/>
                          </wps:bodyPr>
                        </wps:wsp>
                        <wps:wsp>
                          <wps:cNvPr id="717" name="Rectangle 174"/>
                          <wps:cNvSpPr>
                            <a:spLocks noChangeArrowheads="1"/>
                          </wps:cNvSpPr>
                          <wps:spPr bwMode="auto">
                            <a:xfrm>
                              <a:off x="3860" y="5392"/>
                              <a:ext cx="1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re</w:t>
                                </w:r>
                              </w:p>
                            </w:txbxContent>
                          </wps:txbx>
                          <wps:bodyPr rot="0" vert="horz" wrap="none" lIns="0" tIns="0" rIns="0" bIns="0" anchor="t" anchorCtr="0" upright="1">
                            <a:spAutoFit/>
                          </wps:bodyPr>
                        </wps:wsp>
                        <wps:wsp>
                          <wps:cNvPr id="718" name="Rectangle 175"/>
                          <wps:cNvSpPr>
                            <a:spLocks noChangeArrowheads="1"/>
                          </wps:cNvSpPr>
                          <wps:spPr bwMode="auto">
                            <a:xfrm>
                              <a:off x="3988" y="5392"/>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a</w:t>
                                </w:r>
                              </w:p>
                            </w:txbxContent>
                          </wps:txbx>
                          <wps:bodyPr rot="0" vert="horz" wrap="none" lIns="0" tIns="0" rIns="0" bIns="0" anchor="t" anchorCtr="0" upright="1">
                            <a:spAutoFit/>
                          </wps:bodyPr>
                        </wps:wsp>
                        <wps:wsp>
                          <wps:cNvPr id="719" name="Rectangle 176"/>
                          <wps:cNvSpPr>
                            <a:spLocks noChangeArrowheads="1"/>
                          </wps:cNvSpPr>
                          <wps:spPr bwMode="auto">
                            <a:xfrm>
                              <a:off x="4061" y="5392"/>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c</w:t>
                                </w:r>
                              </w:p>
                            </w:txbxContent>
                          </wps:txbx>
                          <wps:bodyPr rot="0" vert="horz" wrap="none" lIns="0" tIns="0" rIns="0" bIns="0" anchor="t" anchorCtr="0" upright="1">
                            <a:spAutoFit/>
                          </wps:bodyPr>
                        </wps:wsp>
                        <wps:wsp>
                          <wps:cNvPr id="720" name="Rectangle 177"/>
                          <wps:cNvSpPr>
                            <a:spLocks noChangeArrowheads="1"/>
                          </wps:cNvSpPr>
                          <wps:spPr bwMode="auto">
                            <a:xfrm>
                              <a:off x="4134" y="5392"/>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ti</w:t>
                                </w:r>
                              </w:p>
                            </w:txbxContent>
                          </wps:txbx>
                          <wps:bodyPr rot="0" vert="horz" wrap="none" lIns="0" tIns="0" rIns="0" bIns="0" anchor="t" anchorCtr="0" upright="1">
                            <a:spAutoFit/>
                          </wps:bodyPr>
                        </wps:wsp>
                        <wps:wsp>
                          <wps:cNvPr id="721" name="Rectangle 178"/>
                          <wps:cNvSpPr>
                            <a:spLocks noChangeArrowheads="1"/>
                          </wps:cNvSpPr>
                          <wps:spPr bwMode="auto">
                            <a:xfrm>
                              <a:off x="4227" y="5392"/>
                              <a:ext cx="15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ve</w:t>
                                </w:r>
                              </w:p>
                            </w:txbxContent>
                          </wps:txbx>
                          <wps:bodyPr rot="0" vert="horz" wrap="none" lIns="0" tIns="0" rIns="0" bIns="0" anchor="t" anchorCtr="0" upright="1">
                            <a:spAutoFit/>
                          </wps:bodyPr>
                        </wps:wsp>
                        <wps:wsp>
                          <wps:cNvPr id="722" name="Rectangle 179"/>
                          <wps:cNvSpPr>
                            <a:spLocks noChangeArrowheads="1"/>
                          </wps:cNvSpPr>
                          <wps:spPr bwMode="auto">
                            <a:xfrm>
                              <a:off x="4384" y="5392"/>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w:t>
                                </w:r>
                              </w:p>
                            </w:txbxContent>
                          </wps:txbx>
                          <wps:bodyPr rot="0" vert="horz" wrap="none" lIns="0" tIns="0" rIns="0" bIns="0" anchor="t" anchorCtr="0" upright="1">
                            <a:spAutoFit/>
                          </wps:bodyPr>
                        </wps:wsp>
                        <wps:wsp>
                          <wps:cNvPr id="723" name="Freeform 180"/>
                          <wps:cNvSpPr>
                            <a:spLocks/>
                          </wps:cNvSpPr>
                          <wps:spPr bwMode="auto">
                            <a:xfrm>
                              <a:off x="5722" y="5278"/>
                              <a:ext cx="1967" cy="349"/>
                            </a:xfrm>
                            <a:custGeom>
                              <a:avLst/>
                              <a:gdLst>
                                <a:gd name="T0" fmla="*/ 0 w 1904"/>
                                <a:gd name="T1" fmla="*/ 56 h 338"/>
                                <a:gd name="T2" fmla="*/ 0 w 1904"/>
                                <a:gd name="T3" fmla="*/ 56 h 338"/>
                                <a:gd name="T4" fmla="*/ 56 w 1904"/>
                                <a:gd name="T5" fmla="*/ 0 h 338"/>
                                <a:gd name="T6" fmla="*/ 1848 w 1904"/>
                                <a:gd name="T7" fmla="*/ 0 h 338"/>
                                <a:gd name="T8" fmla="*/ 1904 w 1904"/>
                                <a:gd name="T9" fmla="*/ 56 h 338"/>
                                <a:gd name="T10" fmla="*/ 1904 w 1904"/>
                                <a:gd name="T11" fmla="*/ 282 h 338"/>
                                <a:gd name="T12" fmla="*/ 1848 w 1904"/>
                                <a:gd name="T13" fmla="*/ 338 h 338"/>
                                <a:gd name="T14" fmla="*/ 56 w 1904"/>
                                <a:gd name="T15" fmla="*/ 338 h 338"/>
                                <a:gd name="T16" fmla="*/ 0 w 1904"/>
                                <a:gd name="T17" fmla="*/ 282 h 338"/>
                                <a:gd name="T18" fmla="*/ 0 w 1904"/>
                                <a:gd name="T19" fmla="*/ 56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04" h="338">
                                  <a:moveTo>
                                    <a:pt x="0" y="56"/>
                                  </a:moveTo>
                                  <a:lnTo>
                                    <a:pt x="0" y="56"/>
                                  </a:lnTo>
                                  <a:cubicBezTo>
                                    <a:pt x="0" y="25"/>
                                    <a:pt x="25" y="0"/>
                                    <a:pt x="56" y="0"/>
                                  </a:cubicBezTo>
                                  <a:lnTo>
                                    <a:pt x="1848" y="0"/>
                                  </a:lnTo>
                                  <a:cubicBezTo>
                                    <a:pt x="1879" y="0"/>
                                    <a:pt x="1904" y="25"/>
                                    <a:pt x="1904" y="56"/>
                                  </a:cubicBezTo>
                                  <a:lnTo>
                                    <a:pt x="1904" y="282"/>
                                  </a:lnTo>
                                  <a:cubicBezTo>
                                    <a:pt x="1904" y="313"/>
                                    <a:pt x="1879" y="338"/>
                                    <a:pt x="1848" y="338"/>
                                  </a:cubicBezTo>
                                  <a:lnTo>
                                    <a:pt x="56" y="338"/>
                                  </a:lnTo>
                                  <a:cubicBezTo>
                                    <a:pt x="25" y="338"/>
                                    <a:pt x="0" y="313"/>
                                    <a:pt x="0" y="282"/>
                                  </a:cubicBezTo>
                                  <a:lnTo>
                                    <a:pt x="0" y="56"/>
                                  </a:lnTo>
                                  <a:close/>
                                </a:path>
                              </a:pathLst>
                            </a:custGeom>
                            <a:noFill/>
                            <a:ln w="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Rectangle 181"/>
                          <wps:cNvSpPr>
                            <a:spLocks noChangeArrowheads="1"/>
                          </wps:cNvSpPr>
                          <wps:spPr bwMode="auto">
                            <a:xfrm>
                              <a:off x="6417" y="5392"/>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R</w:t>
                                </w:r>
                              </w:p>
                            </w:txbxContent>
                          </wps:txbx>
                          <wps:bodyPr rot="0" vert="horz" wrap="none" lIns="0" tIns="0" rIns="0" bIns="0" anchor="t" anchorCtr="0" upright="1">
                            <a:spAutoFit/>
                          </wps:bodyPr>
                        </wps:wsp>
                        <wps:wsp>
                          <wps:cNvPr id="725" name="Rectangle 182"/>
                          <wps:cNvSpPr>
                            <a:spLocks noChangeArrowheads="1"/>
                          </wps:cNvSpPr>
                          <wps:spPr bwMode="auto">
                            <a:xfrm>
                              <a:off x="6528" y="5392"/>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e</w:t>
                                </w:r>
                              </w:p>
                            </w:txbxContent>
                          </wps:txbx>
                          <wps:bodyPr rot="0" vert="horz" wrap="none" lIns="0" tIns="0" rIns="0" bIns="0" anchor="t" anchorCtr="0" upright="1">
                            <a:spAutoFit/>
                          </wps:bodyPr>
                        </wps:wsp>
                        <wps:wsp>
                          <wps:cNvPr id="726" name="Rectangle 183"/>
                          <wps:cNvSpPr>
                            <a:spLocks noChangeArrowheads="1"/>
                          </wps:cNvSpPr>
                          <wps:spPr bwMode="auto">
                            <a:xfrm>
                              <a:off x="6600" y="5392"/>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a</w:t>
                                </w:r>
                              </w:p>
                            </w:txbxContent>
                          </wps:txbx>
                          <wps:bodyPr rot="0" vert="horz" wrap="none" lIns="0" tIns="0" rIns="0" bIns="0" anchor="t" anchorCtr="0" upright="1">
                            <a:spAutoFit/>
                          </wps:bodyPr>
                        </wps:wsp>
                        <wps:wsp>
                          <wps:cNvPr id="727" name="Rectangle 184"/>
                          <wps:cNvSpPr>
                            <a:spLocks noChangeArrowheads="1"/>
                          </wps:cNvSpPr>
                          <wps:spPr bwMode="auto">
                            <a:xfrm>
                              <a:off x="6672" y="5392"/>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c</w:t>
                                </w:r>
                              </w:p>
                            </w:txbxContent>
                          </wps:txbx>
                          <wps:bodyPr rot="0" vert="horz" wrap="none" lIns="0" tIns="0" rIns="0" bIns="0" anchor="t" anchorCtr="0" upright="1">
                            <a:spAutoFit/>
                          </wps:bodyPr>
                        </wps:wsp>
                        <wps:wsp>
                          <wps:cNvPr id="728" name="Rectangle 185"/>
                          <wps:cNvSpPr>
                            <a:spLocks noChangeArrowheads="1"/>
                          </wps:cNvSpPr>
                          <wps:spPr bwMode="auto">
                            <a:xfrm>
                              <a:off x="6746" y="5392"/>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ti</w:t>
                                </w:r>
                              </w:p>
                            </w:txbxContent>
                          </wps:txbx>
                          <wps:bodyPr rot="0" vert="horz" wrap="none" lIns="0" tIns="0" rIns="0" bIns="0" anchor="t" anchorCtr="0" upright="1">
                            <a:spAutoFit/>
                          </wps:bodyPr>
                        </wps:wsp>
                        <wps:wsp>
                          <wps:cNvPr id="729" name="Rectangle 186"/>
                          <wps:cNvSpPr>
                            <a:spLocks noChangeArrowheads="1"/>
                          </wps:cNvSpPr>
                          <wps:spPr bwMode="auto">
                            <a:xfrm>
                              <a:off x="6838" y="5392"/>
                              <a:ext cx="15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ve</w:t>
                                </w:r>
                              </w:p>
                            </w:txbxContent>
                          </wps:txbx>
                          <wps:bodyPr rot="0" vert="horz" wrap="none" lIns="0" tIns="0" rIns="0" bIns="0" anchor="t" anchorCtr="0" upright="1">
                            <a:spAutoFit/>
                          </wps:bodyPr>
                        </wps:wsp>
                        <wps:wsp>
                          <wps:cNvPr id="730" name="Rectangle 187"/>
                          <wps:cNvSpPr>
                            <a:spLocks noChangeArrowheads="1"/>
                          </wps:cNvSpPr>
                          <wps:spPr bwMode="auto">
                            <a:xfrm>
                              <a:off x="6996" y="5392"/>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w:t>
                                </w:r>
                              </w:p>
                            </w:txbxContent>
                          </wps:txbx>
                          <wps:bodyPr rot="0" vert="horz" wrap="none" lIns="0" tIns="0" rIns="0" bIns="0" anchor="t" anchorCtr="0" upright="1">
                            <a:spAutoFit/>
                          </wps:bodyPr>
                        </wps:wsp>
                        <wps:wsp>
                          <wps:cNvPr id="731" name="Freeform 188"/>
                          <wps:cNvSpPr>
                            <a:spLocks/>
                          </wps:cNvSpPr>
                          <wps:spPr bwMode="auto">
                            <a:xfrm>
                              <a:off x="1985" y="6676"/>
                              <a:ext cx="3933" cy="815"/>
                            </a:xfrm>
                            <a:custGeom>
                              <a:avLst/>
                              <a:gdLst>
                                <a:gd name="T0" fmla="*/ 0 w 3808"/>
                                <a:gd name="T1" fmla="*/ 131 h 790"/>
                                <a:gd name="T2" fmla="*/ 0 w 3808"/>
                                <a:gd name="T3" fmla="*/ 131 h 790"/>
                                <a:gd name="T4" fmla="*/ 131 w 3808"/>
                                <a:gd name="T5" fmla="*/ 0 h 790"/>
                                <a:gd name="T6" fmla="*/ 3677 w 3808"/>
                                <a:gd name="T7" fmla="*/ 0 h 790"/>
                                <a:gd name="T8" fmla="*/ 3808 w 3808"/>
                                <a:gd name="T9" fmla="*/ 131 h 790"/>
                                <a:gd name="T10" fmla="*/ 3808 w 3808"/>
                                <a:gd name="T11" fmla="*/ 658 h 790"/>
                                <a:gd name="T12" fmla="*/ 3677 w 3808"/>
                                <a:gd name="T13" fmla="*/ 790 h 790"/>
                                <a:gd name="T14" fmla="*/ 131 w 3808"/>
                                <a:gd name="T15" fmla="*/ 790 h 790"/>
                                <a:gd name="T16" fmla="*/ 0 w 3808"/>
                                <a:gd name="T17" fmla="*/ 658 h 790"/>
                                <a:gd name="T18" fmla="*/ 0 w 3808"/>
                                <a:gd name="T19" fmla="*/ 131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08" h="790">
                                  <a:moveTo>
                                    <a:pt x="0" y="131"/>
                                  </a:moveTo>
                                  <a:lnTo>
                                    <a:pt x="0" y="131"/>
                                  </a:lnTo>
                                  <a:cubicBezTo>
                                    <a:pt x="0" y="58"/>
                                    <a:pt x="59" y="0"/>
                                    <a:pt x="131" y="0"/>
                                  </a:cubicBezTo>
                                  <a:lnTo>
                                    <a:pt x="3677" y="0"/>
                                  </a:lnTo>
                                  <a:cubicBezTo>
                                    <a:pt x="3749" y="0"/>
                                    <a:pt x="3808" y="58"/>
                                    <a:pt x="3808" y="131"/>
                                  </a:cubicBezTo>
                                  <a:lnTo>
                                    <a:pt x="3808" y="658"/>
                                  </a:lnTo>
                                  <a:cubicBezTo>
                                    <a:pt x="3808" y="731"/>
                                    <a:pt x="3749" y="790"/>
                                    <a:pt x="3677" y="790"/>
                                  </a:cubicBezTo>
                                  <a:lnTo>
                                    <a:pt x="131" y="790"/>
                                  </a:lnTo>
                                  <a:cubicBezTo>
                                    <a:pt x="59" y="790"/>
                                    <a:pt x="0" y="731"/>
                                    <a:pt x="0" y="658"/>
                                  </a:cubicBezTo>
                                  <a:lnTo>
                                    <a:pt x="0" y="131"/>
                                  </a:lnTo>
                                  <a:close/>
                                </a:path>
                              </a:pathLst>
                            </a:custGeom>
                            <a:noFill/>
                            <a:ln w="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Rectangle 189"/>
                          <wps:cNvSpPr>
                            <a:spLocks noChangeArrowheads="1"/>
                          </wps:cNvSpPr>
                          <wps:spPr bwMode="auto">
                            <a:xfrm>
                              <a:off x="2258" y="6813"/>
                              <a:ext cx="1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R</w:t>
                                </w:r>
                              </w:p>
                            </w:txbxContent>
                          </wps:txbx>
                          <wps:bodyPr rot="0" vert="horz" wrap="none" lIns="0" tIns="0" rIns="0" bIns="0" anchor="t" anchorCtr="0" upright="1">
                            <a:spAutoFit/>
                          </wps:bodyPr>
                        </wps:wsp>
                        <wps:wsp>
                          <wps:cNvPr id="733" name="Rectangle 190"/>
                          <wps:cNvSpPr>
                            <a:spLocks noChangeArrowheads="1"/>
                          </wps:cNvSpPr>
                          <wps:spPr bwMode="auto">
                            <a:xfrm>
                              <a:off x="2368" y="6813"/>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e</w:t>
                                </w:r>
                              </w:p>
                            </w:txbxContent>
                          </wps:txbx>
                          <wps:bodyPr rot="0" vert="horz" wrap="none" lIns="0" tIns="0" rIns="0" bIns="0" anchor="t" anchorCtr="0" upright="1">
                            <a:spAutoFit/>
                          </wps:bodyPr>
                        </wps:wsp>
                        <wps:wsp>
                          <wps:cNvPr id="735" name="Rectangle 191"/>
                          <wps:cNvSpPr>
                            <a:spLocks noChangeArrowheads="1"/>
                          </wps:cNvSpPr>
                          <wps:spPr bwMode="auto">
                            <a:xfrm>
                              <a:off x="2442" y="6813"/>
                              <a:ext cx="15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pe</w:t>
                                </w:r>
                              </w:p>
                            </w:txbxContent>
                          </wps:txbx>
                          <wps:bodyPr rot="0" vert="horz" wrap="none" lIns="0" tIns="0" rIns="0" bIns="0" anchor="t" anchorCtr="0" upright="1">
                            <a:spAutoFit/>
                          </wps:bodyPr>
                        </wps:wsp>
                        <wps:wsp>
                          <wps:cNvPr id="736" name="Rectangle 192"/>
                          <wps:cNvSpPr>
                            <a:spLocks noChangeArrowheads="1"/>
                          </wps:cNvSpPr>
                          <wps:spPr bwMode="auto">
                            <a:xfrm>
                              <a:off x="2597" y="6813"/>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a</w:t>
                                </w:r>
                              </w:p>
                            </w:txbxContent>
                          </wps:txbx>
                          <wps:bodyPr rot="0" vert="horz" wrap="none" lIns="0" tIns="0" rIns="0" bIns="0" anchor="t" anchorCtr="0" upright="1">
                            <a:spAutoFit/>
                          </wps:bodyPr>
                        </wps:wsp>
                        <wps:wsp>
                          <wps:cNvPr id="741" name="Rectangle 193"/>
                          <wps:cNvSpPr>
                            <a:spLocks noChangeArrowheads="1"/>
                          </wps:cNvSpPr>
                          <wps:spPr bwMode="auto">
                            <a:xfrm>
                              <a:off x="2669" y="6813"/>
                              <a:ext cx="1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t F</w:t>
                                </w:r>
                              </w:p>
                            </w:txbxContent>
                          </wps:txbx>
                          <wps:bodyPr rot="0" vert="horz" wrap="none" lIns="0" tIns="0" rIns="0" bIns="0" anchor="t" anchorCtr="0" upright="1">
                            <a:spAutoFit/>
                          </wps:bodyPr>
                        </wps:wsp>
                        <wps:wsp>
                          <wps:cNvPr id="742" name="Rectangle 194"/>
                          <wps:cNvSpPr>
                            <a:spLocks noChangeArrowheads="1"/>
                          </wps:cNvSpPr>
                          <wps:spPr bwMode="auto">
                            <a:xfrm>
                              <a:off x="2848" y="6813"/>
                              <a:ext cx="6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irst and Se</w:t>
                                </w:r>
                              </w:p>
                            </w:txbxContent>
                          </wps:txbx>
                          <wps:bodyPr rot="0" vert="horz" wrap="none" lIns="0" tIns="0" rIns="0" bIns="0" anchor="t" anchorCtr="0" upright="1">
                            <a:spAutoFit/>
                          </wps:bodyPr>
                        </wps:wsp>
                        <wps:wsp>
                          <wps:cNvPr id="747" name="Rectangle 195"/>
                          <wps:cNvSpPr>
                            <a:spLocks noChangeArrowheads="1"/>
                          </wps:cNvSpPr>
                          <wps:spPr bwMode="auto">
                            <a:xfrm>
                              <a:off x="3547" y="6813"/>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c</w:t>
                                </w:r>
                              </w:p>
                            </w:txbxContent>
                          </wps:txbx>
                          <wps:bodyPr rot="0" vert="horz" wrap="none" lIns="0" tIns="0" rIns="0" bIns="0" anchor="t" anchorCtr="0" upright="1">
                            <a:spAutoFit/>
                          </wps:bodyPr>
                        </wps:wsp>
                        <wps:wsp>
                          <wps:cNvPr id="748" name="Rectangle 196"/>
                          <wps:cNvSpPr>
                            <a:spLocks noChangeArrowheads="1"/>
                          </wps:cNvSpPr>
                          <wps:spPr bwMode="auto">
                            <a:xfrm>
                              <a:off x="3619" y="6813"/>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ond </w:t>
                                </w:r>
                              </w:p>
                            </w:txbxContent>
                          </wps:txbx>
                          <wps:bodyPr rot="0" vert="horz" wrap="none" lIns="0" tIns="0" rIns="0" bIns="0" anchor="t" anchorCtr="0" upright="1">
                            <a:spAutoFit/>
                          </wps:bodyPr>
                        </wps:wsp>
                        <wps:wsp>
                          <wps:cNvPr id="749" name="Rectangle 197"/>
                          <wps:cNvSpPr>
                            <a:spLocks noChangeArrowheads="1"/>
                          </wps:cNvSpPr>
                          <wps:spPr bwMode="auto">
                            <a:xfrm>
                              <a:off x="3910" y="6813"/>
                              <a:ext cx="11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H</w:t>
                                </w:r>
                              </w:p>
                            </w:txbxContent>
                          </wps:txbx>
                          <wps:bodyPr rot="0" vert="horz" wrap="none" lIns="0" tIns="0" rIns="0" bIns="0" anchor="t" anchorCtr="0" upright="1">
                            <a:spAutoFit/>
                          </wps:bodyPr>
                        </wps:wsp>
                        <wps:wsp>
                          <wps:cNvPr id="750" name="Rectangle 198"/>
                          <wps:cNvSpPr>
                            <a:spLocks noChangeArrowheads="1"/>
                          </wps:cNvSpPr>
                          <wps:spPr bwMode="auto">
                            <a:xfrm>
                              <a:off x="4031" y="6813"/>
                              <a:ext cx="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I</w:t>
                                </w:r>
                              </w:p>
                            </w:txbxContent>
                          </wps:txbx>
                          <wps:bodyPr rot="0" vert="horz" wrap="none" lIns="0" tIns="0" rIns="0" bIns="0" anchor="t" anchorCtr="0" upright="1">
                            <a:spAutoFit/>
                          </wps:bodyPr>
                        </wps:wsp>
                        <wps:wsp>
                          <wps:cNvPr id="751" name="Rectangle 199"/>
                          <wps:cNvSpPr>
                            <a:spLocks noChangeArrowheads="1"/>
                          </wps:cNvSpPr>
                          <wps:spPr bwMode="auto">
                            <a:xfrm>
                              <a:off x="4084" y="6813"/>
                              <a:ext cx="2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V R</w:t>
                                </w:r>
                              </w:p>
                            </w:txbxContent>
                          </wps:txbx>
                          <wps:bodyPr rot="0" vert="horz" wrap="none" lIns="0" tIns="0" rIns="0" bIns="0" anchor="t" anchorCtr="0" upright="1">
                            <a:spAutoFit/>
                          </wps:bodyPr>
                        </wps:wsp>
                        <wps:wsp>
                          <wps:cNvPr id="752" name="Rectangle 200"/>
                          <wps:cNvSpPr>
                            <a:spLocks noChangeArrowheads="1"/>
                          </wps:cNvSpPr>
                          <wps:spPr bwMode="auto">
                            <a:xfrm>
                              <a:off x="4356" y="6813"/>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a</w:t>
                                </w:r>
                              </w:p>
                            </w:txbxContent>
                          </wps:txbx>
                          <wps:bodyPr rot="0" vert="horz" wrap="none" lIns="0" tIns="0" rIns="0" bIns="0" anchor="t" anchorCtr="0" upright="1">
                            <a:spAutoFit/>
                          </wps:bodyPr>
                        </wps:wsp>
                        <wps:wsp>
                          <wps:cNvPr id="753" name="Rectangle 201"/>
                          <wps:cNvSpPr>
                            <a:spLocks noChangeArrowheads="1"/>
                          </wps:cNvSpPr>
                          <wps:spPr bwMode="auto">
                            <a:xfrm>
                              <a:off x="4428" y="6813"/>
                              <a:ext cx="34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pid T</w:t>
                                </w:r>
                              </w:p>
                            </w:txbxContent>
                          </wps:txbx>
                          <wps:bodyPr rot="0" vert="horz" wrap="none" lIns="0" tIns="0" rIns="0" bIns="0" anchor="t" anchorCtr="0" upright="1">
                            <a:spAutoFit/>
                          </wps:bodyPr>
                        </wps:wsp>
                        <wps:wsp>
                          <wps:cNvPr id="754" name="Rectangle 202"/>
                          <wps:cNvSpPr>
                            <a:spLocks noChangeArrowheads="1"/>
                          </wps:cNvSpPr>
                          <wps:spPr bwMode="auto">
                            <a:xfrm>
                              <a:off x="4782" y="6813"/>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e</w:t>
                                </w:r>
                              </w:p>
                            </w:txbxContent>
                          </wps:txbx>
                          <wps:bodyPr rot="0" vert="horz" wrap="none" lIns="0" tIns="0" rIns="0" bIns="0" anchor="t" anchorCtr="0" upright="1">
                            <a:spAutoFit/>
                          </wps:bodyPr>
                        </wps:wsp>
                        <wps:wsp>
                          <wps:cNvPr id="755" name="Rectangle 203"/>
                          <wps:cNvSpPr>
                            <a:spLocks noChangeArrowheads="1"/>
                          </wps:cNvSpPr>
                          <wps:spPr bwMode="auto">
                            <a:xfrm>
                              <a:off x="4855" y="6813"/>
                              <a:ext cx="36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st foll</w:t>
                                </w:r>
                              </w:p>
                            </w:txbxContent>
                          </wps:txbx>
                          <wps:bodyPr rot="0" vert="horz" wrap="none" lIns="0" tIns="0" rIns="0" bIns="0" anchor="t" anchorCtr="0" upright="1">
                            <a:spAutoFit/>
                          </wps:bodyPr>
                        </wps:wsp>
                        <wps:wsp>
                          <wps:cNvPr id="756" name="Rectangle 204"/>
                          <wps:cNvSpPr>
                            <a:spLocks noChangeArrowheads="1"/>
                          </wps:cNvSpPr>
                          <wps:spPr bwMode="auto">
                            <a:xfrm>
                              <a:off x="5237" y="6813"/>
                              <a:ext cx="3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owin</w:t>
                                </w:r>
                              </w:p>
                            </w:txbxContent>
                          </wps:txbx>
                          <wps:bodyPr rot="0" vert="horz" wrap="none" lIns="0" tIns="0" rIns="0" bIns="0" anchor="t" anchorCtr="0" upright="1">
                            <a:spAutoFit/>
                          </wps:bodyPr>
                        </wps:wsp>
                        <wps:wsp>
                          <wps:cNvPr id="757" name="Rectangle 205"/>
                          <wps:cNvSpPr>
                            <a:spLocks noChangeArrowheads="1"/>
                          </wps:cNvSpPr>
                          <wps:spPr bwMode="auto">
                            <a:xfrm>
                              <a:off x="5568" y="6813"/>
                              <a:ext cx="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g</w:t>
                                </w:r>
                              </w:p>
                            </w:txbxContent>
                          </wps:txbx>
                          <wps:bodyPr rot="0" vert="horz" wrap="none" lIns="0" tIns="0" rIns="0" bIns="0" anchor="t" anchorCtr="0" upright="1">
                            <a:spAutoFit/>
                          </wps:bodyPr>
                        </wps:wsp>
                        <wps:wsp>
                          <wps:cNvPr id="758" name="Rectangle 206"/>
                          <wps:cNvSpPr>
                            <a:spLocks noChangeArrowheads="1"/>
                          </wps:cNvSpPr>
                          <wps:spPr bwMode="auto">
                            <a:xfrm>
                              <a:off x="5650" y="6813"/>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w:t>
                                </w:r>
                              </w:p>
                            </w:txbxContent>
                          </wps:txbx>
                          <wps:bodyPr rot="0" vert="horz" wrap="none" lIns="0" tIns="0" rIns="0" bIns="0" anchor="t" anchorCtr="0" upright="1">
                            <a:spAutoFit/>
                          </wps:bodyPr>
                        </wps:wsp>
                        <wps:wsp>
                          <wps:cNvPr id="759" name="Rectangle 207"/>
                          <wps:cNvSpPr>
                            <a:spLocks noChangeArrowheads="1"/>
                          </wps:cNvSpPr>
                          <wps:spPr bwMode="auto">
                            <a:xfrm>
                              <a:off x="3260" y="7002"/>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sa</w:t>
                                </w:r>
                              </w:p>
                            </w:txbxContent>
                          </wps:txbx>
                          <wps:bodyPr rot="0" vert="horz" wrap="none" lIns="0" tIns="0" rIns="0" bIns="0" anchor="t" anchorCtr="0" upright="1">
                            <a:spAutoFit/>
                          </wps:bodyPr>
                        </wps:wsp>
                        <wps:wsp>
                          <wps:cNvPr id="760" name="Rectangle 208"/>
                          <wps:cNvSpPr>
                            <a:spLocks noChangeArrowheads="1"/>
                          </wps:cNvSpPr>
                          <wps:spPr bwMode="auto">
                            <a:xfrm>
                              <a:off x="3397" y="7002"/>
                              <a:ext cx="3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me a</w:t>
                                </w:r>
                              </w:p>
                            </w:txbxContent>
                          </wps:txbx>
                          <wps:bodyPr rot="0" vert="horz" wrap="none" lIns="0" tIns="0" rIns="0" bIns="0" anchor="t" anchorCtr="0" upright="1">
                            <a:spAutoFit/>
                          </wps:bodyPr>
                        </wps:wsp>
                        <wps:wsp>
                          <wps:cNvPr id="761" name="Rectangle 209"/>
                          <wps:cNvSpPr>
                            <a:spLocks noChangeArrowheads="1"/>
                          </wps:cNvSpPr>
                          <wps:spPr bwMode="auto">
                            <a:xfrm>
                              <a:off x="3712" y="7002"/>
                              <a:ext cx="4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l</w:t>
                                </w:r>
                              </w:p>
                            </w:txbxContent>
                          </wps:txbx>
                          <wps:bodyPr rot="0" vert="horz" wrap="none" lIns="0" tIns="0" rIns="0" bIns="0" anchor="t" anchorCtr="0" upright="1">
                            <a:spAutoFit/>
                          </wps:bodyPr>
                        </wps:wsp>
                        <wps:wsp>
                          <wps:cNvPr id="762" name="Rectangle 210"/>
                          <wps:cNvSpPr>
                            <a:spLocks noChangeArrowheads="1"/>
                          </wps:cNvSpPr>
                          <wps:spPr bwMode="auto">
                            <a:xfrm>
                              <a:off x="3761" y="7002"/>
                              <a:ext cx="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g</w:t>
                                </w:r>
                              </w:p>
                            </w:txbxContent>
                          </wps:txbx>
                          <wps:bodyPr rot="0" vert="horz" wrap="none" lIns="0" tIns="0" rIns="0" bIns="0" anchor="t" anchorCtr="0" upright="1">
                            <a:spAutoFit/>
                          </wps:bodyPr>
                        </wps:wsp>
                        <wps:wsp>
                          <wps:cNvPr id="763" name="Rectangle 211"/>
                          <wps:cNvSpPr>
                            <a:spLocks noChangeArrowheads="1"/>
                          </wps:cNvSpPr>
                          <wps:spPr bwMode="auto">
                            <a:xfrm>
                              <a:off x="3841" y="7002"/>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or</w:t>
                                </w:r>
                              </w:p>
                            </w:txbxContent>
                          </wps:txbx>
                          <wps:bodyPr rot="0" vert="horz" wrap="none" lIns="0" tIns="0" rIns="0" bIns="0" anchor="t" anchorCtr="0" upright="1">
                            <a:spAutoFit/>
                          </wps:bodyPr>
                        </wps:wsp>
                        <wps:wsp>
                          <wps:cNvPr id="764" name="Rectangle 212"/>
                          <wps:cNvSpPr>
                            <a:spLocks noChangeArrowheads="1"/>
                          </wps:cNvSpPr>
                          <wps:spPr bwMode="auto">
                            <a:xfrm>
                              <a:off x="3979" y="7002"/>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it</w:t>
                                </w:r>
                              </w:p>
                            </w:txbxContent>
                          </wps:txbx>
                          <wps:bodyPr rot="0" vert="horz" wrap="none" lIns="0" tIns="0" rIns="0" bIns="0" anchor="t" anchorCtr="0" upright="1">
                            <a:spAutoFit/>
                          </wps:bodyPr>
                        </wps:wsp>
                        <wps:wsp>
                          <wps:cNvPr id="765" name="Rectangle 213"/>
                          <wps:cNvSpPr>
                            <a:spLocks noChangeArrowheads="1"/>
                          </wps:cNvSpPr>
                          <wps:spPr bwMode="auto">
                            <a:xfrm>
                              <a:off x="4071" y="7002"/>
                              <a:ext cx="35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hm fr</w:t>
                                </w:r>
                              </w:p>
                            </w:txbxContent>
                          </wps:txbx>
                          <wps:bodyPr rot="0" vert="horz" wrap="none" lIns="0" tIns="0" rIns="0" bIns="0" anchor="t" anchorCtr="0" upright="1">
                            <a:spAutoFit/>
                          </wps:bodyPr>
                        </wps:wsp>
                        <wps:wsp>
                          <wps:cNvPr id="766" name="Rectangle 214"/>
                          <wps:cNvSpPr>
                            <a:spLocks noChangeArrowheads="1"/>
                          </wps:cNvSpPr>
                          <wps:spPr bwMode="auto">
                            <a:xfrm>
                              <a:off x="4433" y="7002"/>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om</w:t>
                                </w:r>
                              </w:p>
                            </w:txbxContent>
                          </wps:txbx>
                          <wps:bodyPr rot="0" vert="horz" wrap="none" lIns="0" tIns="0" rIns="0" bIns="0" anchor="t" anchorCtr="0" upright="1">
                            <a:spAutoFit/>
                          </wps:bodyPr>
                        </wps:wsp>
                        <wps:wsp>
                          <wps:cNvPr id="767" name="Rectangle 215"/>
                          <wps:cNvSpPr>
                            <a:spLocks noChangeArrowheads="1"/>
                          </wps:cNvSpPr>
                          <wps:spPr bwMode="auto">
                            <a:xfrm>
                              <a:off x="4647" y="7002"/>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w:t>
                                </w:r>
                              </w:p>
                            </w:txbxContent>
                          </wps:txbx>
                          <wps:bodyPr rot="0" vert="horz" wrap="none" lIns="0" tIns="0" rIns="0" bIns="0" anchor="t" anchorCtr="0" upright="1">
                            <a:spAutoFit/>
                          </wps:bodyPr>
                        </wps:wsp>
                        <wps:wsp>
                          <wps:cNvPr id="9216" name="Rectangle 216"/>
                          <wps:cNvSpPr>
                            <a:spLocks noChangeArrowheads="1"/>
                          </wps:cNvSpPr>
                          <wps:spPr bwMode="auto">
                            <a:xfrm>
                              <a:off x="3623" y="7192"/>
                              <a:ext cx="15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be</w:t>
                                </w:r>
                              </w:p>
                            </w:txbxContent>
                          </wps:txbx>
                          <wps:bodyPr rot="0" vert="horz" wrap="none" lIns="0" tIns="0" rIns="0" bIns="0" anchor="t" anchorCtr="0" upright="1">
                            <a:spAutoFit/>
                          </wps:bodyPr>
                        </wps:wsp>
                        <wps:wsp>
                          <wps:cNvPr id="9217" name="Rectangle 217"/>
                          <wps:cNvSpPr>
                            <a:spLocks noChangeArrowheads="1"/>
                          </wps:cNvSpPr>
                          <wps:spPr bwMode="auto">
                            <a:xfrm>
                              <a:off x="3778" y="7192"/>
                              <a:ext cx="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g</w:t>
                                </w:r>
                              </w:p>
                            </w:txbxContent>
                          </wps:txbx>
                          <wps:bodyPr rot="0" vert="horz" wrap="none" lIns="0" tIns="0" rIns="0" bIns="0" anchor="t" anchorCtr="0" upright="1">
                            <a:spAutoFit/>
                          </wps:bodyPr>
                        </wps:wsp>
                        <wps:wsp>
                          <wps:cNvPr id="9218" name="Rectangle 218"/>
                          <wps:cNvSpPr>
                            <a:spLocks noChangeArrowheads="1"/>
                          </wps:cNvSpPr>
                          <wps:spPr bwMode="auto">
                            <a:xfrm>
                              <a:off x="3860" y="7192"/>
                              <a:ext cx="24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inni</w:t>
                                </w:r>
                              </w:p>
                            </w:txbxContent>
                          </wps:txbx>
                          <wps:bodyPr rot="0" vert="horz" wrap="none" lIns="0" tIns="0" rIns="0" bIns="0" anchor="t" anchorCtr="0" upright="1">
                            <a:spAutoFit/>
                          </wps:bodyPr>
                        </wps:wsp>
                        <wps:wsp>
                          <wps:cNvPr id="9219" name="Rectangle 219"/>
                          <wps:cNvSpPr>
                            <a:spLocks noChangeArrowheads="1"/>
                          </wps:cNvSpPr>
                          <wps:spPr bwMode="auto">
                            <a:xfrm>
                              <a:off x="4117" y="7192"/>
                              <a:ext cx="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n</w:t>
                                </w:r>
                              </w:p>
                            </w:txbxContent>
                          </wps:txbx>
                          <wps:bodyPr rot="0" vert="horz" wrap="none" lIns="0" tIns="0" rIns="0" bIns="0" anchor="t" anchorCtr="0" upright="1">
                            <a:spAutoFit/>
                          </wps:bodyPr>
                        </wps:wsp>
                        <wps:wsp>
                          <wps:cNvPr id="9220" name="Rectangle 220"/>
                          <wps:cNvSpPr>
                            <a:spLocks noChangeArrowheads="1"/>
                          </wps:cNvSpPr>
                          <wps:spPr bwMode="auto">
                            <a:xfrm>
                              <a:off x="4202" y="7192"/>
                              <a:ext cx="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g</w:t>
                                </w:r>
                              </w:p>
                            </w:txbxContent>
                          </wps:txbx>
                          <wps:bodyPr rot="0" vert="horz" wrap="none" lIns="0" tIns="0" rIns="0" bIns="0" anchor="t" anchorCtr="0" upright="1">
                            <a:spAutoFit/>
                          </wps:bodyPr>
                        </wps:wsp>
                        <wps:wsp>
                          <wps:cNvPr id="9221" name="Rectangle 221"/>
                          <wps:cNvSpPr>
                            <a:spLocks noChangeArrowheads="1"/>
                          </wps:cNvSpPr>
                          <wps:spPr bwMode="auto">
                            <a:xfrm>
                              <a:off x="4284" y="7192"/>
                              <a:ext cx="41"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w:t>
                                </w:r>
                              </w:p>
                            </w:txbxContent>
                          </wps:txbx>
                          <wps:bodyPr rot="0" vert="horz" wrap="none" lIns="0" tIns="0" rIns="0" bIns="0" anchor="t" anchorCtr="0" upright="1">
                            <a:spAutoFit/>
                          </wps:bodyPr>
                        </wps:wsp>
                        <wps:wsp>
                          <wps:cNvPr id="9222" name="Freeform 222"/>
                          <wps:cNvSpPr>
                            <a:spLocks noEditPoints="1"/>
                          </wps:cNvSpPr>
                          <wps:spPr bwMode="auto">
                            <a:xfrm>
                              <a:off x="1944" y="3763"/>
                              <a:ext cx="83" cy="233"/>
                            </a:xfrm>
                            <a:custGeom>
                              <a:avLst/>
                              <a:gdLst>
                                <a:gd name="T0" fmla="*/ 46 w 80"/>
                                <a:gd name="T1" fmla="*/ 0 h 226"/>
                                <a:gd name="T2" fmla="*/ 46 w 80"/>
                                <a:gd name="T3" fmla="*/ 0 h 226"/>
                                <a:gd name="T4" fmla="*/ 46 w 80"/>
                                <a:gd name="T5" fmla="*/ 159 h 226"/>
                                <a:gd name="T6" fmla="*/ 33 w 80"/>
                                <a:gd name="T7" fmla="*/ 159 h 226"/>
                                <a:gd name="T8" fmla="*/ 33 w 80"/>
                                <a:gd name="T9" fmla="*/ 0 h 226"/>
                                <a:gd name="T10" fmla="*/ 46 w 80"/>
                                <a:gd name="T11" fmla="*/ 0 h 226"/>
                                <a:gd name="T12" fmla="*/ 80 w 80"/>
                                <a:gd name="T13" fmla="*/ 146 h 226"/>
                                <a:gd name="T14" fmla="*/ 80 w 80"/>
                                <a:gd name="T15" fmla="*/ 146 h 226"/>
                                <a:gd name="T16" fmla="*/ 40 w 80"/>
                                <a:gd name="T17" fmla="*/ 226 h 226"/>
                                <a:gd name="T18" fmla="*/ 0 w 80"/>
                                <a:gd name="T19" fmla="*/ 146 h 226"/>
                                <a:gd name="T20" fmla="*/ 80 w 80"/>
                                <a:gd name="T21" fmla="*/ 146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226">
                                  <a:moveTo>
                                    <a:pt x="46" y="0"/>
                                  </a:moveTo>
                                  <a:lnTo>
                                    <a:pt x="46" y="0"/>
                                  </a:lnTo>
                                  <a:lnTo>
                                    <a:pt x="46" y="159"/>
                                  </a:lnTo>
                                  <a:lnTo>
                                    <a:pt x="33" y="159"/>
                                  </a:lnTo>
                                  <a:lnTo>
                                    <a:pt x="33" y="0"/>
                                  </a:lnTo>
                                  <a:lnTo>
                                    <a:pt x="46" y="0"/>
                                  </a:lnTo>
                                  <a:close/>
                                  <a:moveTo>
                                    <a:pt x="80" y="146"/>
                                  </a:moveTo>
                                  <a:lnTo>
                                    <a:pt x="80" y="146"/>
                                  </a:lnTo>
                                  <a:lnTo>
                                    <a:pt x="40" y="226"/>
                                  </a:lnTo>
                                  <a:lnTo>
                                    <a:pt x="0" y="146"/>
                                  </a:lnTo>
                                  <a:lnTo>
                                    <a:pt x="80" y="14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223" name="Freeform 223"/>
                          <wps:cNvSpPr>
                            <a:spLocks noEditPoints="1"/>
                          </wps:cNvSpPr>
                          <wps:spPr bwMode="auto">
                            <a:xfrm>
                              <a:off x="5287" y="3763"/>
                              <a:ext cx="83" cy="233"/>
                            </a:xfrm>
                            <a:custGeom>
                              <a:avLst/>
                              <a:gdLst>
                                <a:gd name="T0" fmla="*/ 47 w 80"/>
                                <a:gd name="T1" fmla="*/ 0 h 226"/>
                                <a:gd name="T2" fmla="*/ 47 w 80"/>
                                <a:gd name="T3" fmla="*/ 0 h 226"/>
                                <a:gd name="T4" fmla="*/ 47 w 80"/>
                                <a:gd name="T5" fmla="*/ 159 h 226"/>
                                <a:gd name="T6" fmla="*/ 33 w 80"/>
                                <a:gd name="T7" fmla="*/ 159 h 226"/>
                                <a:gd name="T8" fmla="*/ 33 w 80"/>
                                <a:gd name="T9" fmla="*/ 0 h 226"/>
                                <a:gd name="T10" fmla="*/ 47 w 80"/>
                                <a:gd name="T11" fmla="*/ 0 h 226"/>
                                <a:gd name="T12" fmla="*/ 80 w 80"/>
                                <a:gd name="T13" fmla="*/ 146 h 226"/>
                                <a:gd name="T14" fmla="*/ 80 w 80"/>
                                <a:gd name="T15" fmla="*/ 146 h 226"/>
                                <a:gd name="T16" fmla="*/ 40 w 80"/>
                                <a:gd name="T17" fmla="*/ 226 h 226"/>
                                <a:gd name="T18" fmla="*/ 0 w 80"/>
                                <a:gd name="T19" fmla="*/ 146 h 226"/>
                                <a:gd name="T20" fmla="*/ 80 w 80"/>
                                <a:gd name="T21" fmla="*/ 146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226">
                                  <a:moveTo>
                                    <a:pt x="47" y="0"/>
                                  </a:moveTo>
                                  <a:lnTo>
                                    <a:pt x="47" y="0"/>
                                  </a:lnTo>
                                  <a:lnTo>
                                    <a:pt x="47" y="159"/>
                                  </a:lnTo>
                                  <a:lnTo>
                                    <a:pt x="33" y="159"/>
                                  </a:lnTo>
                                  <a:lnTo>
                                    <a:pt x="33" y="0"/>
                                  </a:lnTo>
                                  <a:lnTo>
                                    <a:pt x="47" y="0"/>
                                  </a:lnTo>
                                  <a:close/>
                                  <a:moveTo>
                                    <a:pt x="80" y="146"/>
                                  </a:moveTo>
                                  <a:lnTo>
                                    <a:pt x="80" y="146"/>
                                  </a:lnTo>
                                  <a:lnTo>
                                    <a:pt x="40" y="226"/>
                                  </a:lnTo>
                                  <a:lnTo>
                                    <a:pt x="0" y="146"/>
                                  </a:lnTo>
                                  <a:lnTo>
                                    <a:pt x="80" y="14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224" name="Freeform 224"/>
                          <wps:cNvSpPr>
                            <a:spLocks/>
                          </wps:cNvSpPr>
                          <wps:spPr bwMode="auto">
                            <a:xfrm>
                              <a:off x="5329" y="4811"/>
                              <a:ext cx="1" cy="234"/>
                            </a:xfrm>
                            <a:custGeom>
                              <a:avLst/>
                              <a:gdLst>
                                <a:gd name="T0" fmla="*/ 0 h 226"/>
                                <a:gd name="T1" fmla="*/ 0 h 226"/>
                                <a:gd name="T2" fmla="*/ 226 h 226"/>
                              </a:gdLst>
                              <a:ahLst/>
                              <a:cxnLst>
                                <a:cxn ang="0">
                                  <a:pos x="0" y="T0"/>
                                </a:cxn>
                                <a:cxn ang="0">
                                  <a:pos x="0" y="T1"/>
                                </a:cxn>
                                <a:cxn ang="0">
                                  <a:pos x="0" y="T2"/>
                                </a:cxn>
                              </a:cxnLst>
                              <a:rect l="0" t="0" r="r" b="b"/>
                              <a:pathLst>
                                <a:path h="226">
                                  <a:moveTo>
                                    <a:pt x="0" y="0"/>
                                  </a:moveTo>
                                  <a:lnTo>
                                    <a:pt x="0" y="0"/>
                                  </a:lnTo>
                                  <a:lnTo>
                                    <a:pt x="0" y="226"/>
                                  </a:lnTo>
                                </a:path>
                              </a:pathLst>
                            </a:custGeom>
                            <a:noFill/>
                            <a:ln w="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5" name="Freeform 225"/>
                          <wps:cNvSpPr>
                            <a:spLocks/>
                          </wps:cNvSpPr>
                          <wps:spPr bwMode="auto">
                            <a:xfrm>
                              <a:off x="3952" y="5045"/>
                              <a:ext cx="2753" cy="1"/>
                            </a:xfrm>
                            <a:custGeom>
                              <a:avLst/>
                              <a:gdLst>
                                <a:gd name="T0" fmla="*/ 0 w 2666"/>
                                <a:gd name="T1" fmla="*/ 0 w 2666"/>
                                <a:gd name="T2" fmla="*/ 2666 w 2666"/>
                              </a:gdLst>
                              <a:ahLst/>
                              <a:cxnLst>
                                <a:cxn ang="0">
                                  <a:pos x="T0" y="0"/>
                                </a:cxn>
                                <a:cxn ang="0">
                                  <a:pos x="T1" y="0"/>
                                </a:cxn>
                                <a:cxn ang="0">
                                  <a:pos x="T2" y="0"/>
                                </a:cxn>
                              </a:cxnLst>
                              <a:rect l="0" t="0" r="r" b="b"/>
                              <a:pathLst>
                                <a:path w="2666">
                                  <a:moveTo>
                                    <a:pt x="0" y="0"/>
                                  </a:moveTo>
                                  <a:lnTo>
                                    <a:pt x="0" y="0"/>
                                  </a:lnTo>
                                  <a:lnTo>
                                    <a:pt x="2666" y="0"/>
                                  </a:lnTo>
                                </a:path>
                              </a:pathLst>
                            </a:custGeom>
                            <a:noFill/>
                            <a:ln w="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6" name="Freeform 226"/>
                          <wps:cNvSpPr>
                            <a:spLocks noEditPoints="1"/>
                          </wps:cNvSpPr>
                          <wps:spPr bwMode="auto">
                            <a:xfrm>
                              <a:off x="3910" y="5045"/>
                              <a:ext cx="83" cy="233"/>
                            </a:xfrm>
                            <a:custGeom>
                              <a:avLst/>
                              <a:gdLst>
                                <a:gd name="T0" fmla="*/ 47 w 80"/>
                                <a:gd name="T1" fmla="*/ 0 h 226"/>
                                <a:gd name="T2" fmla="*/ 47 w 80"/>
                                <a:gd name="T3" fmla="*/ 0 h 226"/>
                                <a:gd name="T4" fmla="*/ 47 w 80"/>
                                <a:gd name="T5" fmla="*/ 159 h 226"/>
                                <a:gd name="T6" fmla="*/ 33 w 80"/>
                                <a:gd name="T7" fmla="*/ 159 h 226"/>
                                <a:gd name="T8" fmla="*/ 33 w 80"/>
                                <a:gd name="T9" fmla="*/ 0 h 226"/>
                                <a:gd name="T10" fmla="*/ 47 w 80"/>
                                <a:gd name="T11" fmla="*/ 0 h 226"/>
                                <a:gd name="T12" fmla="*/ 80 w 80"/>
                                <a:gd name="T13" fmla="*/ 146 h 226"/>
                                <a:gd name="T14" fmla="*/ 80 w 80"/>
                                <a:gd name="T15" fmla="*/ 146 h 226"/>
                                <a:gd name="T16" fmla="*/ 40 w 80"/>
                                <a:gd name="T17" fmla="*/ 226 h 226"/>
                                <a:gd name="T18" fmla="*/ 0 w 80"/>
                                <a:gd name="T19" fmla="*/ 146 h 226"/>
                                <a:gd name="T20" fmla="*/ 80 w 80"/>
                                <a:gd name="T21" fmla="*/ 146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226">
                                  <a:moveTo>
                                    <a:pt x="47" y="0"/>
                                  </a:moveTo>
                                  <a:lnTo>
                                    <a:pt x="47" y="0"/>
                                  </a:lnTo>
                                  <a:lnTo>
                                    <a:pt x="47" y="159"/>
                                  </a:lnTo>
                                  <a:lnTo>
                                    <a:pt x="33" y="159"/>
                                  </a:lnTo>
                                  <a:lnTo>
                                    <a:pt x="33" y="0"/>
                                  </a:lnTo>
                                  <a:lnTo>
                                    <a:pt x="47" y="0"/>
                                  </a:lnTo>
                                  <a:close/>
                                  <a:moveTo>
                                    <a:pt x="80" y="146"/>
                                  </a:moveTo>
                                  <a:lnTo>
                                    <a:pt x="80" y="146"/>
                                  </a:lnTo>
                                  <a:lnTo>
                                    <a:pt x="40" y="226"/>
                                  </a:lnTo>
                                  <a:lnTo>
                                    <a:pt x="0" y="146"/>
                                  </a:lnTo>
                                  <a:lnTo>
                                    <a:pt x="80" y="14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227" name="Freeform 227"/>
                          <wps:cNvSpPr>
                            <a:spLocks noEditPoints="1"/>
                          </wps:cNvSpPr>
                          <wps:spPr bwMode="auto">
                            <a:xfrm>
                              <a:off x="6664" y="5045"/>
                              <a:ext cx="83" cy="233"/>
                            </a:xfrm>
                            <a:custGeom>
                              <a:avLst/>
                              <a:gdLst>
                                <a:gd name="T0" fmla="*/ 47 w 80"/>
                                <a:gd name="T1" fmla="*/ 0 h 226"/>
                                <a:gd name="T2" fmla="*/ 47 w 80"/>
                                <a:gd name="T3" fmla="*/ 0 h 226"/>
                                <a:gd name="T4" fmla="*/ 47 w 80"/>
                                <a:gd name="T5" fmla="*/ 159 h 226"/>
                                <a:gd name="T6" fmla="*/ 33 w 80"/>
                                <a:gd name="T7" fmla="*/ 159 h 226"/>
                                <a:gd name="T8" fmla="*/ 33 w 80"/>
                                <a:gd name="T9" fmla="*/ 0 h 226"/>
                                <a:gd name="T10" fmla="*/ 47 w 80"/>
                                <a:gd name="T11" fmla="*/ 0 h 226"/>
                                <a:gd name="T12" fmla="*/ 80 w 80"/>
                                <a:gd name="T13" fmla="*/ 146 h 226"/>
                                <a:gd name="T14" fmla="*/ 80 w 80"/>
                                <a:gd name="T15" fmla="*/ 146 h 226"/>
                                <a:gd name="T16" fmla="*/ 40 w 80"/>
                                <a:gd name="T17" fmla="*/ 226 h 226"/>
                                <a:gd name="T18" fmla="*/ 0 w 80"/>
                                <a:gd name="T19" fmla="*/ 146 h 226"/>
                                <a:gd name="T20" fmla="*/ 80 w 80"/>
                                <a:gd name="T21" fmla="*/ 146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226">
                                  <a:moveTo>
                                    <a:pt x="47" y="0"/>
                                  </a:moveTo>
                                  <a:lnTo>
                                    <a:pt x="47" y="0"/>
                                  </a:lnTo>
                                  <a:lnTo>
                                    <a:pt x="47" y="159"/>
                                  </a:lnTo>
                                  <a:lnTo>
                                    <a:pt x="33" y="159"/>
                                  </a:lnTo>
                                  <a:lnTo>
                                    <a:pt x="33" y="0"/>
                                  </a:lnTo>
                                  <a:lnTo>
                                    <a:pt x="47" y="0"/>
                                  </a:lnTo>
                                  <a:close/>
                                  <a:moveTo>
                                    <a:pt x="80" y="146"/>
                                  </a:moveTo>
                                  <a:lnTo>
                                    <a:pt x="80" y="146"/>
                                  </a:lnTo>
                                  <a:lnTo>
                                    <a:pt x="40" y="226"/>
                                  </a:lnTo>
                                  <a:lnTo>
                                    <a:pt x="0" y="146"/>
                                  </a:lnTo>
                                  <a:lnTo>
                                    <a:pt x="80" y="14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228" name="Freeform 228"/>
                          <wps:cNvSpPr>
                            <a:spLocks noEditPoints="1"/>
                          </wps:cNvSpPr>
                          <wps:spPr bwMode="auto">
                            <a:xfrm>
                              <a:off x="3910" y="5627"/>
                              <a:ext cx="83" cy="233"/>
                            </a:xfrm>
                            <a:custGeom>
                              <a:avLst/>
                              <a:gdLst>
                                <a:gd name="T0" fmla="*/ 47 w 80"/>
                                <a:gd name="T1" fmla="*/ 0 h 226"/>
                                <a:gd name="T2" fmla="*/ 47 w 80"/>
                                <a:gd name="T3" fmla="*/ 0 h 226"/>
                                <a:gd name="T4" fmla="*/ 47 w 80"/>
                                <a:gd name="T5" fmla="*/ 159 h 226"/>
                                <a:gd name="T6" fmla="*/ 33 w 80"/>
                                <a:gd name="T7" fmla="*/ 159 h 226"/>
                                <a:gd name="T8" fmla="*/ 33 w 80"/>
                                <a:gd name="T9" fmla="*/ 0 h 226"/>
                                <a:gd name="T10" fmla="*/ 47 w 80"/>
                                <a:gd name="T11" fmla="*/ 0 h 226"/>
                                <a:gd name="T12" fmla="*/ 80 w 80"/>
                                <a:gd name="T13" fmla="*/ 146 h 226"/>
                                <a:gd name="T14" fmla="*/ 80 w 80"/>
                                <a:gd name="T15" fmla="*/ 146 h 226"/>
                                <a:gd name="T16" fmla="*/ 40 w 80"/>
                                <a:gd name="T17" fmla="*/ 226 h 226"/>
                                <a:gd name="T18" fmla="*/ 0 w 80"/>
                                <a:gd name="T19" fmla="*/ 146 h 226"/>
                                <a:gd name="T20" fmla="*/ 80 w 80"/>
                                <a:gd name="T21" fmla="*/ 146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226">
                                  <a:moveTo>
                                    <a:pt x="47" y="0"/>
                                  </a:moveTo>
                                  <a:lnTo>
                                    <a:pt x="47" y="0"/>
                                  </a:lnTo>
                                  <a:lnTo>
                                    <a:pt x="47" y="159"/>
                                  </a:lnTo>
                                  <a:lnTo>
                                    <a:pt x="33" y="159"/>
                                  </a:lnTo>
                                  <a:lnTo>
                                    <a:pt x="33" y="0"/>
                                  </a:lnTo>
                                  <a:lnTo>
                                    <a:pt x="47" y="0"/>
                                  </a:lnTo>
                                  <a:close/>
                                  <a:moveTo>
                                    <a:pt x="80" y="146"/>
                                  </a:moveTo>
                                  <a:lnTo>
                                    <a:pt x="80" y="146"/>
                                  </a:lnTo>
                                  <a:lnTo>
                                    <a:pt x="40" y="226"/>
                                  </a:lnTo>
                                  <a:lnTo>
                                    <a:pt x="0" y="146"/>
                                  </a:lnTo>
                                  <a:lnTo>
                                    <a:pt x="80" y="14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229" name="Freeform 229"/>
                          <wps:cNvSpPr>
                            <a:spLocks noEditPoints="1"/>
                          </wps:cNvSpPr>
                          <wps:spPr bwMode="auto">
                            <a:xfrm>
                              <a:off x="6664" y="5627"/>
                              <a:ext cx="83" cy="233"/>
                            </a:xfrm>
                            <a:custGeom>
                              <a:avLst/>
                              <a:gdLst>
                                <a:gd name="T0" fmla="*/ 47 w 80"/>
                                <a:gd name="T1" fmla="*/ 0 h 226"/>
                                <a:gd name="T2" fmla="*/ 47 w 80"/>
                                <a:gd name="T3" fmla="*/ 0 h 226"/>
                                <a:gd name="T4" fmla="*/ 47 w 80"/>
                                <a:gd name="T5" fmla="*/ 159 h 226"/>
                                <a:gd name="T6" fmla="*/ 33 w 80"/>
                                <a:gd name="T7" fmla="*/ 159 h 226"/>
                                <a:gd name="T8" fmla="*/ 33 w 80"/>
                                <a:gd name="T9" fmla="*/ 0 h 226"/>
                                <a:gd name="T10" fmla="*/ 47 w 80"/>
                                <a:gd name="T11" fmla="*/ 0 h 226"/>
                                <a:gd name="T12" fmla="*/ 80 w 80"/>
                                <a:gd name="T13" fmla="*/ 146 h 226"/>
                                <a:gd name="T14" fmla="*/ 80 w 80"/>
                                <a:gd name="T15" fmla="*/ 146 h 226"/>
                                <a:gd name="T16" fmla="*/ 40 w 80"/>
                                <a:gd name="T17" fmla="*/ 226 h 226"/>
                                <a:gd name="T18" fmla="*/ 0 w 80"/>
                                <a:gd name="T19" fmla="*/ 146 h 226"/>
                                <a:gd name="T20" fmla="*/ 80 w 80"/>
                                <a:gd name="T21" fmla="*/ 146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226">
                                  <a:moveTo>
                                    <a:pt x="47" y="0"/>
                                  </a:moveTo>
                                  <a:lnTo>
                                    <a:pt x="47" y="0"/>
                                  </a:lnTo>
                                  <a:lnTo>
                                    <a:pt x="47" y="159"/>
                                  </a:lnTo>
                                  <a:lnTo>
                                    <a:pt x="33" y="159"/>
                                  </a:lnTo>
                                  <a:lnTo>
                                    <a:pt x="33" y="0"/>
                                  </a:lnTo>
                                  <a:lnTo>
                                    <a:pt x="47" y="0"/>
                                  </a:lnTo>
                                  <a:close/>
                                  <a:moveTo>
                                    <a:pt x="80" y="146"/>
                                  </a:moveTo>
                                  <a:lnTo>
                                    <a:pt x="80" y="146"/>
                                  </a:lnTo>
                                  <a:lnTo>
                                    <a:pt x="40" y="226"/>
                                  </a:lnTo>
                                  <a:lnTo>
                                    <a:pt x="0" y="146"/>
                                  </a:lnTo>
                                  <a:lnTo>
                                    <a:pt x="80" y="14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230" name="Freeform 230"/>
                          <wps:cNvSpPr>
                            <a:spLocks noEditPoints="1"/>
                          </wps:cNvSpPr>
                          <wps:spPr bwMode="auto">
                            <a:xfrm>
                              <a:off x="3910" y="6209"/>
                              <a:ext cx="83" cy="467"/>
                            </a:xfrm>
                            <a:custGeom>
                              <a:avLst/>
                              <a:gdLst>
                                <a:gd name="T0" fmla="*/ 47 w 80"/>
                                <a:gd name="T1" fmla="*/ 0 h 452"/>
                                <a:gd name="T2" fmla="*/ 47 w 80"/>
                                <a:gd name="T3" fmla="*/ 0 h 452"/>
                                <a:gd name="T4" fmla="*/ 47 w 80"/>
                                <a:gd name="T5" fmla="*/ 385 h 452"/>
                                <a:gd name="T6" fmla="*/ 33 w 80"/>
                                <a:gd name="T7" fmla="*/ 385 h 452"/>
                                <a:gd name="T8" fmla="*/ 33 w 80"/>
                                <a:gd name="T9" fmla="*/ 0 h 452"/>
                                <a:gd name="T10" fmla="*/ 47 w 80"/>
                                <a:gd name="T11" fmla="*/ 0 h 452"/>
                                <a:gd name="T12" fmla="*/ 80 w 80"/>
                                <a:gd name="T13" fmla="*/ 372 h 452"/>
                                <a:gd name="T14" fmla="*/ 80 w 80"/>
                                <a:gd name="T15" fmla="*/ 372 h 452"/>
                                <a:gd name="T16" fmla="*/ 40 w 80"/>
                                <a:gd name="T17" fmla="*/ 452 h 452"/>
                                <a:gd name="T18" fmla="*/ 0 w 80"/>
                                <a:gd name="T19" fmla="*/ 372 h 452"/>
                                <a:gd name="T20" fmla="*/ 80 w 80"/>
                                <a:gd name="T21" fmla="*/ 372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452">
                                  <a:moveTo>
                                    <a:pt x="47" y="0"/>
                                  </a:moveTo>
                                  <a:lnTo>
                                    <a:pt x="47" y="0"/>
                                  </a:lnTo>
                                  <a:lnTo>
                                    <a:pt x="47" y="385"/>
                                  </a:lnTo>
                                  <a:lnTo>
                                    <a:pt x="33" y="385"/>
                                  </a:lnTo>
                                  <a:lnTo>
                                    <a:pt x="33" y="0"/>
                                  </a:lnTo>
                                  <a:lnTo>
                                    <a:pt x="47" y="0"/>
                                  </a:lnTo>
                                  <a:close/>
                                  <a:moveTo>
                                    <a:pt x="80" y="372"/>
                                  </a:moveTo>
                                  <a:lnTo>
                                    <a:pt x="80" y="372"/>
                                  </a:lnTo>
                                  <a:lnTo>
                                    <a:pt x="40" y="452"/>
                                  </a:lnTo>
                                  <a:lnTo>
                                    <a:pt x="0" y="372"/>
                                  </a:lnTo>
                                  <a:lnTo>
                                    <a:pt x="80" y="37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231" name="Freeform 231"/>
                          <wps:cNvSpPr>
                            <a:spLocks/>
                          </wps:cNvSpPr>
                          <wps:spPr bwMode="auto">
                            <a:xfrm>
                              <a:off x="1394" y="7840"/>
                              <a:ext cx="5115" cy="1514"/>
                            </a:xfrm>
                            <a:custGeom>
                              <a:avLst/>
                              <a:gdLst>
                                <a:gd name="T0" fmla="*/ 0 w 4952"/>
                                <a:gd name="T1" fmla="*/ 245 h 1468"/>
                                <a:gd name="T2" fmla="*/ 0 w 4952"/>
                                <a:gd name="T3" fmla="*/ 245 h 1468"/>
                                <a:gd name="T4" fmla="*/ 245 w 4952"/>
                                <a:gd name="T5" fmla="*/ 0 h 1468"/>
                                <a:gd name="T6" fmla="*/ 4707 w 4952"/>
                                <a:gd name="T7" fmla="*/ 0 h 1468"/>
                                <a:gd name="T8" fmla="*/ 4952 w 4952"/>
                                <a:gd name="T9" fmla="*/ 245 h 1468"/>
                                <a:gd name="T10" fmla="*/ 4952 w 4952"/>
                                <a:gd name="T11" fmla="*/ 1224 h 1468"/>
                                <a:gd name="T12" fmla="*/ 4707 w 4952"/>
                                <a:gd name="T13" fmla="*/ 1468 h 1468"/>
                                <a:gd name="T14" fmla="*/ 245 w 4952"/>
                                <a:gd name="T15" fmla="*/ 1468 h 1468"/>
                                <a:gd name="T16" fmla="*/ 0 w 4952"/>
                                <a:gd name="T17" fmla="*/ 1224 h 1468"/>
                                <a:gd name="T18" fmla="*/ 0 w 4952"/>
                                <a:gd name="T19" fmla="*/ 245 h 1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52" h="1468">
                                  <a:moveTo>
                                    <a:pt x="0" y="245"/>
                                  </a:moveTo>
                                  <a:lnTo>
                                    <a:pt x="0" y="245"/>
                                  </a:lnTo>
                                  <a:cubicBezTo>
                                    <a:pt x="0" y="110"/>
                                    <a:pt x="110" y="0"/>
                                    <a:pt x="245" y="0"/>
                                  </a:cubicBezTo>
                                  <a:lnTo>
                                    <a:pt x="4707" y="0"/>
                                  </a:lnTo>
                                  <a:cubicBezTo>
                                    <a:pt x="4842" y="0"/>
                                    <a:pt x="4952" y="110"/>
                                    <a:pt x="4952" y="245"/>
                                  </a:cubicBezTo>
                                  <a:lnTo>
                                    <a:pt x="4952" y="1224"/>
                                  </a:lnTo>
                                  <a:cubicBezTo>
                                    <a:pt x="4952" y="1359"/>
                                    <a:pt x="4842" y="1468"/>
                                    <a:pt x="4707" y="1468"/>
                                  </a:cubicBezTo>
                                  <a:lnTo>
                                    <a:pt x="245" y="1468"/>
                                  </a:lnTo>
                                  <a:cubicBezTo>
                                    <a:pt x="110" y="1468"/>
                                    <a:pt x="0" y="1359"/>
                                    <a:pt x="0" y="1224"/>
                                  </a:cubicBezTo>
                                  <a:lnTo>
                                    <a:pt x="0" y="245"/>
                                  </a:lnTo>
                                  <a:close/>
                                </a:path>
                              </a:pathLst>
                            </a:custGeom>
                            <a:solidFill>
                              <a:srgbClr val="CC99FF"/>
                            </a:solidFill>
                            <a:ln w="0">
                              <a:solidFill>
                                <a:srgbClr val="000000"/>
                              </a:solidFill>
                              <a:round/>
                              <a:headEnd/>
                              <a:tailEnd/>
                            </a:ln>
                          </wps:spPr>
                          <wps:bodyPr rot="0" vert="horz" wrap="square" lIns="91440" tIns="45720" rIns="91440" bIns="45720" anchor="t" anchorCtr="0" upright="1">
                            <a:noAutofit/>
                          </wps:bodyPr>
                        </wps:wsp>
                        <wps:wsp>
                          <wps:cNvPr id="9232" name="Freeform 232"/>
                          <wps:cNvSpPr>
                            <a:spLocks/>
                          </wps:cNvSpPr>
                          <wps:spPr bwMode="auto">
                            <a:xfrm>
                              <a:off x="1394" y="7840"/>
                              <a:ext cx="5115" cy="1514"/>
                            </a:xfrm>
                            <a:custGeom>
                              <a:avLst/>
                              <a:gdLst>
                                <a:gd name="T0" fmla="*/ 0 w 4952"/>
                                <a:gd name="T1" fmla="*/ 245 h 1468"/>
                                <a:gd name="T2" fmla="*/ 0 w 4952"/>
                                <a:gd name="T3" fmla="*/ 245 h 1468"/>
                                <a:gd name="T4" fmla="*/ 245 w 4952"/>
                                <a:gd name="T5" fmla="*/ 0 h 1468"/>
                                <a:gd name="T6" fmla="*/ 4707 w 4952"/>
                                <a:gd name="T7" fmla="*/ 0 h 1468"/>
                                <a:gd name="T8" fmla="*/ 4952 w 4952"/>
                                <a:gd name="T9" fmla="*/ 245 h 1468"/>
                                <a:gd name="T10" fmla="*/ 4952 w 4952"/>
                                <a:gd name="T11" fmla="*/ 1224 h 1468"/>
                                <a:gd name="T12" fmla="*/ 4707 w 4952"/>
                                <a:gd name="T13" fmla="*/ 1468 h 1468"/>
                                <a:gd name="T14" fmla="*/ 245 w 4952"/>
                                <a:gd name="T15" fmla="*/ 1468 h 1468"/>
                                <a:gd name="T16" fmla="*/ 0 w 4952"/>
                                <a:gd name="T17" fmla="*/ 1224 h 1468"/>
                                <a:gd name="T18" fmla="*/ 0 w 4952"/>
                                <a:gd name="T19" fmla="*/ 245 h 1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52" h="1468">
                                  <a:moveTo>
                                    <a:pt x="0" y="245"/>
                                  </a:moveTo>
                                  <a:lnTo>
                                    <a:pt x="0" y="245"/>
                                  </a:lnTo>
                                  <a:cubicBezTo>
                                    <a:pt x="0" y="110"/>
                                    <a:pt x="110" y="0"/>
                                    <a:pt x="245" y="0"/>
                                  </a:cubicBezTo>
                                  <a:lnTo>
                                    <a:pt x="4707" y="0"/>
                                  </a:lnTo>
                                  <a:cubicBezTo>
                                    <a:pt x="4842" y="0"/>
                                    <a:pt x="4952" y="110"/>
                                    <a:pt x="4952" y="245"/>
                                  </a:cubicBezTo>
                                  <a:lnTo>
                                    <a:pt x="4952" y="1224"/>
                                  </a:lnTo>
                                  <a:cubicBezTo>
                                    <a:pt x="4952" y="1359"/>
                                    <a:pt x="4842" y="1468"/>
                                    <a:pt x="4707" y="1468"/>
                                  </a:cubicBezTo>
                                  <a:lnTo>
                                    <a:pt x="245" y="1468"/>
                                  </a:lnTo>
                                  <a:cubicBezTo>
                                    <a:pt x="110" y="1468"/>
                                    <a:pt x="0" y="1359"/>
                                    <a:pt x="0" y="1224"/>
                                  </a:cubicBezTo>
                                  <a:lnTo>
                                    <a:pt x="0" y="245"/>
                                  </a:lnTo>
                                  <a:close/>
                                </a:path>
                              </a:pathLst>
                            </a:custGeom>
                            <a:noFill/>
                            <a:ln w="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3" name="Rectangle 233"/>
                          <wps:cNvSpPr>
                            <a:spLocks noChangeArrowheads="1"/>
                          </wps:cNvSpPr>
                          <wps:spPr bwMode="auto">
                            <a:xfrm>
                              <a:off x="1614" y="8013"/>
                              <a:ext cx="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I</w:t>
                                </w:r>
                              </w:p>
                            </w:txbxContent>
                          </wps:txbx>
                          <wps:bodyPr rot="0" vert="horz" wrap="none" lIns="0" tIns="0" rIns="0" bIns="0" anchor="t" anchorCtr="0" upright="1">
                            <a:spAutoFit/>
                          </wps:bodyPr>
                        </wps:wsp>
                        <wps:wsp>
                          <wps:cNvPr id="9236" name="Rectangle 234"/>
                          <wps:cNvSpPr>
                            <a:spLocks noChangeArrowheads="1"/>
                          </wps:cNvSpPr>
                          <wps:spPr bwMode="auto">
                            <a:xfrm>
                              <a:off x="1668" y="8013"/>
                              <a:ext cx="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f</w:t>
                                </w:r>
                              </w:p>
                            </w:txbxContent>
                          </wps:txbx>
                          <wps:bodyPr rot="0" vert="horz" wrap="none" lIns="0" tIns="0" rIns="0" bIns="0" anchor="t" anchorCtr="0" upright="1">
                            <a:spAutoFit/>
                          </wps:bodyPr>
                        </wps:wsp>
                        <wps:wsp>
                          <wps:cNvPr id="9237" name="Rectangle 235"/>
                          <wps:cNvSpPr>
                            <a:spLocks noChangeArrowheads="1"/>
                          </wps:cNvSpPr>
                          <wps:spPr bwMode="auto">
                            <a:xfrm>
                              <a:off x="1724" y="8013"/>
                              <a:ext cx="9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r</w:t>
                                </w:r>
                              </w:p>
                            </w:txbxContent>
                          </wps:txbx>
                          <wps:bodyPr rot="0" vert="horz" wrap="none" lIns="0" tIns="0" rIns="0" bIns="0" anchor="t" anchorCtr="0" upright="1">
                            <a:spAutoFit/>
                          </wps:bodyPr>
                        </wps:wsp>
                        <wps:wsp>
                          <wps:cNvPr id="9238" name="Rectangle 236"/>
                          <wps:cNvSpPr>
                            <a:spLocks noChangeArrowheads="1"/>
                          </wps:cNvSpPr>
                          <wps:spPr bwMode="auto">
                            <a:xfrm>
                              <a:off x="1820" y="8013"/>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e</w:t>
                                </w:r>
                              </w:p>
                            </w:txbxContent>
                          </wps:txbx>
                          <wps:bodyPr rot="0" vert="horz" wrap="none" lIns="0" tIns="0" rIns="0" bIns="0" anchor="t" anchorCtr="0" upright="1">
                            <a:spAutoFit/>
                          </wps:bodyPr>
                        </wps:wsp>
                        <wps:wsp>
                          <wps:cNvPr id="9239" name="Rectangle 237"/>
                          <wps:cNvSpPr>
                            <a:spLocks noChangeArrowheads="1"/>
                          </wps:cNvSpPr>
                          <wps:spPr bwMode="auto">
                            <a:xfrm>
                              <a:off x="1892" y="8013"/>
                              <a:ext cx="23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sult</w:t>
                                </w:r>
                              </w:p>
                            </w:txbxContent>
                          </wps:txbx>
                          <wps:bodyPr rot="0" vert="horz" wrap="none" lIns="0" tIns="0" rIns="0" bIns="0" anchor="t" anchorCtr="0" upright="1">
                            <a:spAutoFit/>
                          </wps:bodyPr>
                        </wps:wsp>
                        <wps:wsp>
                          <wps:cNvPr id="9240" name="Rectangle 238"/>
                          <wps:cNvSpPr>
                            <a:spLocks noChangeArrowheads="1"/>
                          </wps:cNvSpPr>
                          <wps:spPr bwMode="auto">
                            <a:xfrm>
                              <a:off x="2132" y="8013"/>
                              <a:ext cx="22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s ar</w:t>
                                </w:r>
                              </w:p>
                            </w:txbxContent>
                          </wps:txbx>
                          <wps:bodyPr rot="0" vert="horz" wrap="none" lIns="0" tIns="0" rIns="0" bIns="0" anchor="t" anchorCtr="0" upright="1">
                            <a:spAutoFit/>
                          </wps:bodyPr>
                        </wps:wsp>
                        <wps:wsp>
                          <wps:cNvPr id="9241" name="Rectangle 239"/>
                          <wps:cNvSpPr>
                            <a:spLocks noChangeArrowheads="1"/>
                          </wps:cNvSpPr>
                          <wps:spPr bwMode="auto">
                            <a:xfrm>
                              <a:off x="2366" y="8013"/>
                              <a:ext cx="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e</w:t>
                                </w:r>
                              </w:p>
                            </w:txbxContent>
                          </wps:txbx>
                          <wps:bodyPr rot="0" vert="horz" wrap="none" lIns="0" tIns="0" rIns="0" bIns="0" anchor="t" anchorCtr="0" upright="1">
                            <a:spAutoFit/>
                          </wps:bodyPr>
                        </wps:wsp>
                        <wps:wsp>
                          <wps:cNvPr id="9242" name="Rectangle 240"/>
                          <wps:cNvSpPr>
                            <a:spLocks noChangeArrowheads="1"/>
                          </wps:cNvSpPr>
                          <wps:spPr bwMode="auto">
                            <a:xfrm>
                              <a:off x="2439" y="8013"/>
                              <a:ext cx="1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sti</w:t>
                                </w:r>
                              </w:p>
                            </w:txbxContent>
                          </wps:txbx>
                          <wps:bodyPr rot="0" vert="horz" wrap="none" lIns="0" tIns="0" rIns="0" bIns="0" anchor="t" anchorCtr="0" upright="1">
                            <a:spAutoFit/>
                          </wps:bodyPr>
                        </wps:wsp>
                        <wps:wsp>
                          <wps:cNvPr id="9243" name="Rectangle 241"/>
                          <wps:cNvSpPr>
                            <a:spLocks noChangeArrowheads="1"/>
                          </wps:cNvSpPr>
                          <wps:spPr bwMode="auto">
                            <a:xfrm>
                              <a:off x="2637" y="8013"/>
                              <a:ext cx="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ll</w:t>
                                </w:r>
                              </w:p>
                            </w:txbxContent>
                          </wps:txbx>
                          <wps:bodyPr rot="0" vert="horz" wrap="none" lIns="0" tIns="0" rIns="0" bIns="0" anchor="t" anchorCtr="0" upright="1">
                            <a:spAutoFit/>
                          </wps:bodyPr>
                        </wps:wsp>
                      </wpg:wgp>
                      <wps:wsp>
                        <wps:cNvPr id="9244" name="Rectangle 242"/>
                        <wps:cNvSpPr>
                          <a:spLocks noChangeArrowheads="1"/>
                        </wps:cNvSpPr>
                        <wps:spPr bwMode="auto">
                          <a:xfrm>
                            <a:off x="1733550" y="5088255"/>
                            <a:ext cx="2965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inconc</w:t>
                              </w:r>
                            </w:p>
                          </w:txbxContent>
                        </wps:txbx>
                        <wps:bodyPr rot="0" vert="horz" wrap="none" lIns="0" tIns="0" rIns="0" bIns="0" anchor="t" anchorCtr="0" upright="1">
                          <a:spAutoFit/>
                        </wps:bodyPr>
                      </wps:wsp>
                      <wps:wsp>
                        <wps:cNvPr id="9245" name="Rectangle 243"/>
                        <wps:cNvSpPr>
                          <a:spLocks noChangeArrowheads="1"/>
                        </wps:cNvSpPr>
                        <wps:spPr bwMode="auto">
                          <a:xfrm>
                            <a:off x="2038350" y="5088255"/>
                            <a:ext cx="1473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lusi</w:t>
                              </w:r>
                            </w:p>
                          </w:txbxContent>
                        </wps:txbx>
                        <wps:bodyPr rot="0" vert="horz" wrap="none" lIns="0" tIns="0" rIns="0" bIns="0" anchor="t" anchorCtr="0" upright="1">
                          <a:spAutoFit/>
                        </wps:bodyPr>
                      </wps:wsp>
                      <wps:wsp>
                        <wps:cNvPr id="9246" name="Rectangle 244"/>
                        <wps:cNvSpPr>
                          <a:spLocks noChangeArrowheads="1"/>
                        </wps:cNvSpPr>
                        <wps:spPr bwMode="auto">
                          <a:xfrm>
                            <a:off x="2190750" y="5088255"/>
                            <a:ext cx="965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ve</w:t>
                              </w:r>
                            </w:p>
                          </w:txbxContent>
                        </wps:txbx>
                        <wps:bodyPr rot="0" vert="horz" wrap="none" lIns="0" tIns="0" rIns="0" bIns="0" anchor="t" anchorCtr="0" upright="1">
                          <a:spAutoFit/>
                        </wps:bodyPr>
                      </wps:wsp>
                      <wps:wsp>
                        <wps:cNvPr id="9247" name="Rectangle 245"/>
                        <wps:cNvSpPr>
                          <a:spLocks noChangeArrowheads="1"/>
                        </wps:cNvSpPr>
                        <wps:spPr bwMode="auto">
                          <a:xfrm>
                            <a:off x="2289810" y="5088255"/>
                            <a:ext cx="965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a</w:t>
                              </w:r>
                            </w:p>
                          </w:txbxContent>
                        </wps:txbx>
                        <wps:bodyPr rot="0" vert="horz" wrap="none" lIns="0" tIns="0" rIns="0" bIns="0" anchor="t" anchorCtr="0" upright="1">
                          <a:spAutoFit/>
                        </wps:bodyPr>
                      </wps:wsp>
                      <wps:wsp>
                        <wps:cNvPr id="9248" name="Rectangle 246"/>
                        <wps:cNvSpPr>
                          <a:spLocks noChangeArrowheads="1"/>
                        </wps:cNvSpPr>
                        <wps:spPr bwMode="auto">
                          <a:xfrm>
                            <a:off x="2388235" y="5088255"/>
                            <a:ext cx="2851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dvise c</w:t>
                              </w:r>
                            </w:p>
                          </w:txbxContent>
                        </wps:txbx>
                        <wps:bodyPr rot="0" vert="horz" wrap="none" lIns="0" tIns="0" rIns="0" bIns="0" anchor="t" anchorCtr="0" upright="1">
                          <a:spAutoFit/>
                        </wps:bodyPr>
                      </wps:wsp>
                      <wps:wsp>
                        <wps:cNvPr id="9249" name="Rectangle 247"/>
                        <wps:cNvSpPr>
                          <a:spLocks noChangeArrowheads="1"/>
                        </wps:cNvSpPr>
                        <wps:spPr bwMode="auto">
                          <a:xfrm>
                            <a:off x="2681605" y="508825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li</w:t>
                              </w:r>
                            </w:p>
                          </w:txbxContent>
                        </wps:txbx>
                        <wps:bodyPr rot="0" vert="horz" wrap="none" lIns="0" tIns="0" rIns="0" bIns="0" anchor="t" anchorCtr="0" upright="1">
                          <a:spAutoFit/>
                        </wps:bodyPr>
                      </wps:wsp>
                      <wps:wsp>
                        <wps:cNvPr id="9250" name="Rectangle 248"/>
                        <wps:cNvSpPr>
                          <a:spLocks noChangeArrowheads="1"/>
                        </wps:cNvSpPr>
                        <wps:spPr bwMode="auto">
                          <a:xfrm>
                            <a:off x="2740025" y="5088255"/>
                            <a:ext cx="45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e</w:t>
                              </w:r>
                            </w:p>
                          </w:txbxContent>
                        </wps:txbx>
                        <wps:bodyPr rot="0" vert="horz" wrap="none" lIns="0" tIns="0" rIns="0" bIns="0" anchor="t" anchorCtr="0" upright="1">
                          <a:spAutoFit/>
                        </wps:bodyPr>
                      </wps:wsp>
                      <wps:wsp>
                        <wps:cNvPr id="9251" name="Rectangle 249"/>
                        <wps:cNvSpPr>
                          <a:spLocks noChangeArrowheads="1"/>
                        </wps:cNvSpPr>
                        <wps:spPr bwMode="auto">
                          <a:xfrm>
                            <a:off x="2787015" y="5088255"/>
                            <a:ext cx="1073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nt/</w:t>
                              </w:r>
                            </w:p>
                          </w:txbxContent>
                        </wps:txbx>
                        <wps:bodyPr rot="0" vert="horz" wrap="none" lIns="0" tIns="0" rIns="0" bIns="0" anchor="t" anchorCtr="0" upright="1">
                          <a:spAutoFit/>
                        </wps:bodyPr>
                      </wps:wsp>
                      <wps:wsp>
                        <wps:cNvPr id="9252" name="Rectangle 250"/>
                        <wps:cNvSpPr>
                          <a:spLocks noChangeArrowheads="1"/>
                        </wps:cNvSpPr>
                        <wps:spPr bwMode="auto">
                          <a:xfrm>
                            <a:off x="2897505" y="5088255"/>
                            <a:ext cx="965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pa</w:t>
                              </w:r>
                            </w:p>
                          </w:txbxContent>
                        </wps:txbx>
                        <wps:bodyPr rot="0" vert="horz" wrap="none" lIns="0" tIns="0" rIns="0" bIns="0" anchor="t" anchorCtr="0" upright="1">
                          <a:spAutoFit/>
                        </wps:bodyPr>
                      </wps:wsp>
                      <wps:wsp>
                        <wps:cNvPr id="9253" name="Rectangle 251"/>
                        <wps:cNvSpPr>
                          <a:spLocks noChangeArrowheads="1"/>
                        </wps:cNvSpPr>
                        <wps:spPr bwMode="auto">
                          <a:xfrm>
                            <a:off x="2996565" y="508825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ti</w:t>
                              </w:r>
                            </w:p>
                          </w:txbxContent>
                        </wps:txbx>
                        <wps:bodyPr rot="0" vert="horz" wrap="none" lIns="0" tIns="0" rIns="0" bIns="0" anchor="t" anchorCtr="0" upright="1">
                          <a:spAutoFit/>
                        </wps:bodyPr>
                      </wps:wsp>
                      <wps:wsp>
                        <wps:cNvPr id="9254" name="Rectangle 252"/>
                        <wps:cNvSpPr>
                          <a:spLocks noChangeArrowheads="1"/>
                        </wps:cNvSpPr>
                        <wps:spPr bwMode="auto">
                          <a:xfrm>
                            <a:off x="3054985" y="5088255"/>
                            <a:ext cx="45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e</w:t>
                              </w:r>
                            </w:p>
                          </w:txbxContent>
                        </wps:txbx>
                        <wps:bodyPr rot="0" vert="horz" wrap="none" lIns="0" tIns="0" rIns="0" bIns="0" anchor="t" anchorCtr="0" upright="1">
                          <a:spAutoFit/>
                        </wps:bodyPr>
                      </wps:wsp>
                      <wps:wsp>
                        <wps:cNvPr id="9255" name="Rectangle 253"/>
                        <wps:cNvSpPr>
                          <a:spLocks noChangeArrowheads="1"/>
                        </wps:cNvSpPr>
                        <wps:spPr bwMode="auto">
                          <a:xfrm>
                            <a:off x="3102610" y="5088255"/>
                            <a:ext cx="1327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nt t</w:t>
                              </w:r>
                            </w:p>
                          </w:txbxContent>
                        </wps:txbx>
                        <wps:bodyPr rot="0" vert="horz" wrap="none" lIns="0" tIns="0" rIns="0" bIns="0" anchor="t" anchorCtr="0" upright="1">
                          <a:spAutoFit/>
                        </wps:bodyPr>
                      </wps:wsp>
                      <wps:wsp>
                        <wps:cNvPr id="9256" name="Rectangle 254"/>
                        <wps:cNvSpPr>
                          <a:spLocks noChangeArrowheads="1"/>
                        </wps:cNvSpPr>
                        <wps:spPr bwMode="auto">
                          <a:xfrm>
                            <a:off x="3239135" y="5088255"/>
                            <a:ext cx="965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ha</w:t>
                              </w:r>
                            </w:p>
                          </w:txbxContent>
                        </wps:txbx>
                        <wps:bodyPr rot="0" vert="horz" wrap="none" lIns="0" tIns="0" rIns="0" bIns="0" anchor="t" anchorCtr="0" upright="1">
                          <a:spAutoFit/>
                        </wps:bodyPr>
                      </wps:wsp>
                      <wps:wsp>
                        <wps:cNvPr id="9257" name="Rectangle 255"/>
                        <wps:cNvSpPr>
                          <a:spLocks noChangeArrowheads="1"/>
                        </wps:cNvSpPr>
                        <wps:spPr bwMode="auto">
                          <a:xfrm>
                            <a:off x="3338195" y="5088255"/>
                            <a:ext cx="3136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t he/she</w:t>
                              </w:r>
                            </w:p>
                          </w:txbxContent>
                        </wps:txbx>
                        <wps:bodyPr rot="0" vert="horz" wrap="none" lIns="0" tIns="0" rIns="0" bIns="0" anchor="t" anchorCtr="0" upright="1">
                          <a:spAutoFit/>
                        </wps:bodyPr>
                      </wps:wsp>
                      <wps:wsp>
                        <wps:cNvPr id="9258" name="Rectangle 256"/>
                        <wps:cNvSpPr>
                          <a:spLocks noChangeArrowheads="1"/>
                        </wps:cNvSpPr>
                        <wps:spPr bwMode="auto">
                          <a:xfrm>
                            <a:off x="3662045" y="5088255"/>
                            <a:ext cx="1498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ma</w:t>
                              </w:r>
                            </w:p>
                          </w:txbxContent>
                        </wps:txbx>
                        <wps:bodyPr rot="0" vert="horz" wrap="none" lIns="0" tIns="0" rIns="0" bIns="0" anchor="t" anchorCtr="0" upright="1">
                          <a:spAutoFit/>
                        </wps:bodyPr>
                      </wps:wsp>
                      <wps:wsp>
                        <wps:cNvPr id="9259" name="Rectangle 257"/>
                        <wps:cNvSpPr>
                          <a:spLocks noChangeArrowheads="1"/>
                        </wps:cNvSpPr>
                        <wps:spPr bwMode="auto">
                          <a:xfrm>
                            <a:off x="3816350" y="508825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y</w:t>
                              </w:r>
                            </w:p>
                          </w:txbxContent>
                        </wps:txbx>
                        <wps:bodyPr rot="0" vert="horz" wrap="none" lIns="0" tIns="0" rIns="0" bIns="0" anchor="t" anchorCtr="0" upright="1">
                          <a:spAutoFit/>
                        </wps:bodyPr>
                      </wps:wsp>
                      <wps:wsp>
                        <wps:cNvPr id="9260" name="Rectangle 258"/>
                        <wps:cNvSpPr>
                          <a:spLocks noChangeArrowheads="1"/>
                        </wps:cNvSpPr>
                        <wps:spPr bwMode="auto">
                          <a:xfrm>
                            <a:off x="3867150" y="5088255"/>
                            <a:ext cx="76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b</w:t>
                              </w:r>
                            </w:p>
                          </w:txbxContent>
                        </wps:txbx>
                        <wps:bodyPr rot="0" vert="horz" wrap="none" lIns="0" tIns="0" rIns="0" bIns="0" anchor="t" anchorCtr="0" upright="1">
                          <a:spAutoFit/>
                        </wps:bodyPr>
                      </wps:wsp>
                      <wps:wsp>
                        <wps:cNvPr id="9261" name="Rectangle 259"/>
                        <wps:cNvSpPr>
                          <a:spLocks noChangeArrowheads="1"/>
                        </wps:cNvSpPr>
                        <wps:spPr bwMode="auto">
                          <a:xfrm>
                            <a:off x="3946525" y="5088255"/>
                            <a:ext cx="45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e</w:t>
                              </w:r>
                            </w:p>
                          </w:txbxContent>
                        </wps:txbx>
                        <wps:bodyPr rot="0" vert="horz" wrap="none" lIns="0" tIns="0" rIns="0" bIns="0" anchor="t" anchorCtr="0" upright="1">
                          <a:spAutoFit/>
                        </wps:bodyPr>
                      </wps:wsp>
                      <wps:wsp>
                        <wps:cNvPr id="9262" name="Rectangle 260"/>
                        <wps:cNvSpPr>
                          <a:spLocks noChangeArrowheads="1"/>
                        </wps:cNvSpPr>
                        <wps:spPr bwMode="auto">
                          <a:xfrm>
                            <a:off x="3992880" y="5088255"/>
                            <a:ext cx="260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w:t>
                              </w:r>
                            </w:p>
                          </w:txbxContent>
                        </wps:txbx>
                        <wps:bodyPr rot="0" vert="horz" wrap="none" lIns="0" tIns="0" rIns="0" bIns="0" anchor="t" anchorCtr="0" upright="1">
                          <a:spAutoFit/>
                        </wps:bodyPr>
                      </wps:wsp>
                      <wps:wsp>
                        <wps:cNvPr id="9263" name="Rectangle 261"/>
                        <wps:cNvSpPr>
                          <a:spLocks noChangeArrowheads="1"/>
                        </wps:cNvSpPr>
                        <wps:spPr bwMode="auto">
                          <a:xfrm>
                            <a:off x="1022985" y="5207635"/>
                            <a:ext cx="1949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in ac</w:t>
                              </w:r>
                            </w:p>
                          </w:txbxContent>
                        </wps:txbx>
                        <wps:bodyPr rot="0" vert="horz" wrap="none" lIns="0" tIns="0" rIns="0" bIns="0" anchor="t" anchorCtr="0" upright="1">
                          <a:spAutoFit/>
                        </wps:bodyPr>
                      </wps:wsp>
                      <wps:wsp>
                        <wps:cNvPr id="9264" name="Rectangle 262"/>
                        <wps:cNvSpPr>
                          <a:spLocks noChangeArrowheads="1"/>
                        </wps:cNvSpPr>
                        <wps:spPr bwMode="auto">
                          <a:xfrm>
                            <a:off x="1223645" y="5207635"/>
                            <a:ext cx="2235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ute H</w:t>
                              </w:r>
                            </w:p>
                          </w:txbxContent>
                        </wps:txbx>
                        <wps:bodyPr rot="0" vert="horz" wrap="none" lIns="0" tIns="0" rIns="0" bIns="0" anchor="t" anchorCtr="0" upright="1">
                          <a:spAutoFit/>
                        </wps:bodyPr>
                      </wps:wsp>
                      <wps:wsp>
                        <wps:cNvPr id="9265" name="Rectangle 263"/>
                        <wps:cNvSpPr>
                          <a:spLocks noChangeArrowheads="1"/>
                        </wps:cNvSpPr>
                        <wps:spPr bwMode="auto">
                          <a:xfrm>
                            <a:off x="1454785" y="5207635"/>
                            <a:ext cx="342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I</w:t>
                              </w:r>
                            </w:p>
                          </w:txbxContent>
                        </wps:txbx>
                        <wps:bodyPr rot="0" vert="horz" wrap="none" lIns="0" tIns="0" rIns="0" bIns="0" anchor="t" anchorCtr="0" upright="1">
                          <a:spAutoFit/>
                        </wps:bodyPr>
                      </wps:wsp>
                      <wps:wsp>
                        <wps:cNvPr id="9266" name="Rectangle 264"/>
                        <wps:cNvSpPr>
                          <a:spLocks noChangeArrowheads="1"/>
                        </wps:cNvSpPr>
                        <wps:spPr bwMode="auto">
                          <a:xfrm>
                            <a:off x="1488440" y="520763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V in</w:t>
                              </w:r>
                            </w:p>
                          </w:txbxContent>
                        </wps:txbx>
                        <wps:bodyPr rot="0" vert="horz" wrap="none" lIns="0" tIns="0" rIns="0" bIns="0" anchor="t" anchorCtr="0" upright="1">
                          <a:spAutoFit/>
                        </wps:bodyPr>
                      </wps:wsp>
                      <wps:wsp>
                        <wps:cNvPr id="9267" name="Rectangle 265"/>
                        <wps:cNvSpPr>
                          <a:spLocks noChangeArrowheads="1"/>
                        </wps:cNvSpPr>
                        <wps:spPr bwMode="auto">
                          <a:xfrm>
                            <a:off x="1672590" y="5207635"/>
                            <a:ext cx="79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fe</w:t>
                              </w:r>
                            </w:p>
                          </w:txbxContent>
                        </wps:txbx>
                        <wps:bodyPr rot="0" vert="horz" wrap="none" lIns="0" tIns="0" rIns="0" bIns="0" anchor="t" anchorCtr="0" upright="1">
                          <a:spAutoFit/>
                        </wps:bodyPr>
                      </wps:wsp>
                      <wps:wsp>
                        <wps:cNvPr id="9268" name="Rectangle 266"/>
                        <wps:cNvSpPr>
                          <a:spLocks noChangeArrowheads="1"/>
                        </wps:cNvSpPr>
                        <wps:spPr bwMode="auto">
                          <a:xfrm>
                            <a:off x="1753870" y="5207635"/>
                            <a:ext cx="45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c</w:t>
                              </w:r>
                            </w:p>
                          </w:txbxContent>
                        </wps:txbx>
                        <wps:bodyPr rot="0" vert="horz" wrap="none" lIns="0" tIns="0" rIns="0" bIns="0" anchor="t" anchorCtr="0" upright="1">
                          <a:spAutoFit/>
                        </wps:bodyPr>
                      </wps:wsp>
                      <wps:wsp>
                        <wps:cNvPr id="9269" name="Rectangle 267"/>
                        <wps:cNvSpPr>
                          <a:spLocks noChangeArrowheads="1"/>
                        </wps:cNvSpPr>
                        <wps:spPr bwMode="auto">
                          <a:xfrm>
                            <a:off x="1799590" y="520763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ti</w:t>
                              </w:r>
                            </w:p>
                          </w:txbxContent>
                        </wps:txbx>
                        <wps:bodyPr rot="0" vert="horz" wrap="none" lIns="0" tIns="0" rIns="0" bIns="0" anchor="t" anchorCtr="0" upright="1">
                          <a:spAutoFit/>
                        </wps:bodyPr>
                      </wps:wsp>
                      <wps:wsp>
                        <wps:cNvPr id="9270" name="Rectangle 268"/>
                        <wps:cNvSpPr>
                          <a:spLocks noChangeArrowheads="1"/>
                        </wps:cNvSpPr>
                        <wps:spPr bwMode="auto">
                          <a:xfrm>
                            <a:off x="1858010" y="5207635"/>
                            <a:ext cx="2235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on pe</w:t>
                              </w:r>
                            </w:p>
                          </w:txbxContent>
                        </wps:txbx>
                        <wps:bodyPr rot="0" vert="horz" wrap="none" lIns="0" tIns="0" rIns="0" bIns="0" anchor="t" anchorCtr="0" upright="1">
                          <a:spAutoFit/>
                        </wps:bodyPr>
                      </wps:wsp>
                      <wps:wsp>
                        <wps:cNvPr id="9271" name="Rectangle 269"/>
                        <wps:cNvSpPr>
                          <a:spLocks noChangeArrowheads="1"/>
                        </wps:cNvSpPr>
                        <wps:spPr bwMode="auto">
                          <a:xfrm>
                            <a:off x="2089150" y="5207635"/>
                            <a:ext cx="2628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riod; a</w:t>
                              </w:r>
                            </w:p>
                          </w:txbxContent>
                        </wps:txbx>
                        <wps:bodyPr rot="0" vert="horz" wrap="none" lIns="0" tIns="0" rIns="0" bIns="0" anchor="t" anchorCtr="0" upright="1">
                          <a:spAutoFit/>
                        </wps:bodyPr>
                      </wps:wsp>
                      <wps:wsp>
                        <wps:cNvPr id="9272" name="Rectangle 270"/>
                        <wps:cNvSpPr>
                          <a:spLocks noChangeArrowheads="1"/>
                        </wps:cNvSpPr>
                        <wps:spPr bwMode="auto">
                          <a:xfrm>
                            <a:off x="2359660" y="5207635"/>
                            <a:ext cx="1441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sk t</w:t>
                              </w:r>
                            </w:p>
                          </w:txbxContent>
                        </wps:txbx>
                        <wps:bodyPr rot="0" vert="horz" wrap="none" lIns="0" tIns="0" rIns="0" bIns="0" anchor="t" anchorCtr="0" upright="1">
                          <a:spAutoFit/>
                        </wps:bodyPr>
                      </wps:wsp>
                      <wps:wsp>
                        <wps:cNvPr id="9273" name="Rectangle 271"/>
                        <wps:cNvSpPr>
                          <a:spLocks noChangeArrowheads="1"/>
                        </wps:cNvSpPr>
                        <wps:spPr bwMode="auto">
                          <a:xfrm>
                            <a:off x="2508885" y="5207635"/>
                            <a:ext cx="155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o re</w:t>
                              </w:r>
                            </w:p>
                          </w:txbxContent>
                        </wps:txbx>
                        <wps:bodyPr rot="0" vert="horz" wrap="none" lIns="0" tIns="0" rIns="0" bIns="0" anchor="t" anchorCtr="0" upright="1">
                          <a:spAutoFit/>
                        </wps:bodyPr>
                      </wps:wsp>
                      <wps:wsp>
                        <wps:cNvPr id="9274" name="Rectangle 272"/>
                        <wps:cNvSpPr>
                          <a:spLocks noChangeArrowheads="1"/>
                        </wps:cNvSpPr>
                        <wps:spPr bwMode="auto">
                          <a:xfrm>
                            <a:off x="2668270" y="5207635"/>
                            <a:ext cx="2235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turn f</w:t>
                              </w:r>
                            </w:p>
                          </w:txbxContent>
                        </wps:txbx>
                        <wps:bodyPr rot="0" vert="horz" wrap="none" lIns="0" tIns="0" rIns="0" bIns="0" anchor="t" anchorCtr="0" upright="1">
                          <a:spAutoFit/>
                        </wps:bodyPr>
                      </wps:wsp>
                      <wps:wsp>
                        <wps:cNvPr id="9275" name="Rectangle 273"/>
                        <wps:cNvSpPr>
                          <a:spLocks noChangeArrowheads="1"/>
                        </wps:cNvSpPr>
                        <wps:spPr bwMode="auto">
                          <a:xfrm>
                            <a:off x="2898140" y="5207635"/>
                            <a:ext cx="850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or</w:t>
                              </w:r>
                            </w:p>
                          </w:txbxContent>
                        </wps:txbx>
                        <wps:bodyPr rot="0" vert="horz" wrap="none" lIns="0" tIns="0" rIns="0" bIns="0" anchor="t" anchorCtr="0" upright="1">
                          <a:spAutoFit/>
                        </wps:bodyPr>
                      </wps:wsp>
                      <wps:wsp>
                        <wps:cNvPr id="9276" name="Rectangle 274"/>
                        <wps:cNvSpPr>
                          <a:spLocks noChangeArrowheads="1"/>
                        </wps:cNvSpPr>
                        <wps:spPr bwMode="auto">
                          <a:xfrm>
                            <a:off x="2985135" y="5207635"/>
                            <a:ext cx="260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w:t>
                              </w:r>
                            </w:p>
                          </w:txbxContent>
                        </wps:txbx>
                        <wps:bodyPr rot="0" vert="horz" wrap="none" lIns="0" tIns="0" rIns="0" bIns="0" anchor="t" anchorCtr="0" upright="1">
                          <a:spAutoFit/>
                        </wps:bodyPr>
                      </wps:wsp>
                      <wps:wsp>
                        <wps:cNvPr id="9277" name="Rectangle 275"/>
                        <wps:cNvSpPr>
                          <a:spLocks noChangeArrowheads="1"/>
                        </wps:cNvSpPr>
                        <wps:spPr bwMode="auto">
                          <a:xfrm>
                            <a:off x="3012440" y="5207635"/>
                            <a:ext cx="45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a</w:t>
                              </w:r>
                            </w:p>
                          </w:txbxContent>
                        </wps:txbx>
                        <wps:bodyPr rot="0" vert="horz" wrap="none" lIns="0" tIns="0" rIns="0" bIns="0" anchor="t" anchorCtr="0" upright="1">
                          <a:spAutoFit/>
                        </wps:bodyPr>
                      </wps:wsp>
                      <wps:wsp>
                        <wps:cNvPr id="9278" name="Rectangle 276"/>
                        <wps:cNvSpPr>
                          <a:spLocks noChangeArrowheads="1"/>
                        </wps:cNvSpPr>
                        <wps:spPr bwMode="auto">
                          <a:xfrm>
                            <a:off x="3058160" y="520763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n</w:t>
                              </w:r>
                            </w:p>
                          </w:txbxContent>
                        </wps:txbx>
                        <wps:bodyPr rot="0" vert="horz" wrap="none" lIns="0" tIns="0" rIns="0" bIns="0" anchor="t" anchorCtr="0" upright="1">
                          <a:spAutoFit/>
                        </wps:bodyPr>
                      </wps:wsp>
                      <wps:wsp>
                        <wps:cNvPr id="9279" name="Rectangle 277"/>
                        <wps:cNvSpPr>
                          <a:spLocks noChangeArrowheads="1"/>
                        </wps:cNvSpPr>
                        <wps:spPr bwMode="auto">
                          <a:xfrm>
                            <a:off x="3112135" y="5207635"/>
                            <a:ext cx="2089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other</w:t>
                              </w:r>
                            </w:p>
                          </w:txbxContent>
                        </wps:txbx>
                        <wps:bodyPr rot="0" vert="horz" wrap="none" lIns="0" tIns="0" rIns="0" bIns="0" anchor="t" anchorCtr="0" upright="1">
                          <a:spAutoFit/>
                        </wps:bodyPr>
                      </wps:wsp>
                      <wps:wsp>
                        <wps:cNvPr id="320" name="Rectangle 278"/>
                        <wps:cNvSpPr>
                          <a:spLocks noChangeArrowheads="1"/>
                        </wps:cNvSpPr>
                        <wps:spPr bwMode="auto">
                          <a:xfrm>
                            <a:off x="3327400" y="5207635"/>
                            <a:ext cx="260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w:t>
                              </w:r>
                            </w:p>
                          </w:txbxContent>
                        </wps:txbx>
                        <wps:bodyPr rot="0" vert="horz" wrap="none" lIns="0" tIns="0" rIns="0" bIns="0" anchor="t" anchorCtr="0" upright="1">
                          <a:spAutoFit/>
                        </wps:bodyPr>
                      </wps:wsp>
                      <wps:wsp>
                        <wps:cNvPr id="321" name="Rectangle 279"/>
                        <wps:cNvSpPr>
                          <a:spLocks noChangeArrowheads="1"/>
                        </wps:cNvSpPr>
                        <wps:spPr bwMode="auto">
                          <a:xfrm>
                            <a:off x="3354705" y="5207635"/>
                            <a:ext cx="79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re</w:t>
                              </w:r>
                            </w:p>
                          </w:txbxContent>
                        </wps:txbx>
                        <wps:bodyPr rot="0" vert="horz" wrap="none" lIns="0" tIns="0" rIns="0" bIns="0" anchor="t" anchorCtr="0" upright="1">
                          <a:spAutoFit/>
                        </wps:bodyPr>
                      </wps:wsp>
                      <wps:wsp>
                        <wps:cNvPr id="322" name="Rectangle 280"/>
                        <wps:cNvSpPr>
                          <a:spLocks noChangeArrowheads="1"/>
                        </wps:cNvSpPr>
                        <wps:spPr bwMode="auto">
                          <a:xfrm>
                            <a:off x="3435350" y="520763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p</w:t>
                              </w:r>
                            </w:p>
                          </w:txbxContent>
                        </wps:txbx>
                        <wps:bodyPr rot="0" vert="horz" wrap="none" lIns="0" tIns="0" rIns="0" bIns="0" anchor="t" anchorCtr="0" upright="1">
                          <a:spAutoFit/>
                        </wps:bodyPr>
                      </wps:wsp>
                      <wps:wsp>
                        <wps:cNvPr id="323" name="Rectangle 281"/>
                        <wps:cNvSpPr>
                          <a:spLocks noChangeArrowheads="1"/>
                        </wps:cNvSpPr>
                        <wps:spPr bwMode="auto">
                          <a:xfrm>
                            <a:off x="3488690" y="5207635"/>
                            <a:ext cx="45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e</w:t>
                              </w:r>
                            </w:p>
                          </w:txbxContent>
                        </wps:txbx>
                        <wps:bodyPr rot="0" vert="horz" wrap="none" lIns="0" tIns="0" rIns="0" bIns="0" anchor="t" anchorCtr="0" upright="1">
                          <a:spAutoFit/>
                        </wps:bodyPr>
                      </wps:wsp>
                      <wps:wsp>
                        <wps:cNvPr id="324" name="Rectangle 282"/>
                        <wps:cNvSpPr>
                          <a:spLocks noChangeArrowheads="1"/>
                        </wps:cNvSpPr>
                        <wps:spPr bwMode="auto">
                          <a:xfrm>
                            <a:off x="3535045" y="5207635"/>
                            <a:ext cx="45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a</w:t>
                              </w:r>
                            </w:p>
                          </w:txbxContent>
                        </wps:txbx>
                        <wps:bodyPr rot="0" vert="horz" wrap="none" lIns="0" tIns="0" rIns="0" bIns="0" anchor="t" anchorCtr="0" upright="1">
                          <a:spAutoFit/>
                        </wps:bodyPr>
                      </wps:wsp>
                      <wps:wsp>
                        <wps:cNvPr id="325" name="Rectangle 283"/>
                        <wps:cNvSpPr>
                          <a:spLocks noChangeArrowheads="1"/>
                        </wps:cNvSpPr>
                        <wps:spPr bwMode="auto">
                          <a:xfrm>
                            <a:off x="3581400" y="520763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t H</w:t>
                              </w:r>
                            </w:p>
                          </w:txbxContent>
                        </wps:txbx>
                        <wps:bodyPr rot="0" vert="horz" wrap="none" lIns="0" tIns="0" rIns="0" bIns="0" anchor="t" anchorCtr="0" upright="1">
                          <a:spAutoFit/>
                        </wps:bodyPr>
                      </wps:wsp>
                      <wps:wsp>
                        <wps:cNvPr id="326" name="Rectangle 284"/>
                        <wps:cNvSpPr>
                          <a:spLocks noChangeArrowheads="1"/>
                        </wps:cNvSpPr>
                        <wps:spPr bwMode="auto">
                          <a:xfrm>
                            <a:off x="3712845" y="5207635"/>
                            <a:ext cx="342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I</w:t>
                              </w:r>
                            </w:p>
                          </w:txbxContent>
                        </wps:txbx>
                        <wps:bodyPr rot="0" vert="horz" wrap="none" lIns="0" tIns="0" rIns="0" bIns="0" anchor="t" anchorCtr="0" upright="1">
                          <a:spAutoFit/>
                        </wps:bodyPr>
                      </wps:wsp>
                      <wps:wsp>
                        <wps:cNvPr id="327" name="Rectangle 285"/>
                        <wps:cNvSpPr>
                          <a:spLocks noChangeArrowheads="1"/>
                        </wps:cNvSpPr>
                        <wps:spPr bwMode="auto">
                          <a:xfrm>
                            <a:off x="3747135" y="520763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V t</w:t>
                              </w:r>
                            </w:p>
                          </w:txbxContent>
                        </wps:txbx>
                        <wps:bodyPr rot="0" vert="horz" wrap="none" lIns="0" tIns="0" rIns="0" bIns="0" anchor="t" anchorCtr="0" upright="1">
                          <a:spAutoFit/>
                        </wps:bodyPr>
                      </wps:wsp>
                      <wps:wsp>
                        <wps:cNvPr id="328" name="Rectangle 286"/>
                        <wps:cNvSpPr>
                          <a:spLocks noChangeArrowheads="1"/>
                        </wps:cNvSpPr>
                        <wps:spPr bwMode="auto">
                          <a:xfrm>
                            <a:off x="3878580" y="5207635"/>
                            <a:ext cx="45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e</w:t>
                              </w:r>
                            </w:p>
                          </w:txbxContent>
                        </wps:txbx>
                        <wps:bodyPr rot="0" vert="horz" wrap="none" lIns="0" tIns="0" rIns="0" bIns="0" anchor="t" anchorCtr="0" upright="1">
                          <a:spAutoFit/>
                        </wps:bodyPr>
                      </wps:wsp>
                      <wps:wsp>
                        <wps:cNvPr id="329" name="Rectangle 287"/>
                        <wps:cNvSpPr>
                          <a:spLocks noChangeArrowheads="1"/>
                        </wps:cNvSpPr>
                        <wps:spPr bwMode="auto">
                          <a:xfrm>
                            <a:off x="3924935" y="5207635"/>
                            <a:ext cx="679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st </w:t>
                              </w:r>
                            </w:p>
                          </w:txbxContent>
                        </wps:txbx>
                        <wps:bodyPr rot="0" vert="horz" wrap="none" lIns="0" tIns="0" rIns="0" bIns="0" anchor="t" anchorCtr="0" upright="1">
                          <a:spAutoFit/>
                        </wps:bodyPr>
                      </wps:wsp>
                      <wps:wsp>
                        <wps:cNvPr id="330" name="Rectangle 288"/>
                        <wps:cNvSpPr>
                          <a:spLocks noChangeArrowheads="1"/>
                        </wps:cNvSpPr>
                        <wps:spPr bwMode="auto">
                          <a:xfrm>
                            <a:off x="1007745" y="5328285"/>
                            <a:ext cx="155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in 2</w:t>
                              </w:r>
                            </w:p>
                          </w:txbxContent>
                        </wps:txbx>
                        <wps:bodyPr rot="0" vert="horz" wrap="none" lIns="0" tIns="0" rIns="0" bIns="0" anchor="t" anchorCtr="0" upright="1">
                          <a:spAutoFit/>
                        </wps:bodyPr>
                      </wps:wsp>
                      <wps:wsp>
                        <wps:cNvPr id="331" name="Rectangle 289"/>
                        <wps:cNvSpPr>
                          <a:spLocks noChangeArrowheads="1"/>
                        </wps:cNvSpPr>
                        <wps:spPr bwMode="auto">
                          <a:xfrm>
                            <a:off x="1168400" y="5328285"/>
                            <a:ext cx="342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w:t>
                              </w:r>
                            </w:p>
                          </w:txbxContent>
                        </wps:txbx>
                        <wps:bodyPr rot="0" vert="horz" wrap="none" lIns="0" tIns="0" rIns="0" bIns="0" anchor="t" anchorCtr="0" upright="1">
                          <a:spAutoFit/>
                        </wps:bodyPr>
                      </wps:wsp>
                      <wps:wsp>
                        <wps:cNvPr id="332" name="Rectangle 290"/>
                        <wps:cNvSpPr>
                          <a:spLocks noChangeArrowheads="1"/>
                        </wps:cNvSpPr>
                        <wps:spPr bwMode="auto">
                          <a:xfrm>
                            <a:off x="1202690" y="5328285"/>
                            <a:ext cx="1949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4 we</w:t>
                              </w:r>
                            </w:p>
                          </w:txbxContent>
                        </wps:txbx>
                        <wps:bodyPr rot="0" vert="horz" wrap="none" lIns="0" tIns="0" rIns="0" bIns="0" anchor="t" anchorCtr="0" upright="1">
                          <a:spAutoFit/>
                        </wps:bodyPr>
                      </wps:wsp>
                      <wps:wsp>
                        <wps:cNvPr id="333" name="Rectangle 291"/>
                        <wps:cNvSpPr>
                          <a:spLocks noChangeArrowheads="1"/>
                        </wps:cNvSpPr>
                        <wps:spPr bwMode="auto">
                          <a:xfrm>
                            <a:off x="1402715" y="5328285"/>
                            <a:ext cx="45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e</w:t>
                              </w:r>
                            </w:p>
                          </w:txbxContent>
                        </wps:txbx>
                        <wps:bodyPr rot="0" vert="horz" wrap="none" lIns="0" tIns="0" rIns="0" bIns="0" anchor="t" anchorCtr="0" upright="1">
                          <a:spAutoFit/>
                        </wps:bodyPr>
                      </wps:wsp>
                      <wps:wsp>
                        <wps:cNvPr id="334" name="Rectangle 292"/>
                        <wps:cNvSpPr>
                          <a:spLocks noChangeArrowheads="1"/>
                        </wps:cNvSpPr>
                        <wps:spPr bwMode="auto">
                          <a:xfrm>
                            <a:off x="1449705" y="5328285"/>
                            <a:ext cx="4857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ks, followin</w:t>
                              </w:r>
                            </w:p>
                          </w:txbxContent>
                        </wps:txbx>
                        <wps:bodyPr rot="0" vert="horz" wrap="none" lIns="0" tIns="0" rIns="0" bIns="0" anchor="t" anchorCtr="0" upright="1">
                          <a:spAutoFit/>
                        </wps:bodyPr>
                      </wps:wsp>
                      <wps:wsp>
                        <wps:cNvPr id="335" name="Rectangle 293"/>
                        <wps:cNvSpPr>
                          <a:spLocks noChangeArrowheads="1"/>
                        </wps:cNvSpPr>
                        <wps:spPr bwMode="auto">
                          <a:xfrm>
                            <a:off x="1951990" y="532828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g</w:t>
                              </w:r>
                            </w:p>
                          </w:txbxContent>
                        </wps:txbx>
                        <wps:bodyPr rot="0" vert="horz" wrap="none" lIns="0" tIns="0" rIns="0" bIns="0" anchor="t" anchorCtr="0" upright="1">
                          <a:spAutoFit/>
                        </wps:bodyPr>
                      </wps:wsp>
                      <wps:wsp>
                        <wps:cNvPr id="336" name="Rectangle 294"/>
                        <wps:cNvSpPr>
                          <a:spLocks noChangeArrowheads="1"/>
                        </wps:cNvSpPr>
                        <wps:spPr bwMode="auto">
                          <a:xfrm>
                            <a:off x="2003425" y="5328285"/>
                            <a:ext cx="6540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s</w:t>
                              </w:r>
                            </w:p>
                          </w:txbxContent>
                        </wps:txbx>
                        <wps:bodyPr rot="0" vert="horz" wrap="none" lIns="0" tIns="0" rIns="0" bIns="0" anchor="t" anchorCtr="0" upright="1">
                          <a:spAutoFit/>
                        </wps:bodyPr>
                      </wps:wsp>
                      <wps:wsp>
                        <wps:cNvPr id="337" name="Rectangle 295"/>
                        <wps:cNvSpPr>
                          <a:spLocks noChangeArrowheads="1"/>
                        </wps:cNvSpPr>
                        <wps:spPr bwMode="auto">
                          <a:xfrm>
                            <a:off x="2071370" y="5328285"/>
                            <a:ext cx="45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a</w:t>
                              </w:r>
                            </w:p>
                          </w:txbxContent>
                        </wps:txbx>
                        <wps:bodyPr rot="0" vert="horz" wrap="none" lIns="0" tIns="0" rIns="0" bIns="0" anchor="t" anchorCtr="0" upright="1">
                          <a:spAutoFit/>
                        </wps:bodyPr>
                      </wps:wsp>
                      <wps:wsp>
                        <wps:cNvPr id="338" name="Rectangle 296"/>
                        <wps:cNvSpPr>
                          <a:spLocks noChangeArrowheads="1"/>
                        </wps:cNvSpPr>
                        <wps:spPr bwMode="auto">
                          <a:xfrm>
                            <a:off x="2117725" y="5328285"/>
                            <a:ext cx="1949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me a</w:t>
                              </w:r>
                            </w:p>
                          </w:txbxContent>
                        </wps:txbx>
                        <wps:bodyPr rot="0" vert="horz" wrap="none" lIns="0" tIns="0" rIns="0" bIns="0" anchor="t" anchorCtr="0" upright="1">
                          <a:spAutoFit/>
                        </wps:bodyPr>
                      </wps:wsp>
                      <wps:wsp>
                        <wps:cNvPr id="339" name="Rectangle 297"/>
                        <wps:cNvSpPr>
                          <a:spLocks noChangeArrowheads="1"/>
                        </wps:cNvSpPr>
                        <wps:spPr bwMode="auto">
                          <a:xfrm>
                            <a:off x="2317750" y="5328285"/>
                            <a:ext cx="28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l</w:t>
                              </w:r>
                            </w:p>
                          </w:txbxContent>
                        </wps:txbx>
                        <wps:bodyPr rot="0" vert="horz" wrap="none" lIns="0" tIns="0" rIns="0" bIns="0" anchor="t" anchorCtr="0" upright="1">
                          <a:spAutoFit/>
                        </wps:bodyPr>
                      </wps:wsp>
                      <wps:wsp>
                        <wps:cNvPr id="340" name="Rectangle 298"/>
                        <wps:cNvSpPr>
                          <a:spLocks noChangeArrowheads="1"/>
                        </wps:cNvSpPr>
                        <wps:spPr bwMode="auto">
                          <a:xfrm>
                            <a:off x="2348865" y="532828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g</w:t>
                              </w:r>
                            </w:p>
                          </w:txbxContent>
                        </wps:txbx>
                        <wps:bodyPr rot="0" vert="horz" wrap="none" lIns="0" tIns="0" rIns="0" bIns="0" anchor="t" anchorCtr="0" upright="1">
                          <a:spAutoFit/>
                        </wps:bodyPr>
                      </wps:wsp>
                      <wps:wsp>
                        <wps:cNvPr id="341" name="Rectangle 299"/>
                        <wps:cNvSpPr>
                          <a:spLocks noChangeArrowheads="1"/>
                        </wps:cNvSpPr>
                        <wps:spPr bwMode="auto">
                          <a:xfrm>
                            <a:off x="2399665" y="5328285"/>
                            <a:ext cx="850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or</w:t>
                              </w:r>
                            </w:p>
                          </w:txbxContent>
                        </wps:txbx>
                        <wps:bodyPr rot="0" vert="horz" wrap="none" lIns="0" tIns="0" rIns="0" bIns="0" anchor="t" anchorCtr="0" upright="1">
                          <a:spAutoFit/>
                        </wps:bodyPr>
                      </wps:wsp>
                      <wps:wsp>
                        <wps:cNvPr id="342" name="Rectangle 300"/>
                        <wps:cNvSpPr>
                          <a:spLocks noChangeArrowheads="1"/>
                        </wps:cNvSpPr>
                        <wps:spPr bwMode="auto">
                          <a:xfrm>
                            <a:off x="2487295" y="532828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it</w:t>
                              </w:r>
                            </w:p>
                          </w:txbxContent>
                        </wps:txbx>
                        <wps:bodyPr rot="0" vert="horz" wrap="none" lIns="0" tIns="0" rIns="0" bIns="0" anchor="t" anchorCtr="0" upright="1">
                          <a:spAutoFit/>
                        </wps:bodyPr>
                      </wps:wsp>
                      <wps:wsp>
                        <wps:cNvPr id="343" name="Rectangle 301"/>
                        <wps:cNvSpPr>
                          <a:spLocks noChangeArrowheads="1"/>
                        </wps:cNvSpPr>
                        <wps:spPr bwMode="auto">
                          <a:xfrm>
                            <a:off x="2545715" y="5328285"/>
                            <a:ext cx="299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hm or r</w:t>
                              </w:r>
                            </w:p>
                          </w:txbxContent>
                        </wps:txbx>
                        <wps:bodyPr rot="0" vert="horz" wrap="none" lIns="0" tIns="0" rIns="0" bIns="0" anchor="t" anchorCtr="0" upright="1">
                          <a:spAutoFit/>
                        </wps:bodyPr>
                      </wps:wsp>
                      <wps:wsp>
                        <wps:cNvPr id="344" name="Rectangle 302"/>
                        <wps:cNvSpPr>
                          <a:spLocks noChangeArrowheads="1"/>
                        </wps:cNvSpPr>
                        <wps:spPr bwMode="auto">
                          <a:xfrm>
                            <a:off x="2854325" y="5328285"/>
                            <a:ext cx="45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e</w:t>
                              </w:r>
                            </w:p>
                          </w:txbxContent>
                        </wps:txbx>
                        <wps:bodyPr rot="0" vert="horz" wrap="none" lIns="0" tIns="0" rIns="0" bIns="0" anchor="t" anchorCtr="0" upright="1">
                          <a:spAutoFit/>
                        </wps:bodyPr>
                      </wps:wsp>
                      <wps:wsp>
                        <wps:cNvPr id="345" name="Rectangle 303"/>
                        <wps:cNvSpPr>
                          <a:spLocks noChangeArrowheads="1"/>
                        </wps:cNvSpPr>
                        <wps:spPr bwMode="auto">
                          <a:xfrm>
                            <a:off x="2900680" y="5328285"/>
                            <a:ext cx="79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fe</w:t>
                              </w:r>
                            </w:p>
                          </w:txbxContent>
                        </wps:txbx>
                        <wps:bodyPr rot="0" vert="horz" wrap="none" lIns="0" tIns="0" rIns="0" bIns="0" anchor="t" anchorCtr="0" upright="1">
                          <a:spAutoFit/>
                        </wps:bodyPr>
                      </wps:wsp>
                      <wps:wsp>
                        <wps:cNvPr id="346" name="Rectangle 304"/>
                        <wps:cNvSpPr>
                          <a:spLocks noChangeArrowheads="1"/>
                        </wps:cNvSpPr>
                        <wps:spPr bwMode="auto">
                          <a:xfrm>
                            <a:off x="2982595" y="5328285"/>
                            <a:ext cx="1384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r to</w:t>
                              </w:r>
                            </w:p>
                          </w:txbxContent>
                        </wps:txbx>
                        <wps:bodyPr rot="0" vert="horz" wrap="none" lIns="0" tIns="0" rIns="0" bIns="0" anchor="t" anchorCtr="0" upright="1">
                          <a:spAutoFit/>
                        </wps:bodyPr>
                      </wps:wsp>
                      <wps:wsp>
                        <wps:cNvPr id="347" name="Rectangle 305"/>
                        <wps:cNvSpPr>
                          <a:spLocks noChangeArrowheads="1"/>
                        </wps:cNvSpPr>
                        <wps:spPr bwMode="auto">
                          <a:xfrm>
                            <a:off x="3126105" y="5328285"/>
                            <a:ext cx="155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hig</w:t>
                              </w:r>
                            </w:p>
                          </w:txbxContent>
                        </wps:txbx>
                        <wps:bodyPr rot="0" vert="horz" wrap="none" lIns="0" tIns="0" rIns="0" bIns="0" anchor="t" anchorCtr="0" upright="1">
                          <a:spAutoFit/>
                        </wps:bodyPr>
                      </wps:wsp>
                      <wps:wsp>
                        <wps:cNvPr id="348" name="Rectangle 306"/>
                        <wps:cNvSpPr>
                          <a:spLocks noChangeArrowheads="1"/>
                        </wps:cNvSpPr>
                        <wps:spPr bwMode="auto">
                          <a:xfrm>
                            <a:off x="3285490" y="5328285"/>
                            <a:ext cx="965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he</w:t>
                              </w:r>
                            </w:p>
                          </w:txbxContent>
                        </wps:txbx>
                        <wps:bodyPr rot="0" vert="horz" wrap="none" lIns="0" tIns="0" rIns="0" bIns="0" anchor="t" anchorCtr="0" upright="1">
                          <a:spAutoFit/>
                        </wps:bodyPr>
                      </wps:wsp>
                      <wps:wsp>
                        <wps:cNvPr id="349" name="Rectangle 307"/>
                        <wps:cNvSpPr>
                          <a:spLocks noChangeArrowheads="1"/>
                        </wps:cNvSpPr>
                        <wps:spPr bwMode="auto">
                          <a:xfrm>
                            <a:off x="3383915" y="5328285"/>
                            <a:ext cx="342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r</w:t>
                              </w:r>
                            </w:p>
                          </w:txbxContent>
                        </wps:txbx>
                        <wps:bodyPr rot="0" vert="horz" wrap="none" lIns="0" tIns="0" rIns="0" bIns="0" anchor="t" anchorCtr="0" upright="1">
                          <a:spAutoFit/>
                        </wps:bodyPr>
                      </wps:wsp>
                      <wps:wsp>
                        <wps:cNvPr id="350" name="Rectangle 308"/>
                        <wps:cNvSpPr>
                          <a:spLocks noChangeArrowheads="1"/>
                        </wps:cNvSpPr>
                        <wps:spPr bwMode="auto">
                          <a:xfrm>
                            <a:off x="3420110" y="5328285"/>
                            <a:ext cx="342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w:t>
                              </w:r>
                            </w:p>
                          </w:txbxContent>
                        </wps:txbx>
                        <wps:bodyPr rot="0" vert="horz" wrap="none" lIns="0" tIns="0" rIns="0" bIns="0" anchor="t" anchorCtr="0" upright="1">
                          <a:spAutoFit/>
                        </wps:bodyPr>
                      </wps:wsp>
                      <wps:wsp>
                        <wps:cNvPr id="351" name="Rectangle 309"/>
                        <wps:cNvSpPr>
                          <a:spLocks noChangeArrowheads="1"/>
                        </wps:cNvSpPr>
                        <wps:spPr bwMode="auto">
                          <a:xfrm>
                            <a:off x="3455035" y="5328285"/>
                            <a:ext cx="1695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leve</w:t>
                              </w:r>
                            </w:p>
                          </w:txbxContent>
                        </wps:txbx>
                        <wps:bodyPr rot="0" vert="horz" wrap="none" lIns="0" tIns="0" rIns="0" bIns="0" anchor="t" anchorCtr="0" upright="1">
                          <a:spAutoFit/>
                        </wps:bodyPr>
                      </wps:wsp>
                      <wps:wsp>
                        <wps:cNvPr id="352" name="Rectangle 310"/>
                        <wps:cNvSpPr>
                          <a:spLocks noChangeArrowheads="1"/>
                        </wps:cNvSpPr>
                        <wps:spPr bwMode="auto">
                          <a:xfrm>
                            <a:off x="3629660" y="5328285"/>
                            <a:ext cx="876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l f</w:t>
                              </w:r>
                            </w:p>
                          </w:txbxContent>
                        </wps:txbx>
                        <wps:bodyPr rot="0" vert="horz" wrap="none" lIns="0" tIns="0" rIns="0" bIns="0" anchor="t" anchorCtr="0" upright="1">
                          <a:spAutoFit/>
                        </wps:bodyPr>
                      </wps:wsp>
                      <wps:wsp>
                        <wps:cNvPr id="353" name="Rectangle 311"/>
                        <wps:cNvSpPr>
                          <a:spLocks noChangeArrowheads="1"/>
                        </wps:cNvSpPr>
                        <wps:spPr bwMode="auto">
                          <a:xfrm>
                            <a:off x="3721100" y="5328285"/>
                            <a:ext cx="45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a</w:t>
                              </w:r>
                            </w:p>
                          </w:txbxContent>
                        </wps:txbx>
                        <wps:bodyPr rot="0" vert="horz" wrap="none" lIns="0" tIns="0" rIns="0" bIns="0" anchor="t" anchorCtr="0" upright="1">
                          <a:spAutoFit/>
                        </wps:bodyPr>
                      </wps:wsp>
                      <wps:wsp>
                        <wps:cNvPr id="354" name="Rectangle 312"/>
                        <wps:cNvSpPr>
                          <a:spLocks noChangeArrowheads="1"/>
                        </wps:cNvSpPr>
                        <wps:spPr bwMode="auto">
                          <a:xfrm>
                            <a:off x="3766820" y="5328285"/>
                            <a:ext cx="45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c</w:t>
                              </w:r>
                            </w:p>
                          </w:txbxContent>
                        </wps:txbx>
                        <wps:bodyPr rot="0" vert="horz" wrap="none" lIns="0" tIns="0" rIns="0" bIns="0" anchor="t" anchorCtr="0" upright="1">
                          <a:spAutoFit/>
                        </wps:bodyPr>
                      </wps:wsp>
                      <wps:wsp>
                        <wps:cNvPr id="355" name="Rectangle 313"/>
                        <wps:cNvSpPr>
                          <a:spLocks noChangeArrowheads="1"/>
                        </wps:cNvSpPr>
                        <wps:spPr bwMode="auto">
                          <a:xfrm>
                            <a:off x="3813175" y="532828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il</w:t>
                              </w:r>
                            </w:p>
                          </w:txbxContent>
                        </wps:txbx>
                        <wps:bodyPr rot="0" vert="horz" wrap="none" lIns="0" tIns="0" rIns="0" bIns="0" anchor="t" anchorCtr="0" upright="1">
                          <a:spAutoFit/>
                        </wps:bodyPr>
                      </wps:wsp>
                      <wps:wsp>
                        <wps:cNvPr id="356" name="Rectangle 314"/>
                        <wps:cNvSpPr>
                          <a:spLocks noChangeArrowheads="1"/>
                        </wps:cNvSpPr>
                        <wps:spPr bwMode="auto">
                          <a:xfrm>
                            <a:off x="3871595" y="532828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it</w:t>
                              </w:r>
                            </w:p>
                          </w:txbxContent>
                        </wps:txbx>
                        <wps:bodyPr rot="0" vert="horz" wrap="none" lIns="0" tIns="0" rIns="0" bIns="0" anchor="t" anchorCtr="0" upright="1">
                          <a:spAutoFit/>
                        </wps:bodyPr>
                      </wps:wsp>
                      <wps:wsp>
                        <wps:cNvPr id="357" name="Rectangle 315"/>
                        <wps:cNvSpPr>
                          <a:spLocks noChangeArrowheads="1"/>
                        </wps:cNvSpPr>
                        <wps:spPr bwMode="auto">
                          <a:xfrm>
                            <a:off x="3931285" y="532828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y</w:t>
                              </w:r>
                            </w:p>
                          </w:txbxContent>
                        </wps:txbx>
                        <wps:bodyPr rot="0" vert="horz" wrap="none" lIns="0" tIns="0" rIns="0" bIns="0" anchor="t" anchorCtr="0" upright="1">
                          <a:spAutoFit/>
                        </wps:bodyPr>
                      </wps:wsp>
                      <wps:wsp>
                        <wps:cNvPr id="358" name="Rectangle 316"/>
                        <wps:cNvSpPr>
                          <a:spLocks noChangeArrowheads="1"/>
                        </wps:cNvSpPr>
                        <wps:spPr bwMode="auto">
                          <a:xfrm>
                            <a:off x="3982085" y="5328285"/>
                            <a:ext cx="28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w:t>
                              </w:r>
                            </w:p>
                          </w:txbxContent>
                        </wps:txbx>
                        <wps:bodyPr rot="0" vert="horz" wrap="none" lIns="0" tIns="0" rIns="0" bIns="0" anchor="t" anchorCtr="0" upright="1">
                          <a:spAutoFit/>
                        </wps:bodyPr>
                      </wps:wsp>
                      <wps:wsp>
                        <wps:cNvPr id="359" name="Rectangle 317"/>
                        <wps:cNvSpPr>
                          <a:spLocks noChangeArrowheads="1"/>
                        </wps:cNvSpPr>
                        <wps:spPr bwMode="auto">
                          <a:xfrm>
                            <a:off x="1358265" y="5451475"/>
                            <a:ext cx="45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a</w:t>
                              </w:r>
                            </w:p>
                          </w:txbxContent>
                        </wps:txbx>
                        <wps:bodyPr rot="0" vert="horz" wrap="none" lIns="0" tIns="0" rIns="0" bIns="0" anchor="t" anchorCtr="0" upright="1">
                          <a:spAutoFit/>
                        </wps:bodyPr>
                      </wps:wsp>
                      <wps:wsp>
                        <wps:cNvPr id="360" name="Rectangle 318"/>
                        <wps:cNvSpPr>
                          <a:spLocks noChangeArrowheads="1"/>
                        </wps:cNvSpPr>
                        <wps:spPr bwMode="auto">
                          <a:xfrm>
                            <a:off x="1403985" y="5451475"/>
                            <a:ext cx="3644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dvise tha</w:t>
                              </w:r>
                            </w:p>
                          </w:txbxContent>
                        </wps:txbx>
                        <wps:bodyPr rot="0" vert="horz" wrap="none" lIns="0" tIns="0" rIns="0" bIns="0" anchor="t" anchorCtr="0" upright="1">
                          <a:spAutoFit/>
                        </wps:bodyPr>
                      </wps:wsp>
                      <wps:wsp>
                        <wps:cNvPr id="361" name="Rectangle 319"/>
                        <wps:cNvSpPr>
                          <a:spLocks noChangeArrowheads="1"/>
                        </wps:cNvSpPr>
                        <wps:spPr bwMode="auto">
                          <a:xfrm>
                            <a:off x="1779905" y="5451475"/>
                            <a:ext cx="3079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t protec</w:t>
                              </w:r>
                            </w:p>
                          </w:txbxContent>
                        </wps:txbx>
                        <wps:bodyPr rot="0" vert="horz" wrap="none" lIns="0" tIns="0" rIns="0" bIns="0" anchor="t" anchorCtr="0" upright="1">
                          <a:spAutoFit/>
                        </wps:bodyPr>
                      </wps:wsp>
                      <wps:wsp>
                        <wps:cNvPr id="768" name="Rectangle 320"/>
                        <wps:cNvSpPr>
                          <a:spLocks noChangeArrowheads="1"/>
                        </wps:cNvSpPr>
                        <wps:spPr bwMode="auto">
                          <a:xfrm>
                            <a:off x="2096770" y="545147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ti</w:t>
                              </w:r>
                            </w:p>
                          </w:txbxContent>
                        </wps:txbx>
                        <wps:bodyPr rot="0" vert="horz" wrap="none" lIns="0" tIns="0" rIns="0" bIns="0" anchor="t" anchorCtr="0" upright="1">
                          <a:spAutoFit/>
                        </wps:bodyPr>
                      </wps:wsp>
                      <wps:wsp>
                        <wps:cNvPr id="769" name="Rectangle 321"/>
                        <wps:cNvSpPr>
                          <a:spLocks noChangeArrowheads="1"/>
                        </wps:cNvSpPr>
                        <wps:spPr bwMode="auto">
                          <a:xfrm>
                            <a:off x="2155825" y="5451475"/>
                            <a:ext cx="1949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on is </w:t>
                              </w:r>
                            </w:p>
                          </w:txbxContent>
                        </wps:txbx>
                        <wps:bodyPr rot="0" vert="horz" wrap="none" lIns="0" tIns="0" rIns="0" bIns="0" anchor="t" anchorCtr="0" upright="1">
                          <a:spAutoFit/>
                        </wps:bodyPr>
                      </wps:wsp>
                      <wps:wsp>
                        <wps:cNvPr id="770" name="Rectangle 322"/>
                        <wps:cNvSpPr>
                          <a:spLocks noChangeArrowheads="1"/>
                        </wps:cNvSpPr>
                        <wps:spPr bwMode="auto">
                          <a:xfrm>
                            <a:off x="2383790" y="5451475"/>
                            <a:ext cx="45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c</w:t>
                              </w:r>
                            </w:p>
                          </w:txbxContent>
                        </wps:txbx>
                        <wps:bodyPr rot="0" vert="horz" wrap="none" lIns="0" tIns="0" rIns="0" bIns="0" anchor="t" anchorCtr="0" upright="1">
                          <a:spAutoFit/>
                        </wps:bodyPr>
                      </wps:wsp>
                      <wps:wsp>
                        <wps:cNvPr id="771" name="Rectangle 323"/>
                        <wps:cNvSpPr>
                          <a:spLocks noChangeArrowheads="1"/>
                        </wps:cNvSpPr>
                        <wps:spPr bwMode="auto">
                          <a:xfrm>
                            <a:off x="2430145" y="5451475"/>
                            <a:ext cx="2089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ritica</w:t>
                              </w:r>
                            </w:p>
                          </w:txbxContent>
                        </wps:txbx>
                        <wps:bodyPr rot="0" vert="horz" wrap="none" lIns="0" tIns="0" rIns="0" bIns="0" anchor="t" anchorCtr="0" upright="1">
                          <a:spAutoFit/>
                        </wps:bodyPr>
                      </wps:wsp>
                      <wps:wsp>
                        <wps:cNvPr id="772" name="Rectangle 324"/>
                        <wps:cNvSpPr>
                          <a:spLocks noChangeArrowheads="1"/>
                        </wps:cNvSpPr>
                        <wps:spPr bwMode="auto">
                          <a:xfrm>
                            <a:off x="2645410" y="5451475"/>
                            <a:ext cx="183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l unt</w:t>
                              </w:r>
                            </w:p>
                          </w:txbxContent>
                        </wps:txbx>
                        <wps:bodyPr rot="0" vert="horz" wrap="none" lIns="0" tIns="0" rIns="0" bIns="0" anchor="t" anchorCtr="0" upright="1">
                          <a:spAutoFit/>
                        </wps:bodyPr>
                      </wps:wsp>
                      <wps:wsp>
                        <wps:cNvPr id="773" name="Rectangle 325"/>
                        <wps:cNvSpPr>
                          <a:spLocks noChangeArrowheads="1"/>
                        </wps:cNvSpPr>
                        <wps:spPr bwMode="auto">
                          <a:xfrm>
                            <a:off x="2835275" y="545147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il</w:t>
                              </w:r>
                            </w:p>
                          </w:txbxContent>
                        </wps:txbx>
                        <wps:bodyPr rot="0" vert="horz" wrap="none" lIns="0" tIns="0" rIns="0" bIns="0" anchor="t" anchorCtr="0" upright="1">
                          <a:spAutoFit/>
                        </wps:bodyPr>
                      </wps:wsp>
                      <wps:wsp>
                        <wps:cNvPr id="774" name="Rectangle 326"/>
                        <wps:cNvSpPr>
                          <a:spLocks noChangeArrowheads="1"/>
                        </wps:cNvSpPr>
                        <wps:spPr bwMode="auto">
                          <a:xfrm>
                            <a:off x="2893695" y="5451475"/>
                            <a:ext cx="596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r</w:t>
                              </w:r>
                            </w:p>
                          </w:txbxContent>
                        </wps:txbx>
                        <wps:bodyPr rot="0" vert="horz" wrap="none" lIns="0" tIns="0" rIns="0" bIns="0" anchor="t" anchorCtr="0" upright="1">
                          <a:spAutoFit/>
                        </wps:bodyPr>
                      </wps:wsp>
                      <wps:wsp>
                        <wps:cNvPr id="775" name="Rectangle 327"/>
                        <wps:cNvSpPr>
                          <a:spLocks noChangeArrowheads="1"/>
                        </wps:cNvSpPr>
                        <wps:spPr bwMode="auto">
                          <a:xfrm>
                            <a:off x="2954655" y="5451475"/>
                            <a:ext cx="45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e</w:t>
                              </w:r>
                            </w:p>
                          </w:txbxContent>
                        </wps:txbx>
                        <wps:bodyPr rot="0" vert="horz" wrap="none" lIns="0" tIns="0" rIns="0" bIns="0" anchor="t" anchorCtr="0" upright="1">
                          <a:spAutoFit/>
                        </wps:bodyPr>
                      </wps:wsp>
                      <wps:wsp>
                        <wps:cNvPr id="776" name="Rectangle 328"/>
                        <wps:cNvSpPr>
                          <a:spLocks noChangeArrowheads="1"/>
                        </wps:cNvSpPr>
                        <wps:spPr bwMode="auto">
                          <a:xfrm>
                            <a:off x="3000375" y="5451475"/>
                            <a:ext cx="1473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sult</w:t>
                              </w:r>
                            </w:p>
                          </w:txbxContent>
                        </wps:txbx>
                        <wps:bodyPr rot="0" vert="horz" wrap="none" lIns="0" tIns="0" rIns="0" bIns="0" anchor="t" anchorCtr="0" upright="1">
                          <a:spAutoFit/>
                        </wps:bodyPr>
                      </wps:wsp>
                      <wps:wsp>
                        <wps:cNvPr id="777" name="Rectangle 329"/>
                        <wps:cNvSpPr>
                          <a:spLocks noChangeArrowheads="1"/>
                        </wps:cNvSpPr>
                        <wps:spPr bwMode="auto">
                          <a:xfrm>
                            <a:off x="3152775" y="5451475"/>
                            <a:ext cx="1441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s ar</w:t>
                              </w:r>
                            </w:p>
                          </w:txbxContent>
                        </wps:txbx>
                        <wps:bodyPr rot="0" vert="horz" wrap="none" lIns="0" tIns="0" rIns="0" bIns="0" anchor="t" anchorCtr="0" upright="1">
                          <a:spAutoFit/>
                        </wps:bodyPr>
                      </wps:wsp>
                      <wps:wsp>
                        <wps:cNvPr id="778" name="Rectangle 330"/>
                        <wps:cNvSpPr>
                          <a:spLocks noChangeArrowheads="1"/>
                        </wps:cNvSpPr>
                        <wps:spPr bwMode="auto">
                          <a:xfrm>
                            <a:off x="3301365" y="5451475"/>
                            <a:ext cx="45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e</w:t>
                              </w:r>
                            </w:p>
                          </w:txbxContent>
                        </wps:txbx>
                        <wps:bodyPr rot="0" vert="horz" wrap="none" lIns="0" tIns="0" rIns="0" bIns="0" anchor="t" anchorCtr="0" upright="1">
                          <a:spAutoFit/>
                        </wps:bodyPr>
                      </wps:wsp>
                      <wps:wsp>
                        <wps:cNvPr id="779" name="Rectangle 331"/>
                        <wps:cNvSpPr>
                          <a:spLocks noChangeArrowheads="1"/>
                        </wps:cNvSpPr>
                        <wps:spPr bwMode="auto">
                          <a:xfrm>
                            <a:off x="3347085" y="545147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kn</w:t>
                              </w:r>
                            </w:p>
                          </w:txbxContent>
                        </wps:txbx>
                        <wps:bodyPr rot="0" vert="horz" wrap="none" lIns="0" tIns="0" rIns="0" bIns="0" anchor="t" anchorCtr="0" upright="1">
                          <a:spAutoFit/>
                        </wps:bodyPr>
                      </wps:wsp>
                      <wps:wsp>
                        <wps:cNvPr id="780" name="Rectangle 332"/>
                        <wps:cNvSpPr>
                          <a:spLocks noChangeArrowheads="1"/>
                        </wps:cNvSpPr>
                        <wps:spPr bwMode="auto">
                          <a:xfrm>
                            <a:off x="3479165" y="5451475"/>
                            <a:ext cx="1752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own</w:t>
                              </w:r>
                            </w:p>
                          </w:txbxContent>
                        </wps:txbx>
                        <wps:bodyPr rot="0" vert="horz" wrap="none" lIns="0" tIns="0" rIns="0" bIns="0" anchor="t" anchorCtr="0" upright="1">
                          <a:spAutoFit/>
                        </wps:bodyPr>
                      </wps:wsp>
                      <wps:wsp>
                        <wps:cNvPr id="781" name="Rectangle 333"/>
                        <wps:cNvSpPr>
                          <a:spLocks noChangeArrowheads="1"/>
                        </wps:cNvSpPr>
                        <wps:spPr bwMode="auto">
                          <a:xfrm>
                            <a:off x="3661410" y="5451475"/>
                            <a:ext cx="260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w:t>
                              </w:r>
                            </w:p>
                          </w:txbxContent>
                        </wps:txbx>
                        <wps:bodyPr rot="0" vert="horz" wrap="none" lIns="0" tIns="0" rIns="0" bIns="0" anchor="t" anchorCtr="0" upright="1">
                          <a:spAutoFit/>
                        </wps:bodyPr>
                      </wps:wsp>
                      <wps:wsp>
                        <wps:cNvPr id="782" name="Freeform 334"/>
                        <wps:cNvSpPr>
                          <a:spLocks noEditPoints="1"/>
                        </wps:cNvSpPr>
                        <wps:spPr bwMode="auto">
                          <a:xfrm>
                            <a:off x="2482850" y="4756785"/>
                            <a:ext cx="52705" cy="221615"/>
                          </a:xfrm>
                          <a:custGeom>
                            <a:avLst/>
                            <a:gdLst>
                              <a:gd name="T0" fmla="*/ 47 w 80"/>
                              <a:gd name="T1" fmla="*/ 0 h 338"/>
                              <a:gd name="T2" fmla="*/ 47 w 80"/>
                              <a:gd name="T3" fmla="*/ 0 h 338"/>
                              <a:gd name="T4" fmla="*/ 47 w 80"/>
                              <a:gd name="T5" fmla="*/ 272 h 338"/>
                              <a:gd name="T6" fmla="*/ 33 w 80"/>
                              <a:gd name="T7" fmla="*/ 272 h 338"/>
                              <a:gd name="T8" fmla="*/ 33 w 80"/>
                              <a:gd name="T9" fmla="*/ 0 h 338"/>
                              <a:gd name="T10" fmla="*/ 47 w 80"/>
                              <a:gd name="T11" fmla="*/ 0 h 338"/>
                              <a:gd name="T12" fmla="*/ 80 w 80"/>
                              <a:gd name="T13" fmla="*/ 258 h 338"/>
                              <a:gd name="T14" fmla="*/ 80 w 80"/>
                              <a:gd name="T15" fmla="*/ 258 h 338"/>
                              <a:gd name="T16" fmla="*/ 40 w 80"/>
                              <a:gd name="T17" fmla="*/ 338 h 338"/>
                              <a:gd name="T18" fmla="*/ 0 w 80"/>
                              <a:gd name="T19" fmla="*/ 258 h 338"/>
                              <a:gd name="T20" fmla="*/ 80 w 80"/>
                              <a:gd name="T21" fmla="*/ 258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338">
                                <a:moveTo>
                                  <a:pt x="47" y="0"/>
                                </a:moveTo>
                                <a:lnTo>
                                  <a:pt x="47" y="0"/>
                                </a:lnTo>
                                <a:lnTo>
                                  <a:pt x="47" y="272"/>
                                </a:lnTo>
                                <a:lnTo>
                                  <a:pt x="33" y="272"/>
                                </a:lnTo>
                                <a:lnTo>
                                  <a:pt x="33" y="0"/>
                                </a:lnTo>
                                <a:lnTo>
                                  <a:pt x="47" y="0"/>
                                </a:lnTo>
                                <a:close/>
                                <a:moveTo>
                                  <a:pt x="80" y="258"/>
                                </a:moveTo>
                                <a:lnTo>
                                  <a:pt x="80" y="258"/>
                                </a:lnTo>
                                <a:lnTo>
                                  <a:pt x="40" y="338"/>
                                </a:lnTo>
                                <a:lnTo>
                                  <a:pt x="0" y="258"/>
                                </a:lnTo>
                                <a:lnTo>
                                  <a:pt x="80" y="25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3" name="Freeform 335"/>
                        <wps:cNvSpPr>
                          <a:spLocks/>
                        </wps:cNvSpPr>
                        <wps:spPr bwMode="auto">
                          <a:xfrm>
                            <a:off x="1197610" y="1981200"/>
                            <a:ext cx="2248535" cy="635"/>
                          </a:xfrm>
                          <a:custGeom>
                            <a:avLst/>
                            <a:gdLst>
                              <a:gd name="T0" fmla="*/ 0 w 3428"/>
                              <a:gd name="T1" fmla="*/ 0 w 3428"/>
                              <a:gd name="T2" fmla="*/ 3428 w 3428"/>
                            </a:gdLst>
                            <a:ahLst/>
                            <a:cxnLst>
                              <a:cxn ang="0">
                                <a:pos x="T0" y="0"/>
                              </a:cxn>
                              <a:cxn ang="0">
                                <a:pos x="T1" y="0"/>
                              </a:cxn>
                              <a:cxn ang="0">
                                <a:pos x="T2" y="0"/>
                              </a:cxn>
                            </a:cxnLst>
                            <a:rect l="0" t="0" r="r" b="b"/>
                            <a:pathLst>
                              <a:path w="3428">
                                <a:moveTo>
                                  <a:pt x="0" y="0"/>
                                </a:moveTo>
                                <a:lnTo>
                                  <a:pt x="0" y="0"/>
                                </a:lnTo>
                                <a:lnTo>
                                  <a:pt x="3428" y="0"/>
                                </a:lnTo>
                              </a:path>
                            </a:pathLst>
                          </a:custGeom>
                          <a:noFill/>
                          <a:ln w="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336"/>
                        <wps:cNvSpPr>
                          <a:spLocks noEditPoints="1"/>
                        </wps:cNvSpPr>
                        <wps:spPr bwMode="auto">
                          <a:xfrm>
                            <a:off x="2289175" y="1232535"/>
                            <a:ext cx="52070" cy="194945"/>
                          </a:xfrm>
                          <a:custGeom>
                            <a:avLst/>
                            <a:gdLst>
                              <a:gd name="T0" fmla="*/ 46 w 80"/>
                              <a:gd name="T1" fmla="*/ 0 h 298"/>
                              <a:gd name="T2" fmla="*/ 46 w 80"/>
                              <a:gd name="T3" fmla="*/ 0 h 298"/>
                              <a:gd name="T4" fmla="*/ 46 w 80"/>
                              <a:gd name="T5" fmla="*/ 232 h 298"/>
                              <a:gd name="T6" fmla="*/ 33 w 80"/>
                              <a:gd name="T7" fmla="*/ 232 h 298"/>
                              <a:gd name="T8" fmla="*/ 33 w 80"/>
                              <a:gd name="T9" fmla="*/ 0 h 298"/>
                              <a:gd name="T10" fmla="*/ 46 w 80"/>
                              <a:gd name="T11" fmla="*/ 0 h 298"/>
                              <a:gd name="T12" fmla="*/ 80 w 80"/>
                              <a:gd name="T13" fmla="*/ 218 h 298"/>
                              <a:gd name="T14" fmla="*/ 80 w 80"/>
                              <a:gd name="T15" fmla="*/ 218 h 298"/>
                              <a:gd name="T16" fmla="*/ 40 w 80"/>
                              <a:gd name="T17" fmla="*/ 298 h 298"/>
                              <a:gd name="T18" fmla="*/ 0 w 80"/>
                              <a:gd name="T19" fmla="*/ 218 h 298"/>
                              <a:gd name="T20" fmla="*/ 80 w 80"/>
                              <a:gd name="T21" fmla="*/ 21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 h="298">
                                <a:moveTo>
                                  <a:pt x="46" y="0"/>
                                </a:moveTo>
                                <a:lnTo>
                                  <a:pt x="46" y="0"/>
                                </a:lnTo>
                                <a:lnTo>
                                  <a:pt x="46" y="232"/>
                                </a:lnTo>
                                <a:lnTo>
                                  <a:pt x="33" y="232"/>
                                </a:lnTo>
                                <a:lnTo>
                                  <a:pt x="33" y="0"/>
                                </a:lnTo>
                                <a:lnTo>
                                  <a:pt x="46" y="0"/>
                                </a:lnTo>
                                <a:close/>
                                <a:moveTo>
                                  <a:pt x="80" y="218"/>
                                </a:moveTo>
                                <a:lnTo>
                                  <a:pt x="80" y="218"/>
                                </a:lnTo>
                                <a:lnTo>
                                  <a:pt x="40" y="298"/>
                                </a:lnTo>
                                <a:lnTo>
                                  <a:pt x="0" y="218"/>
                                </a:lnTo>
                                <a:lnTo>
                                  <a:pt x="80" y="21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5" name="Freeform 337"/>
                        <wps:cNvSpPr>
                          <a:spLocks/>
                        </wps:cNvSpPr>
                        <wps:spPr bwMode="auto">
                          <a:xfrm>
                            <a:off x="1704340" y="995680"/>
                            <a:ext cx="1249045" cy="246380"/>
                          </a:xfrm>
                          <a:custGeom>
                            <a:avLst/>
                            <a:gdLst>
                              <a:gd name="T0" fmla="*/ 0 w 1904"/>
                              <a:gd name="T1" fmla="*/ 62 h 376"/>
                              <a:gd name="T2" fmla="*/ 0 w 1904"/>
                              <a:gd name="T3" fmla="*/ 62 h 376"/>
                              <a:gd name="T4" fmla="*/ 62 w 1904"/>
                              <a:gd name="T5" fmla="*/ 0 h 376"/>
                              <a:gd name="T6" fmla="*/ 1841 w 1904"/>
                              <a:gd name="T7" fmla="*/ 0 h 376"/>
                              <a:gd name="T8" fmla="*/ 1904 w 1904"/>
                              <a:gd name="T9" fmla="*/ 62 h 376"/>
                              <a:gd name="T10" fmla="*/ 1904 w 1904"/>
                              <a:gd name="T11" fmla="*/ 313 h 376"/>
                              <a:gd name="T12" fmla="*/ 1841 w 1904"/>
                              <a:gd name="T13" fmla="*/ 376 h 376"/>
                              <a:gd name="T14" fmla="*/ 62 w 1904"/>
                              <a:gd name="T15" fmla="*/ 376 h 376"/>
                              <a:gd name="T16" fmla="*/ 0 w 1904"/>
                              <a:gd name="T17" fmla="*/ 313 h 376"/>
                              <a:gd name="T18" fmla="*/ 0 w 1904"/>
                              <a:gd name="T19" fmla="*/ 62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04" h="376">
                                <a:moveTo>
                                  <a:pt x="0" y="62"/>
                                </a:moveTo>
                                <a:lnTo>
                                  <a:pt x="0" y="62"/>
                                </a:lnTo>
                                <a:cubicBezTo>
                                  <a:pt x="0" y="28"/>
                                  <a:pt x="28" y="0"/>
                                  <a:pt x="62" y="0"/>
                                </a:cubicBezTo>
                                <a:lnTo>
                                  <a:pt x="1841" y="0"/>
                                </a:lnTo>
                                <a:cubicBezTo>
                                  <a:pt x="1876" y="0"/>
                                  <a:pt x="1904" y="28"/>
                                  <a:pt x="1904" y="62"/>
                                </a:cubicBezTo>
                                <a:lnTo>
                                  <a:pt x="1904" y="313"/>
                                </a:lnTo>
                                <a:cubicBezTo>
                                  <a:pt x="1904" y="348"/>
                                  <a:pt x="1876" y="376"/>
                                  <a:pt x="1841" y="376"/>
                                </a:cubicBezTo>
                                <a:lnTo>
                                  <a:pt x="62" y="376"/>
                                </a:lnTo>
                                <a:cubicBezTo>
                                  <a:pt x="28" y="376"/>
                                  <a:pt x="0" y="348"/>
                                  <a:pt x="0" y="313"/>
                                </a:cubicBezTo>
                                <a:lnTo>
                                  <a:pt x="0" y="62"/>
                                </a:lnTo>
                                <a:close/>
                              </a:path>
                            </a:pathLst>
                          </a:custGeom>
                          <a:noFill/>
                          <a:ln w="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Rectangle 338"/>
                        <wps:cNvSpPr>
                          <a:spLocks noChangeArrowheads="1"/>
                        </wps:cNvSpPr>
                        <wps:spPr bwMode="auto">
                          <a:xfrm>
                            <a:off x="2042160" y="1068705"/>
                            <a:ext cx="1073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Dr</w:t>
                              </w:r>
                            </w:p>
                          </w:txbxContent>
                        </wps:txbx>
                        <wps:bodyPr rot="0" vert="horz" wrap="none" lIns="0" tIns="0" rIns="0" bIns="0" anchor="t" anchorCtr="0" upright="1">
                          <a:spAutoFit/>
                        </wps:bodyPr>
                      </wps:wsp>
                      <wps:wsp>
                        <wps:cNvPr id="788" name="Rectangle 339"/>
                        <wps:cNvSpPr>
                          <a:spLocks noChangeArrowheads="1"/>
                        </wps:cNvSpPr>
                        <wps:spPr bwMode="auto">
                          <a:xfrm>
                            <a:off x="2152650" y="1068705"/>
                            <a:ext cx="45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a</w:t>
                              </w:r>
                            </w:p>
                          </w:txbxContent>
                        </wps:txbx>
                        <wps:bodyPr rot="0" vert="horz" wrap="none" lIns="0" tIns="0" rIns="0" bIns="0" anchor="t" anchorCtr="0" upright="1">
                          <a:spAutoFit/>
                        </wps:bodyPr>
                      </wps:wsp>
                      <wps:wsp>
                        <wps:cNvPr id="793" name="Rectangle 340"/>
                        <wps:cNvSpPr>
                          <a:spLocks noChangeArrowheads="1"/>
                        </wps:cNvSpPr>
                        <wps:spPr bwMode="auto">
                          <a:xfrm>
                            <a:off x="2199005" y="1068705"/>
                            <a:ext cx="4038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w Sample</w:t>
                              </w:r>
                            </w:p>
                          </w:txbxContent>
                        </wps:txbx>
                        <wps:bodyPr rot="0" vert="horz" wrap="none" lIns="0" tIns="0" rIns="0" bIns="0" anchor="t" anchorCtr="0" upright="1">
                          <a:spAutoFit/>
                        </wps:bodyPr>
                      </wps:wsp>
                      <wps:wsp>
                        <wps:cNvPr id="794" name="Rectangle 341"/>
                        <wps:cNvSpPr>
                          <a:spLocks noChangeArrowheads="1"/>
                        </wps:cNvSpPr>
                        <wps:spPr bwMode="auto">
                          <a:xfrm>
                            <a:off x="2616835" y="1068705"/>
                            <a:ext cx="260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
                                <w:rPr>
                                  <w:rFonts w:ascii="Times New Roman" w:hAnsi="Times New Roman" w:cs="Times New Roman"/>
                                  <w:color w:val="000000"/>
                                  <w:sz w:val="16"/>
                                  <w:szCs w:val="16"/>
                                </w:rPr>
                                <w:t xml:space="preserve"> </w:t>
                              </w:r>
                            </w:p>
                          </w:txbxContent>
                        </wps:txbx>
                        <wps:bodyPr rot="0" vert="horz" wrap="none" lIns="0" tIns="0" rIns="0" bIns="0" anchor="t" anchorCtr="0" upright="1">
                          <a:spAutoFit/>
                        </wps:bodyPr>
                      </wps:wsp>
                    </wpc:wpc>
                  </a:graphicData>
                </a:graphic>
              </wp:inline>
            </w:drawing>
          </mc:Choice>
          <mc:Fallback>
            <w:pict>
              <v:group id="Canvas 39" o:spid="_x0000_s1053" editas="canvas" style="width:420.8pt;height:544.2pt;mso-position-horizontal-relative:char;mso-position-vertical-relative:line" coordsize="53441,69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width:53441;height:69113;visibility:visible;mso-wrap-style:square">
                  <v:fill o:detectmouseclick="t"/>
                  <v:path o:connecttype="none"/>
                </v:shape>
                <v:group id="Group 41" o:spid="_x0000_s1055" style="position:absolute;left:6299;top:6267;width:42830;height:61805" coordorigin="992,987" coordsize="6745,9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rect id="Rectangle 42" o:spid="_x0000_s1056" style="position:absolute;left:4133;top:10022;width:1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VB8EA&#10;AADcAAAADwAAAGRycy9kb3ducmV2LnhtbESPzYoCMRCE74LvEFrYm2acg8hoFBEEV/biuA/QTHp+&#10;MOkMSXRm394Iwh6LqvqK2u5Ha8STfOgcK1guMhDEldMdNwp+b6f5GkSIyBqNY1LwRwH2u+lki4V2&#10;A1/pWcZGJAiHAhW0MfaFlKFqyWJYuJ44ebXzFmOSvpHa45Dg1sg8y1bSYsdpocWeji1V9/JhFchb&#10;eRrWpfGZu+T1j/k+X2tySn3NxsMGRKQx/oc/7bNWsMpz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FQfBAAAA3AAAAA8AAAAAAAAAAAAAAAAAmAIAAGRycy9kb3du&#10;cmV2LnhtbFBLBQYAAAAABAAEAPUAAACGAwAAAAA=&#10;" filled="f" stroked="f">
                    <v:textbox style="mso-fit-shape-to-text:t" inset="0,0,0,0">
                      <w:txbxContent>
                        <w:p w:rsidR="00B247C9" w:rsidRDefault="00B247C9">
                          <w:r>
                            <w:rPr>
                              <w:rFonts w:ascii="Times New Roman" w:hAnsi="Times New Roman" w:cs="Times New Roman"/>
                              <w:color w:val="000000"/>
                              <w:sz w:val="16"/>
                              <w:szCs w:val="16"/>
                            </w:rPr>
                            <w:t>56</w:t>
                          </w:r>
                        </w:p>
                      </w:txbxContent>
                    </v:textbox>
                  </v:rect>
                  <v:rect id="Rectangle 43" o:spid="_x0000_s1057" style="position:absolute;left:4298;top:10022;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wnMEA&#10;AADcAAAADwAAAGRycy9kb3ducmV2LnhtbESP3YrCMBSE7xd8h3AWvFvTrSB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sJzBAAAA3AAAAA8AAAAAAAAAAAAAAAAAmAIAAGRycy9kb3du&#10;cmV2LnhtbFBLBQYAAAAABAAEAPUAAACGAwAAAAA=&#10;" filled="f" stroked="f">
                    <v:textbox style="mso-fit-shape-to-text:t" inset="0,0,0,0">
                      <w:txbxContent>
                        <w:p w:rsidR="00B247C9" w:rsidRDefault="00B247C9">
                          <w:r>
                            <w:rPr>
                              <w:rFonts w:ascii="Times New Roman" w:hAnsi="Times New Roman" w:cs="Times New Roman"/>
                              <w:color w:val="000000"/>
                              <w:sz w:val="16"/>
                              <w:szCs w:val="16"/>
                            </w:rPr>
                            <w:t xml:space="preserve"> </w:t>
                          </w:r>
                        </w:p>
                      </w:txbxContent>
                    </v:textbox>
                  </v:rect>
                  <v:rect id="Rectangle 44" o:spid="_x0000_s1058" style="position:absolute;left:992;top:10211;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o6MEA&#10;AADcAAAADwAAAGRycy9kb3ducmV2LnhtbESP3YrCMBSE7xd8h3AWvFvTLSJ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OjBAAAA3AAAAA8AAAAAAAAAAAAAAAAAmAIAAGRycy9kb3du&#10;cmV2LnhtbFBLBQYAAAAABAAEAPUAAACGAwAAAAA=&#10;" filled="f" stroked="f">
                    <v:textbox style="mso-fit-shape-to-text:t" inset="0,0,0,0">
                      <w:txbxContent>
                        <w:p w:rsidR="00B247C9" w:rsidRDefault="00B247C9">
                          <w:r>
                            <w:rPr>
                              <w:rFonts w:ascii="Times New Roman" w:hAnsi="Times New Roman" w:cs="Times New Roman"/>
                              <w:color w:val="000000"/>
                              <w:sz w:val="16"/>
                              <w:szCs w:val="16"/>
                            </w:rPr>
                            <w:t xml:space="preserve"> </w:t>
                          </w:r>
                        </w:p>
                      </w:txbxContent>
                    </v:textbox>
                  </v:rect>
                  <v:shape id="Freeform 45" o:spid="_x0000_s1059" style="position:absolute;left:992;top:987;width:6446;height:191;visibility:visible;mso-wrap-style:square;v-text-anchor:top" coordsize="624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6vb8cA&#10;AADcAAAADwAAAGRycy9kb3ducmV2LnhtbESPQWvCQBSE7wX/w/IEL6KbCt2W1FVaQVosUqpSr4/s&#10;MwnNvo3ZbYz+ercg9DjMzDfMdN7ZSrTU+NKxhvtxAoI4c6bkXMNuuxw9gfAB2WDlmDScycN81rub&#10;Ymrcib+o3YRcRAj7FDUUIdSplD4ryKIfu5o4egfXWAxRNrk0DZ4i3FZykiRKWiw5LhRY06Kg7Gfz&#10;azXYx3X3MWx3n4ejetvz916p18tK60G/e3kGEagL/+Fb+91oUJMH+DsTj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er2/HAAAA3AAAAA8AAAAAAAAAAAAAAAAAmAIAAGRy&#10;cy9kb3ducmV2LnhtbFBLBQYAAAAABAAEAPUAAACMAwAAAAA=&#10;" path="m,185r,l6241,185,6241,,,,,185xe" fillcolor="yellow" strokeweight="0">
                    <v:path arrowok="t" o:connecttype="custom" o:connectlocs="0,191;0,191;6446,191;6446,0;0,0;0,191" o:connectangles="0,0,0,0,0,0"/>
                  </v:shape>
                  <v:rect id="Rectangle 46" o:spid="_x0000_s1060" style="position:absolute;left:992;top:992;width:107;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F</w:t>
                          </w:r>
                        </w:p>
                      </w:txbxContent>
                    </v:textbox>
                  </v:rect>
                  <v:rect id="Rectangle 47" o:spid="_x0000_s1061" style="position:absolute;left:1102;top:992;width:214;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2n8IA&#10;AADcAAAADwAAAGRycy9kb3ducmV2LnhtbESPzYoCMRCE78K+Q2hhb5pxDq6MRhFBcMWLow/QTHp+&#10;MOkMSdaZfXuzIOyxqKqvqM1utEY8yYfOsYLFPANBXDndcaPgfjvOViBCRNZoHJOCXwqw235MNlho&#10;N/CVnmVsRIJwKFBBG2NfSBmqliyGueuJk1c7bzEm6RupPQ4Jbo3Ms2wpLXacFlrs6dBS9Sh/rAJ5&#10;K4/DqjQ+c+e8vpjv07Ump9TndNyvQUQa43/43T5pBcv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baf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igu</w:t>
                          </w:r>
                        </w:p>
                      </w:txbxContent>
                    </v:textbox>
                  </v:rect>
                  <v:rect id="Rectangle 48" o:spid="_x0000_s1062" style="position:absolute;left:1324;top:992;width:134;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i7b8A&#10;AADcAAAADwAAAGRycy9kb3ducmV2LnhtbERPy4rCMBTdC/MP4Q6403S6EKlGGQYKHXFj9QMuze2D&#10;SW5KkrH1781CcHk47/1xtkbcyYfBsYKvdQaCuHF64E7B7VqutiBCRNZoHJOCBwU4Hj4Weyy0m/hC&#10;9zp2IoVwKFBBH+NYSBmaniyGtRuJE9c6bzEm6DupPU4p3BqZZ9lGWhw4NfQ40k9PzV/9bxXIa11O&#10;29r4zJ3y9mx+q0tLTqnl5/y9AxFpjm/xy11pBZs8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iLtvwAAANwAAAAPAAAAAAAAAAAAAAAAAJgCAABkcnMvZG93bnJl&#10;di54bWxQSwUGAAAAAAQABAD1AAAAhA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re</w:t>
                          </w:r>
                        </w:p>
                      </w:txbxContent>
                    </v:textbox>
                  </v:rect>
                  <v:rect id="Rectangle 49" o:spid="_x0000_s1063" style="position:absolute;left:1460;top:992;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HdsIA&#10;AADcAAAADwAAAGRycy9kb3ducmV2LnhtbESPzYoCMRCE7wv7DqGFva0Z5yDuaBQRBBUvjj5AM+n5&#10;waQzJFlnfHuzIOyxqKqvqNVmtEY8yIfOsYLZNANBXDndcaPgdt1/L0CEiKzROCYFTwqwWX9+rLDQ&#10;buALPcrYiAThUKCCNsa+kDJULVkMU9cTJ6923mJM0jdSexwS3BqZZ9lcWuw4LbTY066l6l7+WgXy&#10;Wu6HRWl85k55fTbHw6Ump9TXZNwuQUQa43/43T5oBfP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od2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 xml:space="preserve"> </w:t>
                          </w:r>
                        </w:p>
                      </w:txbxContent>
                    </v:textbox>
                  </v:rect>
                  <v:rect id="Rectangle 50" o:spid="_x0000_s1064" style="position:absolute;left:1520;top:992;width:1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drcEA&#10;AADcAAAADwAAAGRycy9kb3ducmV2LnhtbESPzYoCMRCE7wu+Q2jB25pRQW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RHa3BAAAA3AAAAA8AAAAAAAAAAAAAAAAAmAIAAGRycy9kb3du&#10;cmV2LnhtbFBLBQYAAAAABAAEAPUAAACGAwAAAAA=&#10;" filled="f" stroked="f">
                    <v:textbox style="mso-fit-shape-to-text:t" inset="0,0,0,0">
                      <w:txbxContent>
                        <w:p w:rsidR="00B247C9" w:rsidRPr="002F03DF" w:rsidRDefault="00B247C9">
                          <w:pPr>
                            <w:rPr>
                              <w:rFonts w:ascii="Times New Roman" w:hAnsi="Times New Roman" w:cs="Times New Roman"/>
                              <w:sz w:val="16"/>
                              <w:szCs w:val="16"/>
                            </w:rPr>
                          </w:pPr>
                          <w:r w:rsidRPr="002F03DF">
                            <w:rPr>
                              <w:rFonts w:ascii="Times New Roman" w:hAnsi="Times New Roman" w:cs="Times New Roman"/>
                              <w:b/>
                              <w:i/>
                              <w:sz w:val="16"/>
                              <w:szCs w:val="16"/>
                            </w:rPr>
                            <w:t>4</w:t>
                          </w:r>
                          <w:r>
                            <w:rPr>
                              <w:rFonts w:ascii="Times New Roman" w:hAnsi="Times New Roman" w:cs="Times New Roman"/>
                              <w:sz w:val="16"/>
                              <w:szCs w:val="16"/>
                            </w:rPr>
                            <w:t>.</w:t>
                          </w:r>
                        </w:p>
                      </w:txbxContent>
                    </v:textbox>
                  </v:rect>
                  <v:rect id="Rectangle 51" o:spid="_x0000_s1065" style="position:absolute;left:1603;top:992;width:54;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2sEA&#10;AADcAAAADwAAAGRycy9kb3ducmV2LnhtbESP3YrCMBSE7xd8h3AWvFvTrSB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g9rBAAAA3AAAAA8AAAAAAAAAAAAAAAAAmAIAAGRycy9kb3du&#10;cmV2LnhtbFBLBQYAAAAABAAEAPUAAACGAw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 xml:space="preserve">: </w:t>
                          </w:r>
                        </w:p>
                      </w:txbxContent>
                    </v:textbox>
                  </v:rect>
                  <v:rect id="Rectangle 52" o:spid="_x0000_s1066" style="position:absolute;left:1718;top:992;width:32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gQsIA&#10;AADcAAAADwAAAGRycy9kb3ducmV2LnhtbESPzYoCMRCE74LvEFrYm2ZUc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CBC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Tanz</w:t>
                          </w:r>
                        </w:p>
                      </w:txbxContent>
                    </v:textbox>
                  </v:rect>
                  <v:rect id="Rectangle 53" o:spid="_x0000_s1067" style="position:absolute;left:2058;top:992;width:16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an</w:t>
                          </w:r>
                        </w:p>
                      </w:txbxContent>
                    </v:textbox>
                  </v:rect>
                  <v:rect id="Rectangle 54" o:spid="_x0000_s1068" style="position:absolute;left:2231;top:992;width:12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VPMIA&#10;AADcAAAADwAAAGRycy9kb3ducmV2LnhtbESPzYoCMRCE74LvEFrwphl1E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VU8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 xml:space="preserve">ia </w:t>
                          </w:r>
                        </w:p>
                      </w:txbxContent>
                    </v:textbox>
                  </v:rect>
                  <v:rect id="Rectangle 55" o:spid="_x0000_s1069" style="position:absolute;left:2419;top:992;width:241;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SMEA&#10;AADcAAAADwAAAGRycy9kb3ducmV2LnhtbESPzYoCMRCE7wu+Q2jB25pRR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UjBAAAA3AAAAA8AAAAAAAAAAAAAAAAAmAIAAGRycy9kb3du&#10;cmV2LnhtbFBLBQYAAAAABAAEAPUAAACGAw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Nat</w:t>
                          </w:r>
                        </w:p>
                      </w:txbxContent>
                    </v:textbox>
                  </v:rect>
                  <v:rect id="Rectangle 56" o:spid="_x0000_s1070" style="position:absolute;left:2666;top:992;width:214;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o08IA&#10;AADcAAAADwAAAGRycy9kb3ducmV2LnhtbESPzYoCMRCE74LvEFrwphnF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GjT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ion</w:t>
                          </w:r>
                        </w:p>
                      </w:txbxContent>
                    </v:textbox>
                  </v:rect>
                  <v:rect id="Rectangle 57" o:spid="_x0000_s1071" style="position:absolute;left:2887;top:992;width:12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2pMEA&#10;AADcAAAADwAAAGRycy9kb3ducmV2LnhtbESP3YrCMBSE7xd8h3AE79ZUk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qTBAAAA3AAAAA8AAAAAAAAAAAAAAAAAmAIAAGRycy9kb3du&#10;cmV2LnhtbFBLBQYAAAAABAAEAPUAAACGAw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 xml:space="preserve">al </w:t>
                          </w:r>
                        </w:p>
                      </w:txbxContent>
                    </v:textbox>
                  </v:rect>
                  <v:rect id="Rectangle 58" o:spid="_x0000_s1072" style="position:absolute;left:3075;top:992;width:294;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HIV</w:t>
                          </w:r>
                        </w:p>
                      </w:txbxContent>
                    </v:textbox>
                  </v:rect>
                  <v:rect id="Rectangle 59" o:spid="_x0000_s1073" style="position:absolute;left:3375;top:992;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HTcAA&#10;AADcAAAADwAAAGRycy9kb3ducmV2LnhtbERPS2rDMBDdF3IHMYHuGjmm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3HTcAAAADcAAAADwAAAAAAAAAAAAAAAACYAgAAZHJzL2Rvd25y&#10;ZXYueG1sUEsFBgAAAAAEAAQA9QAAAIUDA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 xml:space="preserve"> </w:t>
                          </w:r>
                        </w:p>
                      </w:txbxContent>
                    </v:textbox>
                  </v:rect>
                  <v:rect id="Rectangle 60" o:spid="_x0000_s1074" style="position:absolute;left:3435;top:992;width:107;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1sIA&#10;AADcAAAADwAAAGRycy9kb3ducmV2LnhtbESPzYoCMRCE74LvEFrwphlF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WLW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R</w:t>
                          </w:r>
                        </w:p>
                      </w:txbxContent>
                    </v:textbox>
                  </v:rect>
                  <v:rect id="Rectangle 61" o:spid="_x0000_s1075" style="position:absolute;left:3546;top:992;width:286;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 xml:space="preserve">apid </w:t>
                          </w:r>
                        </w:p>
                      </w:txbxContent>
                    </v:textbox>
                  </v:rect>
                  <v:rect id="Rectangle 62" o:spid="_x0000_s1076" style="position:absolute;left:3899;top:992;width:16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4DcEA&#10;AADcAAAADwAAAGRycy9kb3ducmV2LnhtbESPzYoCMRCE7wu+Q2jB25pRU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A3BAAAA3AAAAA8AAAAAAAAAAAAAAAAAmAIAAGRycy9kb3du&#10;cmV2LnhtbFBLBQYAAAAABAAEAPUAAACGAw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Te</w:t>
                          </w:r>
                        </w:p>
                      </w:txbxContent>
                    </v:textbox>
                  </v:rect>
                  <v:rect id="Rectangle 63" o:spid="_x0000_s1077" style="position:absolute;left:4073;top:992;width:15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mesEA&#10;AADcAAAADwAAAGRycy9kb3ducmV2LnhtbESP3YrCMBSE7xd8h3AWvFvTLSh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ZnrBAAAA3AAAAA8AAAAAAAAAAAAAAAAAmAIAAGRycy9kb3du&#10;cmV2LnhtbFBLBQYAAAAABAAEAPUAAACGAw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sti</w:t>
                          </w:r>
                        </w:p>
                      </w:txbxContent>
                    </v:textbox>
                  </v:rect>
                  <v:rect id="Rectangle 64" o:spid="_x0000_s1078" style="position:absolute;left:4230;top:992;width:8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D4cIA&#10;AADcAAAADwAAAGRycy9kb3ducmV2LnhtbESPzYoCMRCE74LvEFrwphmV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MPh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n</w:t>
                          </w:r>
                        </w:p>
                      </w:txbxContent>
                    </v:textbox>
                  </v:rect>
                  <v:rect id="Rectangle 65" o:spid="_x0000_s1079" style="position:absolute;left:4321;top:992;width:81;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 xml:space="preserve">g </w:t>
                          </w:r>
                        </w:p>
                      </w:txbxContent>
                    </v:textbox>
                  </v:rect>
                  <v:rect id="Rectangle 66" o:spid="_x0000_s1080" style="position:absolute;left:4462;top:992;width:107;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DsEA&#10;AADcAAAADwAAAGRycy9kb3ducmV2LnhtbESPzYoCMRCE7wu+Q2jB25pRU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1/g7BAAAA3AAAAA8AAAAAAAAAAAAAAAAAmAIAAGRycy9kb3du&#10;cmV2LnhtbFBLBQYAAAAABAAEAPUAAACGAw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A</w:t>
                          </w:r>
                        </w:p>
                      </w:txbxContent>
                    </v:textbox>
                  </v:rect>
                  <v:rect id="Rectangle 67" o:spid="_x0000_s1081" style="position:absolute;left:4573;top:992;width:31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lgori</w:t>
                          </w:r>
                        </w:p>
                      </w:txbxContent>
                    </v:textbox>
                  </v:rect>
                  <v:rect id="Rectangle 68" o:spid="_x0000_s1082" style="position:absolute;left:4895;top:992;width:4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4sIA&#10;AADcAAAADwAAAGRycy9kb3ducmV2LnhtbESPzYoCMRCE74LvEFrYm2YUd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8Xi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t</w:t>
                          </w:r>
                        </w:p>
                      </w:txbxContent>
                    </v:textbox>
                  </v:rect>
                  <v:rect id="Rectangle 69" o:spid="_x0000_s1083" style="position:absolute;left:4939;top:992;width:8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kMAA&#10;AADcAAAADwAAAGRycy9kb3ducmV2LnhtbERPS2rDMBDdF3IHMYHuGjmGBu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RRkMAAAADcAAAADwAAAAAAAAAAAAAAAACYAgAAZHJzL2Rvd25y&#10;ZXYueG1sUEsFBgAAAAAEAAQA9QAAAIUDA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h</w:t>
                          </w:r>
                        </w:p>
                      </w:txbxContent>
                    </v:textbox>
                  </v:rect>
                  <v:rect id="Rectangle 70" o:spid="_x0000_s1084" style="position:absolute;left:5030;top:992;width:12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C8IA&#10;AADcAAAADwAAAGRycy9kb3ducmV2LnhtbESPzYoCMRCE74LvEFrwphkFxR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PQL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m</w:t>
                          </w:r>
                        </w:p>
                      </w:txbxContent>
                    </v:textbox>
                  </v:rect>
                  <v:rect id="Rectangle 71" o:spid="_x0000_s1085" style="position:absolute;left:5161;top:992;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 xml:space="preserve"> </w:t>
                          </w:r>
                        </w:p>
                      </w:txbxContent>
                    </v:textbox>
                  </v:rect>
                  <v:rect id="Rectangle 72" o:spid="_x0000_s1086" style="position:absolute;left:5220;top:992;width:200;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 xml:space="preserve">for </w:t>
                          </w:r>
                        </w:p>
                      </w:txbxContent>
                    </v:textbox>
                  </v:rect>
                  <v:rect id="Rectangle 73" o:spid="_x0000_s1087" style="position:absolute;left:5482;top:992;width:16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X8IA&#10;AADcAAAADwAAAGRycy9kb3ducmV2LnhtbESPzYoCMRCE78K+Q2hhb5rRw6yMRhFBcMWLow/QTHp+&#10;MOkMSdaZfXuzIOyxqKqvqM1utEY8yYfOsYLFPANBXDndcaPgfjvOViBCRNZoHJOCXwqw235MNlho&#10;N/CVnmVsRIJwKFBBG2NfSBmqliyGueuJk1c7bzEm6RupPQ4Jbo1cZlkuLXacFlrs6dBS9Sh/rAJ5&#10;K4/DqjQ+c+dlfTHfp2tNTqnP6bhfg4g0xv/wu33SCvL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w9f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Pe</w:t>
                          </w:r>
                        </w:p>
                      </w:txbxContent>
                    </v:textbox>
                  </v:rect>
                  <v:rect id="Rectangle 74" o:spid="_x0000_s1088" style="position:absolute;left:5655;top:992;width:294;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Lb0A&#10;AADcAAAADwAAAGRycy9kb3ducmV2LnhtbERPy4rCMBTdD/gP4QruxlQXRapRRBBU3FjnAy7N7QOT&#10;m5JEW//eLIRZHs57sxutES/yoXOsYDHPQBBXTnfcKPi7H39XIEJE1mgck4I3BdhtJz8bLLQb+Eav&#10;MjYihXAoUEEbY19IGaqWLIa564kTVztvMSboG6k9DincGrnMslxa7Dg1tNjToaXqUT6tAnkvj8Oq&#10;ND5zl2V9NefTrSan1Gw67tcgIo3xX/x1n7SCPE9r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ibLb0AAADcAAAADwAAAAAAAAAAAAAAAACYAgAAZHJzL2Rvd25yZXYu&#10;eG1sUEsFBgAAAAAEAAQA9QAAAIIDA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rson</w:t>
                          </w:r>
                        </w:p>
                      </w:txbxContent>
                    </v:textbox>
                  </v:rect>
                  <v:rect id="Rectangle 75" o:spid="_x0000_s1089" style="position:absolute;left:5957;top:992;width:6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 xml:space="preserve">s </w:t>
                          </w:r>
                        </w:p>
                      </w:txbxContent>
                    </v:textbox>
                  </v:rect>
                  <v:rect id="Rectangle 76" o:spid="_x0000_s1090" style="position:absolute;left:6081;top:992;width:107;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A</w:t>
                          </w:r>
                        </w:p>
                      </w:txbxContent>
                    </v:textbox>
                  </v:rect>
                  <v:rect id="Rectangle 77" o:spid="_x0000_s1091" style="position:absolute;left:6191;top:992;width:15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cIA&#10;AADcAAAADwAAAGRycy9kb3ducmV2LnhtbESPzYoCMRCE78K+Q2jBm5PRgyu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Rt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ge</w:t>
                          </w:r>
                        </w:p>
                      </w:txbxContent>
                    </v:textbox>
                  </v:rect>
                  <v:rect id="Rectangle 78" o:spid="_x0000_s1092" style="position:absolute;left:6347;top:992;width:81;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6GsIA&#10;AADcAAAADwAAAGRycy9kb3ducmV2LnhtbESPzYoCMRCE78K+Q2hhb5pxDq6MRhFBcMWLow/QTHp+&#10;MOkMSdaZfXuzIOyxqKqvqM1utEY8yYfOsYLFPANBXDndcaPgfjvOViBCRNZoHJOCXwqw235MNlho&#10;N/CVnmVsRIJwKFBBG2NfSBmqliyGueuJk1c7bzEm6RupPQ4Jbo3Ms2wpLXacFlrs6dBS9Sh/rAJ5&#10;K4/DqjQ+c+e8vpjv07Ump9TndNyvQUQa43/43T5pBcu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Toa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 xml:space="preserve">d </w:t>
                          </w:r>
                        </w:p>
                      </w:txbxContent>
                    </v:textbox>
                  </v:rect>
                  <v:rect id="Rectangle 79" o:spid="_x0000_s1093" style="position:absolute;left:6493;top:992;width:125;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fgcIA&#10;AADcAAAADwAAAGRycy9kb3ducmV2LnhtbESPzYoCMRCE74LvEFrYm2ZUc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Z+B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m</w:t>
                          </w:r>
                        </w:p>
                      </w:txbxContent>
                    </v:textbox>
                  </v:rect>
                  <v:rect id="Rectangle 80" o:spid="_x0000_s1094" style="position:absolute;left:6623;top:992;width:81;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o</w:t>
                          </w:r>
                        </w:p>
                      </w:txbxContent>
                    </v:textbox>
                  </v:rect>
                  <v:rect id="Rectangle 81" o:spid="_x0000_s1095" style="position:absolute;left:6704;top:992;width:134;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re</w:t>
                          </w:r>
                        </w:p>
                      </w:txbxContent>
                    </v:textbox>
                  </v:rect>
                  <v:rect id="Rectangle 82" o:spid="_x0000_s1096" style="position:absolute;left:6842;top:992;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GcIA&#10;AADcAAAADwAAAGRycy9kb3ducmV2LnhtbESPzYoCMRCE78K+Q2hhb5rRw6yMRhFBcMWLow/QTHp+&#10;MOkMSdaZfXuzIOyxqKqvqM1utEY8yYfOsYLFPANBXDndcaPgfjvOViBCRNZoHJOCXwqw235MNlho&#10;N/CVnmVsRIJwKFBBG2NfSBmqliyGueuJk1c7bzEm6RupPQ4Jbo1cZlkuLXacFlrs6dBS9Sh/rAJ5&#10;K4/DqjQ+c+dlfTHfp2tNTqnP6bhfg4g0xv/wu33SCvK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wZ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 xml:space="preserve"> </w:t>
                          </w:r>
                        </w:p>
                      </w:txbxContent>
                    </v:textbox>
                  </v:rect>
                  <v:rect id="Rectangle 83" o:spid="_x0000_s1097" style="position:absolute;left:6901;top:992;width:134;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th</w:t>
                          </w:r>
                        </w:p>
                      </w:txbxContent>
                    </v:textbox>
                  </v:rect>
                  <v:rect id="Rectangle 84" o:spid="_x0000_s1098" style="position:absolute;left:7040;top:992;width:169;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an</w:t>
                          </w:r>
                        </w:p>
                      </w:txbxContent>
                    </v:textbox>
                  </v:rect>
                  <v:rect id="Rectangle 85" o:spid="_x0000_s1099" style="position:absolute;left:7215;top:992;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oa8IA&#10;AADcAAAADwAAAGRycy9kb3ducmV2LnhtbESPzYoCMRCE7wu+Q2jB25rRg+uORhFBUNmL4z5AM+n5&#10;waQzJNEZ394IC3ssquorar0drBEP8qF1rGA2zUAQl063XCv4vR4+lyBCRNZoHJOCJwXYbkYfa8y1&#10;6/lCjyLWIkE45KigibHLpQxlQxbD1HXEyauctxiT9LXUHvsEt0bOs2whLbacFhrsaN9QeSvuVoG8&#10;Fod+WRifufO8+jGn46Uip9RkPOxWICIN8T/81z5qBYuv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ahr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 xml:space="preserve"> </w:t>
                          </w:r>
                        </w:p>
                      </w:txbxContent>
                    </v:textbox>
                  </v:rect>
                  <v:rect id="Rectangle 86" o:spid="_x0000_s1100" style="position:absolute;left:7274;top:992;width:161;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18</w:t>
                          </w:r>
                        </w:p>
                      </w:txbxContent>
                    </v:textbox>
                  </v:rect>
                  <v:rect id="Rectangle 87" o:spid="_x0000_s1101" style="position:absolute;left:7438;top:992;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 xml:space="preserve"> </w:t>
                          </w:r>
                        </w:p>
                      </w:txbxContent>
                    </v:textbox>
                  </v:rect>
                  <v:shape id="Freeform 88" o:spid="_x0000_s1102" style="position:absolute;left:992;top:1178;width:523;height:190;visibility:visible;mso-wrap-style:square;v-text-anchor:top" coordsize="507,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TXsYA&#10;AADcAAAADwAAAGRycy9kb3ducmV2LnhtbESPQWvCQBSE70L/w/IKvUjd2EqQ6CqlICihB6MUvD2z&#10;zyRt9m3Irkn677uC4HGYmW+Y5XowteiodZVlBdNJBII4t7riQsHxsHmdg3AeWWNtmRT8kYP16mm0&#10;xETbnvfUZb4QAcIuQQWl900ipctLMugmtiEO3sW2Bn2QbSF1i32Am1q+RVEsDVYcFkps6LOk/De7&#10;GgXp7mBkhqf+PJ5t07jeb76+f6ZKvTwPHwsQngb/CN/bW60gnr/D7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TTXsYAAADcAAAADwAAAAAAAAAAAAAAAACYAgAAZHJz&#10;L2Rvd25yZXYueG1sUEsFBgAAAAAEAAQA9QAAAIsDAAAAAA==&#10;" path="m,184r,l507,184,507,,,,,184xe" fillcolor="yellow" strokeweight="0">
                    <v:path arrowok="t" o:connecttype="custom" o:connectlocs="0,190;0,190;523,190;523,0;0,0;0,190" o:connectangles="0,0,0,0,0,0"/>
                  </v:shape>
                  <v:rect id="Rectangle 89" o:spid="_x0000_s1103" style="position:absolute;left:992;top:1182;width:312;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30sEA&#10;AADcAAAADwAAAGRycy9kb3ducmV2LnhtbESP3YrCMBSE7xd8h3AE79ZUE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Zd9LBAAAA3AAAAA8AAAAAAAAAAAAAAAAAmAIAAGRycy9kb3du&#10;cmV2LnhtbFBLBQYAAAAABAAEAPUAAACGAw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Mon</w:t>
                          </w:r>
                        </w:p>
                      </w:txbxContent>
                    </v:textbox>
                  </v:rect>
                  <v:rect id="Rectangle 90" o:spid="_x0000_s1104" style="position:absolute;left:1314;top:1182;width:134;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th</w:t>
                          </w:r>
                        </w:p>
                      </w:txbxContent>
                    </v:textbox>
                  </v:rect>
                  <v:rect id="Rectangle 91" o:spid="_x0000_s1105" style="position:absolute;left:1452;top:1182;width:63;height: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s</w:t>
                          </w:r>
                        </w:p>
                      </w:txbxContent>
                    </v:textbox>
                  </v:rect>
                  <v:rect id="Rectangle 92" o:spid="_x0000_s1106" style="position:absolute;left:1515;top:1182;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 xml:space="preserve"> </w:t>
                          </w:r>
                        </w:p>
                      </w:txbxContent>
                    </v:textbox>
                  </v:rect>
                  <v:rect id="Rectangle 93" o:spid="_x0000_s1107" style="position:absolute;left:992;top:1372;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 xml:space="preserve"> </w:t>
                          </w:r>
                        </w:p>
                      </w:txbxContent>
                    </v:textbox>
                  </v:rect>
                  <v:rect id="Rectangle 94" o:spid="_x0000_s1108" style="position:absolute;left:7696;top:9222;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rsidR="00B247C9" w:rsidRDefault="00B247C9">
                          <w:r>
                            <w:rPr>
                              <w:rFonts w:ascii="Times New Roman Bold Italic" w:hAnsi="Times New Roman Bold Italic" w:cs="Times New Roman Bold Italic"/>
                              <w:b/>
                              <w:bCs/>
                              <w:i/>
                              <w:iCs/>
                              <w:color w:val="000000"/>
                              <w:sz w:val="16"/>
                              <w:szCs w:val="16"/>
                            </w:rPr>
                            <w:t xml:space="preserve"> </w:t>
                          </w:r>
                        </w:p>
                      </w:txbxContent>
                    </v:textbox>
                  </v:rect>
                  <v:shape id="Freeform 95" o:spid="_x0000_s1109" style="position:absolute;left:2597;top:2248;width:2131;height:640;visibility:visible;mso-wrap-style:square;v-text-anchor:top" coordsize="206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0r0A&#10;AADcAAAADwAAAGRycy9kb3ducmV2LnhtbERPuwrCMBTdBf8hXMFNUx2KVqOIIujg4Gu/NNe22NzU&#10;Jtbq15tBcDyc93zZmlI0VLvCsoLRMAJBnFpdcKbgct4OJiCcR9ZYWiYFb3KwXHQ7c0y0ffGRmpPP&#10;RAhhl6CC3PsqkdKlORl0Q1sRB+5ma4M+wDqTusZXCDelHEdRLA0WHBpyrGidU3o/PY2CXfb+UNms&#10;XPQ4XHi/WV/Ta7xVqt9rVzMQnlr/F//cO60gnoa14Uw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k+T0r0AAADcAAAADwAAAAAAAAAAAAAAAACYAgAAZHJzL2Rvd25yZXYu&#10;eG1sUEsFBgAAAAAEAAQA9QAAAIIDAAAAAA==&#10;" path="m,104r,c,47,46,,103,l1960,v57,,103,47,103,104l2063,517v,57,-46,103,-103,103l103,620c46,620,,574,,517l,104xe" filled="f" strokeweight="28e-5mm">
                    <v:stroke joinstyle="miter"/>
                    <v:path arrowok="t" o:connecttype="custom" o:connectlocs="0,107;0,107;106,0;2025,0;2131,107;2131,534;2025,640;106,640;0,534;0,107" o:connectangles="0,0,0,0,0,0,0,0,0,0"/>
                  </v:shape>
                  <v:rect id="Rectangle 96" o:spid="_x0000_s1110" style="position:absolute;left:3346;top:2377;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rsidR="00B247C9" w:rsidRDefault="00B247C9">
                          <w:r>
                            <w:rPr>
                              <w:rFonts w:ascii="Times New Roman" w:hAnsi="Times New Roman" w:cs="Times New Roman"/>
                              <w:color w:val="000000"/>
                              <w:sz w:val="16"/>
                              <w:szCs w:val="16"/>
                            </w:rPr>
                            <w:t>F</w:t>
                          </w:r>
                        </w:p>
                      </w:txbxContent>
                    </v:textbox>
                  </v:rect>
                  <v:rect id="Rectangle 97" o:spid="_x0000_s1111" style="position:absolute;left:3436;top:2377;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rsidR="00B247C9" w:rsidRDefault="00B247C9">
                          <w:r>
                            <w:rPr>
                              <w:rFonts w:ascii="Times New Roman" w:hAnsi="Times New Roman" w:cs="Times New Roman"/>
                              <w:color w:val="000000"/>
                              <w:sz w:val="16"/>
                              <w:szCs w:val="16"/>
                            </w:rPr>
                            <w:t>irst H</w:t>
                          </w:r>
                        </w:p>
                      </w:txbxContent>
                    </v:textbox>
                  </v:rect>
                  <v:rect id="Rectangle 98" o:spid="_x0000_s1112" style="position:absolute;left:3810;top:2377;width: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I</w:t>
                          </w:r>
                        </w:p>
                      </w:txbxContent>
                    </v:textbox>
                  </v:rect>
                  <v:rect id="Rectangle 99" o:spid="_x0000_s1113" style="position:absolute;left:3863;top:2377;width:11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 xml:space="preserve">V </w:t>
                          </w:r>
                        </w:p>
                      </w:txbxContent>
                    </v:textbox>
                  </v:rect>
                  <v:rect id="Rectangle 100" o:spid="_x0000_s1114" style="position:absolute;left:4025;top:2377;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 xml:space="preserve"> </w:t>
                          </w:r>
                        </w:p>
                      </w:txbxContent>
                    </v:textbox>
                  </v:rect>
                  <v:rect id="Rectangle 101" o:spid="_x0000_s1115" style="position:absolute;left:3302;top:257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4uYsMA&#10;AADdAAAADwAAAGRycy9kb3ducmV2LnhtbESP3WoCMRSE7wXfIRyhd5p1QbGrUUQQtPTGtQ9w2Jz9&#10;weRkSVJ3+/ZNoeDlMDPfMLvDaI14kg+dYwXLRQaCuHK640bB1/0834AIEVmjcUwKfijAYT+d7LDQ&#10;buAbPcvYiAThUKCCNsa+kDJULVkMC9cTJ6923mJM0jdSexwS3BqZZ9laWuw4LbTY06ml6lF+WwXy&#10;Xp6HTWl85j7y+tNcL7eanFJvs/G4BRFpjK/wf/uiFbwvV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4uYs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R</w:t>
                          </w:r>
                        </w:p>
                      </w:txbxContent>
                    </v:textbox>
                  </v:rect>
                  <v:rect id="Rectangle 102" o:spid="_x0000_s1116" style="position:absolute;left:3414;top:2574;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L+cMA&#10;AADdAAAADwAAAGRycy9kb3ducmV2LnhtbESP3WoCMRSE7wu+QziCdzWrUtHVKFIQbPHG1Qc4bM7+&#10;YHKyJKm7ffumIHg5zMw3zHY/WCMe5EPrWMFsmoEgLp1uuVZwux7fVyBCRNZoHJOCXwqw343etphr&#10;1/OFHkWsRYJwyFFBE2OXSxnKhiyGqeuIk1c5bzEm6WupPfYJbo2cZ9lSWmw5LTTY0WdD5b34sQrk&#10;tTj2q8L4zH3Pq7P5Ol0qckpNxsNhAyLSEF/hZ/ukFaxnH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KL+c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a</w:t>
                          </w:r>
                        </w:p>
                      </w:txbxContent>
                    </v:textbox>
                  </v:rect>
                  <v:rect id="Rectangle 103" o:spid="_x0000_s1117" style="position:absolute;left:3486;top:2574;width:41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sTjcMA&#10;AADdAAAADwAAAGRycy9kb3ducmV2LnhtbESP3WoCMRSE7wu+QziCdzWrWNHVKFIQbPHG1Qc4bM7+&#10;YHKyJKm7ffumIHg5zMw3zHY/WCMe5EPrWMFsmoEgLp1uuVZwux7fVyBCRNZoHJOCXwqw343etphr&#10;1/OFHkWsRYJwyFFBE2OXSxnKhiyGqeuIk1c5bzEm6WupPfYJbo2cZ9lSWmw5LTTY0WdD5b34sQrk&#10;tTj2q8L4zH3Pq7P5Ol0qckpNxsNhAyLSEF/hZ/ukFaxnH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sTjc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pid Te</w:t>
                          </w:r>
                        </w:p>
                      </w:txbxContent>
                    </v:textbox>
                  </v:rect>
                  <v:rect id="Rectangle 104" o:spid="_x0000_s1118" style="position:absolute;left:3913;top:2574;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2FsMA&#10;AADdAAAADwAAAGRycy9kb3ducmV2LnhtbESPzYoCMRCE74LvEFrwphkFFx2NsgiCu3hx9AGaSc8P&#10;m3SGJDqzb28WhD0WVfUVtTsM1ogn+dA6VrCYZyCIS6dbrhXcb6fZGkSIyBqNY1LwSwEO+/Foh7l2&#10;PV/pWcRaJAiHHBU0MXa5lKFsyGKYu444eZXzFmOSvpbaY5/g1shlln1Iiy2nhQY7OjZU/hQPq0De&#10;ilO/LozP3Peyupiv87Uip9R0MnxuQUQa4n/43T5rBZvFa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e2Fs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st</w:t>
                          </w:r>
                        </w:p>
                      </w:txbxContent>
                    </v:textbox>
                  </v:rect>
                  <v:rect id="Rectangle 105" o:spid="_x0000_s1119" style="position:absolute;left:4023;top:2574;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ZiL8A&#10;AADdAAAADwAAAGRycy9kb3ducmV2LnhtbERPy4rCMBTdC/5DuII7TRUUrUYRQXAGN1Y/4NLcPjC5&#10;KUm0nb+fLAZmeTjv/XGwRnzIh9axgsU8A0FcOt1yreD5uMw2IEJE1mgck4IfCnA8jEd7zLXr+U6f&#10;ItYihXDIUUETY5dLGcqGLIa564gTVzlvMSboa6k99incGrnMsrW02HJqaLCjc0Plq3hbBfJRXPpN&#10;YXzmvpfVzXxd7xU5paaT4bQDEWmI/+I/91Ur2C5W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JhmIvwAAAN0AAAAPAAAAAAAAAAAAAAAAAJgCAABkcnMvZG93bnJl&#10;di54bWxQSwUGAAAAAAQABAD1AAAAhAMAAAAA&#10;" filled="f" stroked="f">
                    <v:textbox style="mso-fit-shape-to-text:t" inset="0,0,0,0">
                      <w:txbxContent>
                        <w:p w:rsidR="00B247C9" w:rsidRDefault="00B247C9">
                          <w:r>
                            <w:rPr>
                              <w:rFonts w:ascii="Times New Roman" w:hAnsi="Times New Roman" w:cs="Times New Roman"/>
                              <w:color w:val="000000"/>
                              <w:sz w:val="16"/>
                              <w:szCs w:val="16"/>
                            </w:rPr>
                            <w:t xml:space="preserve"> </w:t>
                          </w:r>
                        </w:p>
                      </w:txbxContent>
                    </v:textbox>
                  </v:rect>
                  <v:shape id="Freeform 106" o:spid="_x0000_s1120" style="position:absolute;left:1001;top:3375;width:1968;height:388;visibility:visible;mso-wrap-style:square;v-text-anchor:top" coordsize="190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rBMYA&#10;AADdAAAADwAAAGRycy9kb3ducmV2LnhtbESP0WrCQBRE3wX/YblCX6RurFg0dRUpFH0QsdoPuM1e&#10;k2D2bprdJuvfu4Lg4zAzZ5jFKphKtNS40rKC8SgBQZxZXXKu4Of09ToD4TyyxsoyKbiSg9Wy31tg&#10;qm3H39QefS4ihF2KCgrv61RKlxVk0I1sTRy9s20M+iibXOoGuwg3lXxLkndpsOS4UGBNnwVll+O/&#10;UfAbNmFvcdMe1uVwO9nVh+SPO6VeBmH9AcJT8M/wo73VCubj6Rz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jrBMYAAADdAAAADwAAAAAAAAAAAAAAAACYAgAAZHJz&#10;L2Rvd25yZXYueG1sUEsFBgAAAAAEAAQA9QAAAIsDAAAAAA==&#10;" path="m,62r,c,28,29,,63,l1842,v35,,63,28,63,62l1905,313v,35,-28,63,-63,63l63,376c29,376,,348,,313l,62xe" filled="f" strokeweight="28e-5mm">
                    <v:stroke joinstyle="miter"/>
                    <v:path arrowok="t" o:connecttype="custom" o:connectlocs="0,64;0,64;65,0;1903,0;1968,64;1968,323;1903,388;65,388;0,323;0,64" o:connectangles="0,0,0,0,0,0,0,0,0,0"/>
                  </v:shape>
                  <v:rect id="Rectangle 107" o:spid="_x0000_s1121" style="position:absolute;left:1553;top:3490;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fM74A&#10;AADdAAAADwAAAGRycy9kb3ducmV2LnhtbERPy4rCMBTdC/5DuMLsNNWFaDWKCIIObqx+wKW5fWBy&#10;U5JoO38/WQguD+e93Q/WiDf50DpWMJ9lIIhLp1uuFTzup+kKRIjIGo1jUvBHAfa78WiLuXY93+hd&#10;xFqkEA45Kmhi7HIpQ9mQxTBzHXHiKuctxgR9LbXHPoVbIxdZtpQWW04NDXZ0bKh8Fi+rQN6LU78q&#10;jM/c76K6msv5VpFT6mcyHDYgIg3xK/64z1rBer5M+9Ob9AT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483zO+AAAA3QAAAA8AAAAAAAAAAAAAAAAAmAIAAGRycy9kb3ducmV2&#10;LnhtbFBLBQYAAAAABAAEAPUAAACDAwAAAAA=&#10;" filled="f" stroked="f">
                    <v:textbox style="mso-fit-shape-to-text:t" inset="0,0,0,0">
                      <w:txbxContent>
                        <w:p w:rsidR="00B247C9" w:rsidRDefault="00B247C9">
                          <w:r>
                            <w:rPr>
                              <w:rFonts w:ascii="Times New Roman" w:hAnsi="Times New Roman" w:cs="Times New Roman"/>
                              <w:color w:val="000000"/>
                              <w:sz w:val="16"/>
                              <w:szCs w:val="16"/>
                            </w:rPr>
                            <w:t>Non</w:t>
                          </w:r>
                        </w:p>
                      </w:txbxContent>
                    </v:textbox>
                  </v:rect>
                  <v:rect id="Rectangle 108" o:spid="_x0000_s1122" style="position:absolute;left:1838;top:3490;width: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6qMMA&#10;AADdAAAADwAAAGRycy9kb3ducmV2LnhtbESPzYoCMRCE7wu+Q2jB25oZD+LOGkUEwRUvjvsAzaTn&#10;B5POkERn9u2NIOyxqKqvqPV2tEY8yIfOsYJ8noEgrpzuuFHwez18rkCEiKzROCYFfxRgu5l8rLHQ&#10;buALPcrYiAThUKCCNsa+kDJULVkMc9cTJ6923mJM0jdSexwS3Bq5yLKltNhxWmixp31L1a28WwXy&#10;Wh6GVWl85k6L+mx+jpeanFKz6bj7BhFpjP/hd/uoFXzlyxx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B6qM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w:t>
                          </w:r>
                        </w:p>
                      </w:txbxContent>
                    </v:textbox>
                  </v:rect>
                  <v:rect id="Rectangle 109" o:spid="_x0000_s1123" style="position:absolute;left:1892;top:3490;width:1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k38MA&#10;AADdAAAADwAAAGRycy9kb3ducmV2LnhtbESPzYoCMRCE7wu+Q2jB25pxDuLOGkUEwRUvjvsAzaTn&#10;B5POkERn9u2NIOyxqKqvqPV2tEY8yIfOsYLFPANBXDndcaPg93r4XIEIEVmjcUwK/ijAdjP5WGOh&#10;3cAXepSxEQnCoUAFbYx9IWWoWrIY5q4nTl7tvMWYpG+k9jgkuDUyz7KltNhxWmixp31L1a28WwXy&#10;Wh6GVWl85k55fTY/x0tNTqnZdNx9g4g0xv/wu33UCr4Wyxx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Lk38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re</w:t>
                          </w:r>
                        </w:p>
                      </w:txbxContent>
                    </v:textbox>
                  </v:rect>
                  <v:rect id="Rectangle 110" o:spid="_x0000_s1124" style="position:absolute;left:2021;top:3490;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BRMMA&#10;AADdAAAADwAAAGRycy9kb3ducmV2LnhtbESPzYoCMRCE7wu+Q2jB25pRQXQ0yiII7uLF0QdoJj0/&#10;bNIZkujMvv1GEDwWVfUVtd0P1ogH+dA6VjCbZiCIS6dbrhXcrsfPFYgQkTUax6TgjwLsd6OPLeba&#10;9XyhRxFrkSAcclTQxNjlUoayIYth6jri5FXOW4xJ+lpqj32CWyPnWbaUFltOCw12dGio/C3uVoG8&#10;Fsd+VRifuZ95dTbfp0tFTqnJePjagIg0xHf41T5pBevZcgH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5BRM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a</w:t>
                          </w:r>
                        </w:p>
                      </w:txbxContent>
                    </v:textbox>
                  </v:rect>
                  <v:rect id="Rectangle 111" o:spid="_x0000_s1125" style="position:absolute;left:2094;top:3490;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ZMMMA&#10;AADdAAAADwAAAGRycy9kb3ducmV2LnhtbESPzYoCMRCE7wu+Q2jB25pRRHQ0yiII7uLF0QdoJj0/&#10;bNIZkujMvv1GEDwWVfUVtd0P1ogH+dA6VjCbZiCIS6dbrhXcrsfPFYgQkTUax6TgjwLsd6OPLeba&#10;9XyhRxFrkSAcclTQxNjlUoayIYth6jri5FXOW4xJ+lpqj32CWyPnWbaUFltOCw12dGio/C3uVoG8&#10;Fsd+VRifuZ95dTbfp0tFTqnJePjagIg0xHf41T5pBevZcgH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fZMM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c</w:t>
                          </w:r>
                        </w:p>
                      </w:txbxContent>
                    </v:textbox>
                  </v:rect>
                  <v:rect id="Rectangle 112" o:spid="_x0000_s1126" style="position:absolute;left:2167;top:3490;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q8MA&#10;AADdAAAADwAAAGRycy9kb3ducmV2LnhtbESPzYoCMRCE7wu+Q2jB25pRUHQ0yiII7uLF0QdoJj0/&#10;bNIZkujMvv1GEDwWVfUVtd0P1ogH+dA6VjCbZiCIS6dbrhXcrsfPFYgQkTUax6TgjwLsd6OPLeba&#10;9XyhRxFrkSAcclTQxNjlUoayIYth6jri5FXOW4xJ+lpqj32CWyPnWbaUFltOCw12dGio/C3uVoG8&#10;Fsd+VRifuZ95dTbfp0tFTqnJePjagIg0xHf41T5pBevZcgH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8q8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ti</w:t>
                          </w:r>
                        </w:p>
                      </w:txbxContent>
                    </v:textbox>
                  </v:rect>
                  <v:rect id="Rectangle 113" o:spid="_x0000_s1127" style="position:absolute;left:2259;top:3490;width:15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i3MMA&#10;AADdAAAADwAAAGRycy9kb3ducmV2LnhtbESPzYoCMRCE74LvEFrYm2b0MLijUUQQXNmLow/QTHp+&#10;MOkMSXRm394sLOyxqKqvqO1+tEa8yIfOsYLlIgNBXDndcaPgfjvN1yBCRNZoHJOCHwqw300nWyy0&#10;G/hKrzI2IkE4FKigjbEvpAxVSxbDwvXEyaudtxiT9I3UHocEt0ausiyXFjtOCy32dGypepRPq0De&#10;ytOwLo3P3GVVf5uv87Ump9THbDxsQEQa43/4r33WCj6XeQ6/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ni3M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ve</w:t>
                          </w:r>
                        </w:p>
                      </w:txbxContent>
                    </v:textbox>
                  </v:rect>
                  <v:rect id="Rectangle 114" o:spid="_x0000_s1128" style="position:absolute;left:2417;top:3490;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HR8MA&#10;AADdAAAADwAAAGRycy9kb3ducmV2LnhtbESPzYoCMRCE74LvEFrwphk9uDoaZREEd/Hi6AM0k54f&#10;NukMSXRm394sCHssquorancYrBFP8qF1rGAxz0AQl063XCu4306zNYgQkTUax6TglwIc9uPRDnPt&#10;er7Ss4i1SBAOOSpoYuxyKUPZkMUwdx1x8irnLcYkfS21xz7BrZHLLFtJiy2nhQY7OjZU/hQPq0De&#10;ilO/LozP3Peyupiv87Uip9R0MnxuQUQa4n/43T5rBZvF6gP+3qQn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VHR8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 xml:space="preserve"> </w:t>
                          </w:r>
                        </w:p>
                      </w:txbxContent>
                    </v:textbox>
                  </v:rect>
                  <v:shape id="Freeform 115" o:spid="_x0000_s1129" style="position:absolute;left:4345;top:3375;width:1967;height:388;visibility:visible;mso-wrap-style:square;v-text-anchor:top" coordsize="190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iOcMA&#10;AADdAAAADwAAAGRycy9kb3ducmV2LnhtbERPy2rCQBTdF/yH4Qru6sQSgkZHEYtYqBsfrdtL5jaJ&#10;zdwJM6OJf99ZFFweznux6k0j7uR8bVnBZJyAIC6srrlUcD5tX6cgfEDW2FgmBQ/ysFoOXhaYa9vx&#10;ge7HUIoYwj5HBVUIbS6lLyoy6Me2JY7cj3UGQ4SulNphF8NNI9+SJJMGa44NFba0qaj4Pd6MApNe&#10;do89f6Xvn36fdt/mmrnrSanRsF/PQQTqw1P87/7QCmaTLM6Nb+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iiOcMAAADdAAAADwAAAAAAAAAAAAAAAACYAgAAZHJzL2Rv&#10;d25yZXYueG1sUEsFBgAAAAAEAAQA9QAAAIgDAAAAAA==&#10;" path="m,62r,c,28,28,,62,l1841,v35,,63,28,63,62l1904,313v,35,-28,63,-63,63l62,376c28,376,,348,,313l,62xe" filled="f" strokeweight="28e-5mm">
                    <v:stroke joinstyle="miter"/>
                    <v:path arrowok="t" o:connecttype="custom" o:connectlocs="0,64;0,64;64,0;1902,0;1967,64;1967,323;1902,388;64,388;0,323;0,64" o:connectangles="0,0,0,0,0,0,0,0,0,0"/>
                  </v:shape>
                  <v:rect id="Rectangle 116" o:spid="_x0000_s1130" style="position:absolute;left:5039;top:3490;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2rsIA&#10;AADdAAAADwAAAGRycy9kb3ducmV2LnhtbESPzYoCMRCE74LvEFrYm2b0IDoaRQTBXbw4+gDNpOcH&#10;k86QZJ3x7Y2wsMeiqr6itvvBGvEkH1rHCuazDARx6XTLtYL77TRdgQgRWaNxTApeFGC/G4+2mGvX&#10;85WeRaxFgnDIUUETY5dLGcqGLIaZ64iTVzlvMSbpa6k99glujVxk2VJabDktNNjRsaHyUfxaBfJW&#10;nPpVYXzmfhbVxXyfrxU5pb4mw2EDItIQ/8N/7bNWsJ4v1/B5k5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auwgAAAN0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R</w:t>
                          </w:r>
                        </w:p>
                      </w:txbxContent>
                    </v:textbox>
                  </v:rect>
                  <v:rect id="Rectangle 117" o:spid="_x0000_s1131" style="position:absolute;left:5150;top:3490;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7r8A&#10;AADdAAAADwAAAGRycy9kb3ducmV2LnhtbERPy4rCMBTdC/5DuII7TXXhoxpFBMEZ3Fj9gEtz+8Dk&#10;piTRdv5+shiY5eG898fBGvEhH1rHChbzDARx6XTLtYLn4zLbgAgRWaNxTAp+KMDxMB7tMdeu5zt9&#10;iliLFMIhRwVNjF0uZSgbshjmriNOXOW8xZigr6X22Kdwa+Qyy1bSYsupocGOzg2Vr+JtFchHcek3&#10;hfGZ+15WN/N1vVfklJpOhtMORKQh/ov/3FetYLtYp/3pTXoC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5UnuvwAAAN0AAAAPAAAAAAAAAAAAAAAAAJgCAABkcnMvZG93bnJl&#10;di54bWxQSwUGAAAAAAQABAD1AAAAhAMAAAAA&#10;" filled="f" stroked="f">
                    <v:textbox style="mso-fit-shape-to-text:t" inset="0,0,0,0">
                      <w:txbxContent>
                        <w:p w:rsidR="00B247C9" w:rsidRDefault="00B247C9">
                          <w:r>
                            <w:rPr>
                              <w:rFonts w:ascii="Times New Roman" w:hAnsi="Times New Roman" w:cs="Times New Roman"/>
                              <w:color w:val="000000"/>
                              <w:sz w:val="16"/>
                              <w:szCs w:val="16"/>
                            </w:rPr>
                            <w:t>e</w:t>
                          </w:r>
                        </w:p>
                      </w:txbxContent>
                    </v:textbox>
                  </v:rect>
                  <v:rect id="Rectangle 118" o:spid="_x0000_s1132" style="position:absolute;left:5223;top:3490;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sdcMA&#10;AADdAAAADwAAAGRycy9kb3ducmV2LnhtbESP3WoCMRSE7wXfIZyCd5pdL6pdjVIEwUpvXPsAh83Z&#10;H0xOliR1t29vhIKXw8x8w2z3ozXiTj50jhXkiwwEceV0x42Cn+txvgYRIrJG45gU/FGA/W462WKh&#10;3cAXupexEQnCoUAFbYx9IWWoWrIYFq4nTl7tvMWYpG+k9jgkuDVymWXv0mLHaaHFng4tVbfy1yqQ&#10;1/I4rEvjM3de1t/m63SpySk1exs/NyAijfEV/m+ftIKPfJXD8016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nsdc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a</w:t>
                          </w:r>
                        </w:p>
                      </w:txbxContent>
                    </v:textbox>
                  </v:rect>
                  <v:rect id="Rectangle 119" o:spid="_x0000_s1133" style="position:absolute;left:5296;top:3490;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yAsMA&#10;AADdAAAADwAAAGRycy9kb3ducmV2LnhtbESP3WoCMRSE7wXfIRyhd5p1L9SuRhFB0NIb1z7AYXP2&#10;B5OTJUnd7ds3hYKXw8x8w+wOozXiST50jhUsFxkI4srpjhsFX/fzfAMiRGSNxjEp+KEAh/10ssNC&#10;u4Fv9CxjIxKEQ4EK2hj7QspQtWQxLFxPnLzaeYsxSd9I7XFIcGtknmUrabHjtNBiT6eWqkf5bRXI&#10;e3keNqXxmfvI609zvdxqckq9zcbjFkSkMb7C/+2LVvC+XO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tyAs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c</w:t>
                          </w:r>
                        </w:p>
                      </w:txbxContent>
                    </v:textbox>
                  </v:rect>
                  <v:rect id="Rectangle 120" o:spid="_x0000_s1134" style="position:absolute;left:5369;top:3490;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XmcMA&#10;AADdAAAADwAAAGRycy9kb3ducmV2LnhtbESP3WoCMRSE7wu+QziCdzWrQtXVKFIQbPHG1Qc4bM7+&#10;YHKyJKm7ffumIHg5zMw3zHY/WCMe5EPrWMFsmoEgLp1uuVZwux7fVyBCRNZoHJOCXwqw343etphr&#10;1/OFHkWsRYJwyFFBE2OXSxnKhiyGqeuIk1c5bzEm6WupPfYJbo2cZ9mHtNhyWmiwo8+GynvxYxXI&#10;a3HsV4XxmfueV2fzdbpU5JSajIfDBkSkIb7Cz/ZJK1jPl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fXmc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ti</w:t>
                          </w:r>
                        </w:p>
                      </w:txbxContent>
                    </v:textbox>
                  </v:rect>
                  <v:rect id="Rectangle 121" o:spid="_x0000_s1135" style="position:absolute;left:5461;top:3490;width:15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P7cMA&#10;AADdAAAADwAAAGRycy9kb3ducmV2LnhtbESP3WoCMRSE7wu+QziCdzWrSNXVKFIQbPHG1Qc4bM7+&#10;YHKyJKm7ffumIHg5zMw3zHY/WCMe5EPrWMFsmoEgLp1uuVZwux7fVyBCRNZoHJOCXwqw343etphr&#10;1/OFHkWsRYJwyFFBE2OXSxnKhiyGqeuIk1c5bzEm6WupPfYJbo2cZ9mHtNhyWmiwo8+GynvxYxXI&#10;a3HsV4XxmfueV2fzdbpU5JSajIfDBkSkIb7Cz/ZJK1jPl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5P7c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ve</w:t>
                          </w:r>
                        </w:p>
                      </w:txbxContent>
                    </v:textbox>
                  </v:rect>
                  <v:rect id="Rectangle 122" o:spid="_x0000_s1136" style="position:absolute;left:5619;top:3490;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qdsMA&#10;AADdAAAADwAAAGRycy9kb3ducmV2LnhtbESP3WoCMRSE7wu+QziCdzWrYNXVKFIQbPHG1Qc4bM7+&#10;YHKyJKm7ffumIHg5zMw3zHY/WCMe5EPrWMFsmoEgLp1uuVZwux7fVyBCRNZoHJOCXwqw343etphr&#10;1/OFHkWsRYJwyFFBE2OXSxnKhiyGqeuIk1c5bzEm6WupPfYJbo2cZ9mHtNhyWmiwo8+GynvxYxXI&#10;a3HsV4XxmfueV2fzdbpU5JSajIfDBkSkIb7Cz/ZJK1jPl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Lqds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 xml:space="preserve"> </w:t>
                          </w:r>
                        </w:p>
                      </w:txbxContent>
                    </v:textbox>
                  </v:rect>
                  <v:shape id="Freeform 123" o:spid="_x0000_s1137" style="position:absolute;left:1001;top:3996;width:1968;height:350;visibility:visible;mso-wrap-style:square;v-text-anchor:top" coordsize="190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WUsUA&#10;AADdAAAADwAAAGRycy9kb3ducmV2LnhtbESPUWvCMBSF3wf7D+EOfJupgtV1TUWEqowhzO0HXJpr&#10;W5bclCRq/ffLYLDHwznnO5xyPVojruRD71jBbJqBIG6c7rlV8PVZP69AhIis0TgmBXcKsK4eH0os&#10;tLvxB11PsRUJwqFABV2MQyFlaDqyGKZuIE7e2XmLMUnfSu3xluDWyHmW5dJiz2mhw4G2HTXfp4tV&#10;sKj9fmmP58NuWzcxfzO1e18ZpSZP4+YVRKQx/of/2get4GW2zOH3TXo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1ZSxQAAAN0AAAAPAAAAAAAAAAAAAAAAAJgCAABkcnMv&#10;ZG93bnJldi54bWxQSwUGAAAAAAQABAD1AAAAigMAAAAA&#10;" path="m,56r,c,25,26,,57,l1848,v32,,57,25,57,56l1905,282v,31,-25,57,-57,57l57,339c26,339,,313,,282l,56xe" fillcolor="#cfc" strokeweight="0">
                    <v:path arrowok="t" o:connecttype="custom" o:connectlocs="0,58;0,58;59,0;1909,0;1968,58;1968,291;1909,350;59,350;0,291;0,58" o:connectangles="0,0,0,0,0,0,0,0,0,0"/>
                  </v:shape>
                  <v:shape id="Freeform 124" o:spid="_x0000_s1138" style="position:absolute;left:1001;top:3996;width:1968;height:350;visibility:visible;mso-wrap-style:square;v-text-anchor:top" coordsize="190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QbsUA&#10;AADdAAAADwAAAGRycy9kb3ducmV2LnhtbESPQYvCMBSE78L+h/AW9iKaWsRqNYos7KIHD1bx/Gie&#10;bbF5KU1Wu/56Iwgeh5n5hlmsOlOLK7WusqxgNIxAEOdWV1woOB5+BlMQziNrrC2Tgn9ysFp+9BaY&#10;anvjPV0zX4gAYZeigtL7JpXS5SUZdEPbEAfvbFuDPsi2kLrFW4CbWsZRNJEGKw4LJTb0XVJ+yf6M&#10;gsPufsJtPJ5kTUzRMclPfV7/KvX12a3nIDx1/h1+tTdawWyUJPB8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9BuxQAAAN0AAAAPAAAAAAAAAAAAAAAAAJgCAABkcnMv&#10;ZG93bnJldi54bWxQSwUGAAAAAAQABAD1AAAAigMAAAAA&#10;" path="m,56r,c,25,26,,57,l1848,v32,,57,25,57,56l1905,282v,31,-25,57,-57,57l57,339c26,339,,313,,282l,56xe" filled="f" strokeweight="28e-5mm">
                    <v:stroke joinstyle="miter"/>
                    <v:path arrowok="t" o:connecttype="custom" o:connectlocs="0,58;0,58;59,0;1909,0;1968,58;1968,291;1909,350;59,350;0,291;0,58" o:connectangles="0,0,0,0,0,0,0,0,0,0"/>
                  </v:shape>
                  <v:rect id="Rectangle 125" o:spid="_x0000_s1139" style="position:absolute;left:1124;top:4074;width:11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F6L8A&#10;AADdAAAADwAAAGRycy9kb3ducmV2LnhtbERPy4rCMBTdC/5DuII7TXXhoxpFBMEZ3Fj9gEtz+8Dk&#10;piTRdv5+shiY5eG898fBGvEhH1rHChbzDARx6XTLtYLn4zLbgAgRWaNxTAp+KMDxMB7tMdeu5zt9&#10;iliLFMIhRwVNjF0uZSgbshjmriNOXOW8xZigr6X22Kdwa+Qyy1bSYsupocGOzg2Vr+JtFchHcek3&#10;hfGZ+15WN/N1vVfklJpOhtMORKQh/ov/3FetYLtYp7npTXoC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k0XovwAAAN0AAAAPAAAAAAAAAAAAAAAAAJgCAABkcnMvZG93bnJl&#10;di54bWxQSwUGAAAAAAQABAD1AAAAhAMAAAAA&#10;" filled="f" stroked="f">
                    <v:textbox style="mso-fit-shape-to-text:t" inset="0,0,0,0">
                      <w:txbxContent>
                        <w:p w:rsidR="00B247C9" w:rsidRDefault="00B247C9">
                          <w:r>
                            <w:rPr>
                              <w:rFonts w:ascii="Times New Roman" w:hAnsi="Times New Roman" w:cs="Times New Roman"/>
                              <w:color w:val="000000"/>
                              <w:sz w:val="16"/>
                              <w:szCs w:val="16"/>
                            </w:rPr>
                            <w:t>H</w:t>
                          </w:r>
                        </w:p>
                      </w:txbxContent>
                    </v:textbox>
                  </v:rect>
                  <v:rect id="Rectangle 126" o:spid="_x0000_s1140" style="position:absolute;left:1245;top:4074;width: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8MA&#10;AADdAAAADwAAAGRycy9kb3ducmV2LnhtbESPzYoCMRCE7wu+Q2jB25rRg6ujUUQQVPbi6AM0k54f&#10;TDpDknVm394IC3ssquorarMbrBFP8qF1rGA2zUAQl063XCu4346fSxAhIms0jknBLwXYbUcfG8y1&#10;6/lKzyLWIkE45KigibHLpQxlQxbD1HXEyauctxiT9LXUHvsEt0bOs2whLbacFhrs6NBQ+Sh+rAJ5&#10;K479sjA+c5d59W3Op2tFTqnJeNivQUQa4n/4r33SClazrxW836Qn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c8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I</w:t>
                          </w:r>
                        </w:p>
                      </w:txbxContent>
                    </v:textbox>
                  </v:rect>
                  <v:rect id="Rectangle 127" o:spid="_x0000_s1141" style="position:absolute;left:1297;top:4074;width:2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5ycAA&#10;AADdAAAADwAAAGRycy9kb3ducmV2LnhtbERPy4rCMBTdC/5DuAOzs6kuhk41igwIjrix+gGX5vaB&#10;yU1Jou38vVkIszyc92Y3WSOe5EPvWMEyy0EQ10733Cq4XQ+LAkSIyBqNY1LwRwF22/lsg6V2I1/o&#10;WcVWpBAOJSroYhxKKUPdkcWQuYE4cY3zFmOCvpXa45jCrZGrPP+SFntODR0O9NNRfa8eVoG8Voex&#10;qIzP3WnVnM3v8dKQU+rzY9qvQUSa4r/47T5qBd/LI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A5ycAAAADdAAAADwAAAAAAAAAAAAAAAACYAgAAZHJzL2Rvd25y&#10;ZXYueG1sUEsFBgAAAAAEAAQA9QAAAIUDAAAAAA==&#10;" filled="f" stroked="f">
                    <v:textbox style="mso-fit-shape-to-text:t" inset="0,0,0,0">
                      <w:txbxContent>
                        <w:p w:rsidR="00B247C9" w:rsidRDefault="00B247C9">
                          <w:r>
                            <w:rPr>
                              <w:rFonts w:ascii="Times New Roman" w:hAnsi="Times New Roman" w:cs="Times New Roman"/>
                              <w:color w:val="000000"/>
                              <w:sz w:val="16"/>
                              <w:szCs w:val="16"/>
                            </w:rPr>
                            <w:t>V N</w:t>
                          </w:r>
                        </w:p>
                      </w:txbxContent>
                    </v:textbox>
                  </v:rect>
                  <v:rect id="Rectangle 128" o:spid="_x0000_s1142" style="position:absolute;left:1577;top:4074;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cUsMA&#10;AADdAAAADwAAAGRycy9kb3ducmV2LnhtbESP3WoCMRSE74W+QzgF7zS7Xsh2axQRBCveuPoAh83Z&#10;H5qcLEnqbt++EYReDjPzDbPZTdaIB/nQO1aQLzMQxLXTPbcK7rfjogARIrJG45gU/FKA3fZttsFS&#10;u5Gv9KhiKxKEQ4kKuhiHUspQd2QxLN1AnLzGeYsxSd9K7XFMcGvkKsvW0mLPaaHDgQ4d1d/Vj1Ug&#10;b9VxLCrjM3deNRfzdbo25JSav0/7TxCRpvgffrVPWsFHXuTwfJ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ycUs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e</w:t>
                          </w:r>
                        </w:p>
                      </w:txbxContent>
                    </v:textbox>
                  </v:rect>
                  <v:rect id="Rectangle 129" o:spid="_x0000_s1143" style="position:absolute;left:1651;top:4074;width:15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CJcMA&#10;AADdAAAADwAAAGRycy9kb3ducmV2LnhtbESPzWrDMBCE74G+g9hCb7EcH4LjRgkhEEhDL3HyAIu1&#10;/qHSykhq7L59VSjkOMzMN8x2P1sjHuTD4FjBKstBEDdOD9wpuN9OyxJEiMgajWNS8EMB9ruXxRYr&#10;7Sa+0qOOnUgQDhUq6GMcKylD05PFkLmROHmt8xZjkr6T2uOU4NbIIs/X0uLAaaHHkY49NV/1t1Ug&#10;b/VpKmvjc3cp2k/zcb625JR6e50P7yAizfEZ/m+ftYLNqi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4CJc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ga</w:t>
                          </w:r>
                        </w:p>
                      </w:txbxContent>
                    </v:textbox>
                  </v:rect>
                  <v:rect id="Rectangle 130" o:spid="_x0000_s1144" style="position:absolute;left:1807;top:4074;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nvsMA&#10;AADdAAAADwAAAGRycy9kb3ducmV2LnhtbESP3WoCMRSE7wu+QzgF72pWC7KuRimCYKU3rj7AYXP2&#10;B5OTJUnd7dsboeDlMDPfMJvdaI24kw+dYwXzWQaCuHK640bB9XL4yEGEiKzROCYFfxRgt528bbDQ&#10;buAz3cvYiAThUKCCNsa+kDJULVkMM9cTJ6923mJM0jdSexwS3Bq5yLKltNhxWmixp31L1a38tQrk&#10;pTwMeWl85k6L+sd8H881OaWm7+PXGkSkMb7C/+2jVrCa55/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Knvs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ti</w:t>
                          </w:r>
                        </w:p>
                      </w:txbxContent>
                    </v:textbox>
                  </v:rect>
                  <v:rect id="Rectangle 131" o:spid="_x0000_s1145" style="position:absolute;left:1898;top:4074;width:15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ysMA&#10;AADdAAAADwAAAGRycy9kb3ducmV2LnhtbESP3WoCMRSE7wu+QzgF72pWKbKuRimCYKU3rj7AYXP2&#10;B5OTJUnd7dsboeDlMDPfMJvdaI24kw+dYwXzWQaCuHK640bB9XL4yEGEiKzROCYFfxRgt528bbDQ&#10;buAz3cvYiAThUKCCNsa+kDJULVkMM9cTJ6923mJM0jdSexwS3Bq5yLKltNhxWmixp31L1a38tQrk&#10;pTwMeWl85k6L+sd8H881OaWm7+PXGkSkMb7C/+2jVrCa55/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s/ys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ve</w:t>
                          </w:r>
                        </w:p>
                      </w:txbxContent>
                    </v:textbox>
                  </v:rect>
                  <v:rect id="Rectangle 132" o:spid="_x0000_s1146" style="position:absolute;left:2056;top:4074;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aUcMA&#10;AADdAAAADwAAAGRycy9kb3ducmV2LnhtbESP3WoCMRSE7wu+QzgF72pWobKuRimCYKU3rj7AYXP2&#10;B5OTJUnd7dsboeDlMDPfMJvdaI24kw+dYwXzWQaCuHK640bB9XL4yEGEiKzROCYFfxRgt528bbDQ&#10;buAz3cvYiAThUKCCNsa+kDJULVkMM9cTJ6923mJM0jdSexwS3Bq5yLKltNhxWmixp31L1a38tQrk&#10;pTwMeWl85k6L+sd8H881OaWm7+PXGkSkMb7C/+2jVrCa55/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eaUc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 xml:space="preserve"> </w:t>
                          </w:r>
                        </w:p>
                      </w:txbxContent>
                    </v:textbox>
                  </v:rect>
                  <v:shape id="Freeform 133" o:spid="_x0000_s1147" style="position:absolute;left:5722;top:5860;width:1967;height:349;visibility:visible;mso-wrap-style:square;v-text-anchor:top" coordsize="190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hS8UA&#10;AADdAAAADwAAAGRycy9kb3ducmV2LnhtbESPzWrDMBCE74G+g9hCbokcH1LXjRLagiGXUJz+nBdr&#10;I5tYKyOpsfP2VSGQ4zAz3zCb3WR7cSEfOscKVssMBHHjdMdGwddntShAhIissXdMCq4UYLd9mG2w&#10;1G7kmi7HaESCcChRQRvjUEoZmpYshqUbiJN3ct5iTNIbqT2OCW57mWfZWlrsOC20ONB7S835+GsV&#10;1B/mOzeHJz/mVahC37zVP0Wt1Pxxen0BEWmK9/CtvdcKnlfFGv7fp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aFLxQAAAN0AAAAPAAAAAAAAAAAAAAAAAJgCAABkcnMv&#10;ZG93bnJldi54bWxQSwUGAAAAAAQABAD1AAAAigMAAAAA&#10;" path="m,57r,c,25,25,,56,l1848,v31,,56,25,56,57l1904,282v,32,-25,57,-56,57l56,339c25,339,,314,,282l,57xe" fillcolor="#fc9" strokeweight="0">
                    <v:path arrowok="t" o:connecttype="custom" o:connectlocs="0,59;0,59;58,0;1909,0;1967,59;1967,290;1909,349;58,349;0,290;0,59" o:connectangles="0,0,0,0,0,0,0,0,0,0"/>
                  </v:shape>
                  <v:shape id="Freeform 134" o:spid="_x0000_s1148" style="position:absolute;left:5722;top:5860;width:1967;height:349;visibility:visible;mso-wrap-style:square;v-text-anchor:top" coordsize="190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DB8YA&#10;AADdAAAADwAAAGRycy9kb3ducmV2LnhtbESPQWvCQBSE74X+h+UVeil1kx40pq5SxYIUUbTt/ZF9&#10;JsHs25jdrvHfdwXB4zAz3zCTWW8aEahztWUF6SABQVxYXXOp4Of78zUD4TyyxsYyKbiQg9n08WGC&#10;ubZn3lHY+1JECLscFVTet7mUrqjIoBvYljh6B9sZ9FF2pdQdniPcNPItSYbSYM1xocKWFhUVx/2f&#10;UbALw7VeHtIxzV9O5muzDb/HLCj1/NR/vIPw1Pt7+NZeaQXjNBvB9U1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qDB8YAAADdAAAADwAAAAAAAAAAAAAAAACYAgAAZHJz&#10;L2Rvd25yZXYueG1sUEsFBgAAAAAEAAQA9QAAAIsDAAAAAA==&#10;" path="m,57r,c,25,25,,56,l1848,v31,,56,25,56,57l1904,282v,32,-25,57,-56,57l56,339c25,339,,314,,282l,57xe" filled="f" strokeweight="28e-5mm">
                    <v:stroke joinstyle="miter"/>
                    <v:path arrowok="t" o:connecttype="custom" o:connectlocs="0,59;0,59;58,0;1909,0;1967,59;1967,290;1909,349;58,349;0,290;0,59" o:connectangles="0,0,0,0,0,0,0,0,0,0"/>
                  </v:shape>
                  <v:rect id="Rectangle 135" o:spid="_x0000_s1149" style="position:absolute;left:6273;top:5974;width:11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1z8AA&#10;AADdAAAADwAAAGRycy9kb3ducmV2LnhtbERPy4rCMBTdC/5DuAOzs6kuhk41igwIjrix+gGX5vaB&#10;yU1Jou38vVkIszyc92Y3WSOe5EPvWMEyy0EQ10733Cq4XQ+LAkSIyBqNY1LwRwF22/lsg6V2I1/o&#10;WcVWpBAOJSroYhxKKUPdkcWQuYE4cY3zFmOCvpXa45jCrZGrPP+SFntODR0O9NNRfa8eVoG8Voex&#10;qIzP3WnVnM3v8dKQU+rzY9qvQUSa4r/47T5qBd/LI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Y1z8AAAADdAAAADwAAAAAAAAAAAAAAAACYAgAAZHJzL2Rvd25y&#10;ZXYueG1sUEsFBgAAAAAEAAQA9QAAAIUDAAAAAA==&#10;" filled="f" stroked="f">
                    <v:textbox style="mso-fit-shape-to-text:t" inset="0,0,0,0">
                      <w:txbxContent>
                        <w:p w:rsidR="00B247C9" w:rsidRDefault="00B247C9">
                          <w:r>
                            <w:rPr>
                              <w:rFonts w:ascii="Times New Roman" w:hAnsi="Times New Roman" w:cs="Times New Roman"/>
                              <w:color w:val="000000"/>
                              <w:sz w:val="16"/>
                              <w:szCs w:val="16"/>
                            </w:rPr>
                            <w:t>H</w:t>
                          </w:r>
                        </w:p>
                      </w:txbxContent>
                    </v:textbox>
                  </v:rect>
                  <v:rect id="Rectangle 136" o:spid="_x0000_s1150" style="position:absolute;left:6394;top:5974;width: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QVMMA&#10;AADdAAAADwAAAGRycy9kb3ducmV2LnhtbESPzYoCMRCE74LvEFrwphk9yDgaZREEd/Hi6AM0k54f&#10;NukMSXRm334jLOyxqKqvqP1xtEa8yIfOsYLVMgNBXDndcaPgcT8vchAhIms0jknBDwU4HqaTPRba&#10;DXyjVxkbkSAcClTQxtgXUoaqJYth6Xri5NXOW4xJ+kZqj0OCWyPXWbaRFjtOCy32dGqp+i6fVoG8&#10;l+chL43P3Ne6vprPy60mp9R8Nn7sQEQa43/4r33RCrarfAvvN+k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qQVM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I</w:t>
                          </w:r>
                        </w:p>
                      </w:txbxContent>
                    </v:textbox>
                  </v:rect>
                  <v:rect id="Rectangle 137" o:spid="_x0000_s1151" style="position:absolute;left:6446;top:5974;width:38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vFL4A&#10;AADdAAAADwAAAGRycy9kb3ducmV2LnhtbERPy4rCMBTdD/gP4QruxlQXg1ajiCDo4MbqB1ya2wcm&#10;NyWJtv69WQguD+e93g7WiCf50DpWMJtmIIhLp1uuFdyuh98FiBCRNRrHpOBFAbab0c8ac+16vtCz&#10;iLVIIRxyVNDE2OVShrIhi2HqOuLEVc5bjAn6WmqPfQq3Rs6z7E9abDk1NNjRvqHyXjysAnktDv2i&#10;MD5z//PqbE7HS0VOqcl42K1ARBriV/xxH7WC5WyZ9qc36QnI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prxS+AAAA3QAAAA8AAAAAAAAAAAAAAAAAmAIAAGRycy9kb3ducmV2&#10;LnhtbFBLBQYAAAAABAAEAPUAAACDAwAAAAA=&#10;" filled="f" stroked="f">
                    <v:textbox style="mso-fit-shape-to-text:t" inset="0,0,0,0">
                      <w:txbxContent>
                        <w:p w:rsidR="00B247C9" w:rsidRDefault="00B247C9">
                          <w:r>
                            <w:rPr>
                              <w:rFonts w:ascii="Times New Roman" w:hAnsi="Times New Roman" w:cs="Times New Roman"/>
                              <w:color w:val="000000"/>
                              <w:sz w:val="16"/>
                              <w:szCs w:val="16"/>
                            </w:rPr>
                            <w:t>V Pos</w:t>
                          </w:r>
                        </w:p>
                      </w:txbxContent>
                    </v:textbox>
                  </v:rect>
                  <v:rect id="Rectangle 138" o:spid="_x0000_s1152" style="position:absolute;left:6846;top:5974;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Kj8MA&#10;AADdAAAADwAAAGRycy9kb3ducmV2LnhtbESPzYoCMRCE74LvEFrwppnxIDoaZREEd/Hi6AM0k54f&#10;NukMSXRm334jLOyxqKqvqP1xtEa8yIfOsYJ8mYEgrpzuuFHwuJ8XGxAhIms0jknBDwU4HqaTPRba&#10;DXyjVxkbkSAcClTQxtgXUoaqJYth6Xri5NXOW4xJ+kZqj0OCWyNXWbaWFjtOCy32dGqp+i6fVoG8&#10;l+dhUxqfua9VfTWfl1tNTqn5bPzYgYg0xv/wX/uiFWzzbQ7vN+k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UKj8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it</w:t>
                          </w:r>
                        </w:p>
                      </w:txbxContent>
                    </v:textbox>
                  </v:rect>
                  <v:rect id="Rectangle 139" o:spid="_x0000_s1153" style="position:absolute;left:6939;top:5974;width:19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U+MMA&#10;AADdAAAADwAAAGRycy9kb3ducmV2LnhtbESPzYoCMRCE74LvEFrYm2acw6KjUUQQXNmLow/QTHp+&#10;MOkMSXRm394sLOyxqKqvqO1+tEa8yIfOsYLlIgNBXDndcaPgfjvNVyBCRNZoHJOCHwqw300nWyy0&#10;G/hKrzI2IkE4FKigjbEvpAxVSxbDwvXEyaudtxiT9I3UHocEt0bmWfYpLXacFlrs6dhS9SifVoG8&#10;ladhVRqfuUtef5uv87Ump9THbDxsQEQa43/4r33WCtbLdQ6/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eU+M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ive</w:t>
                          </w:r>
                        </w:p>
                      </w:txbxContent>
                    </v:textbox>
                  </v:rect>
                  <v:rect id="Rectangle 140" o:spid="_x0000_s1154" style="position:absolute;left:7140;top:5974;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xY8MA&#10;AADdAAAADwAAAGRycy9kb3ducmV2LnhtbESPzYoCMRCE7wu+Q2jB25pRYdHRKCIIKntx9AGaSc8P&#10;Jp0hyTqzb2+EhT0WVfUVtdkN1ogn+dA6VjCbZiCIS6dbrhXcb8fPJYgQkTUax6TglwLstqOPDeba&#10;9XylZxFrkSAcclTQxNjlUoayIYth6jri5FXOW4xJ+lpqj32CWyPnWfYlLbacFhrs6NBQ+Sh+rAJ5&#10;K479sjA+c5d59W3Op2tFTqnJeNivQUQa4n/4r33SClaz1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sxY8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 xml:space="preserve"> </w:t>
                          </w:r>
                        </w:p>
                      </w:txbxContent>
                    </v:textbox>
                  </v:rect>
                  <v:shape id="Freeform 141" o:spid="_x0000_s1155" style="position:absolute;left:2969;top:5860;width:1966;height:349;visibility:visible;mso-wrap-style:square;v-text-anchor:top" coordsize="190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Dk8UA&#10;AADdAAAADwAAAGRycy9kb3ducmV2LnhtbESP3WrCQBSE7wXfYTlC73SjDdpE11ACgoXeqH2AQ/aY&#10;pM2eTbObH9++Wyj0cpiZb5hDNplGDNS52rKC9SoCQVxYXXOp4ON2Wr6AcB5ZY2OZFDzIQXaczw6Y&#10;ajvyhYarL0WAsEtRQeV9m0rpiooMupVtiYN3t51BH2RXSt3hGOCmkZso2kqDNYeFClvKKyq+rr1R&#10;8Jmb910h6ylxEcbx2/fYJ8+lUk+L6XUPwtPk/8N/7bNWkKyTGH7fhCcgj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MOTxQAAAN0AAAAPAAAAAAAAAAAAAAAAAJgCAABkcnMv&#10;ZG93bnJldi54bWxQSwUGAAAAAAQABAD1AAAAigMAAAAA&#10;" path="m,57r,c,25,25,,56,l1848,v31,,56,25,56,57l1904,282v,32,-25,57,-56,57l56,339c25,339,,314,,282l,57xe" fillcolor="#c9f" strokeweight="0">
                    <v:path arrowok="t" o:connecttype="custom" o:connectlocs="0,59;0,59;58,0;1908,0;1966,59;1966,290;1908,349;58,349;0,290;0,59" o:connectangles="0,0,0,0,0,0,0,0,0,0"/>
                  </v:shape>
                  <v:shape id="Freeform 142" o:spid="_x0000_s1156" style="position:absolute;left:2969;top:5860;width:1966;height:349;visibility:visible;mso-wrap-style:square;v-text-anchor:top" coordsize="190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uNsYA&#10;AADdAAAADwAAAGRycy9kb3ducmV2LnhtbESP3WrCQBSE7wt9h+UUelN0k4JiUldpxYKUovh3f8ge&#10;k2D2bJrdrunbu0LBy2FmvmGm8940IlDnassK0mECgriwuuZSwWH/OZiAcB5ZY2OZFPyRg/ns8WGK&#10;ubYX3lLY+VJECLscFVTet7mUrqjIoBvaljh6J9sZ9FF2pdQdXiLcNPI1ScbSYM1xocKWFhUV592v&#10;UbAN42+9PKUZfbz8mK/1JhzPk6DU81P//gbCU+/v4f/2SivI0mwEt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0uNsYAAADdAAAADwAAAAAAAAAAAAAAAACYAgAAZHJz&#10;L2Rvd25yZXYueG1sUEsFBgAAAAAEAAQA9QAAAIsDAAAAAA==&#10;" path="m,57r,c,25,25,,56,l1848,v31,,56,25,56,57l1904,282v,32,-25,57,-56,57l56,339c25,339,,314,,282l,57xe" filled="f" strokeweight="28e-5mm">
                    <v:stroke joinstyle="miter"/>
                    <v:path arrowok="t" o:connecttype="custom" o:connectlocs="0,59;0,59;58,0;1908,0;1966,59;1966,290;1908,349;58,349;0,290;0,59" o:connectangles="0,0,0,0,0,0,0,0,0,0"/>
                  </v:shape>
                  <v:rect id="Rectangle 143" o:spid="_x0000_s1157" style="position:absolute;left:3530;top:5974;width: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yS+8IA&#10;AADdAAAADwAAAGRycy9kb3ducmV2LnhtbESPzYoCMRCE74LvEFrYm2b0IDoaRQTBXbw4+gDNpOcH&#10;k86QZJ3x7Y2wsMeiqr6itvvBGvEkH1rHCuazDARx6XTLtYL77TRdgQgRWaNxTApeFGC/G4+2mGvX&#10;85WeRaxFgnDIUUETY5dLGcqGLIaZ64iTVzlvMSbpa6k99glujVxk2VJabDktNNjRsaHyUfxaBfJW&#10;nPpVYXzmfhbVxXyfrxU5pb4mw2EDItIQ/8N/7bNWsJ6vl/B5k5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JL7wgAAAN0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I</w:t>
                          </w:r>
                        </w:p>
                      </w:txbxContent>
                    </v:textbox>
                  </v:rect>
                  <v:rect id="Rectangle 144" o:spid="_x0000_s1158" style="position:absolute;left:3583;top:5974;width: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3YMMA&#10;AADdAAAADwAAAGRycy9kb3ducmV2LnhtbESPzYoCMRCE7wu+Q2jB25rRg6ujUUQQVPbi6AM0k54f&#10;TDpDknVm394IC3ssquorarMbrBFP8qF1rGA2zUAQl063XCu4346fSxAhIms0jknBLwXYbUcfG8y1&#10;6/lKzyLWIkE45KigibHLpQxlQxbD1HXEyauctxiT9LXUHvsEt0bOs2whLbacFhrs6NBQ+Sh+rAJ5&#10;K479sjA+c5d59W3Op2tFTqnJeNivQUQa4n/4r33SClaz1Re836Qn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A3YM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n</w:t>
                          </w:r>
                        </w:p>
                      </w:txbxContent>
                    </v:textbox>
                  </v:rect>
                  <v:rect id="Rectangle 145" o:spid="_x0000_s1159" style="position:absolute;left:3668;top:5974;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Er4A&#10;AADdAAAADwAAAGRycy9kb3ducmV2LnhtbERPy4rCMBTdD/gP4QruxlQXg1ajiCDo4MbqB1ya2wcm&#10;NyWJtv69WQguD+e93g7WiCf50DpWMJtmIIhLp1uuFdyuh98FiBCRNRrHpOBFAbab0c8ac+16vtCz&#10;iLVIIRxyVNDE2OVShrIhi2HqOuLEVc5bjAn6WmqPfQq3Rs6z7E9abDk1NNjRvqHyXjysAnktDv2i&#10;MD5z//PqbE7HS0VOqcl42K1ARBriV/xxH7WC5WyZ5qY36QnI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foxK+AAAA3QAAAA8AAAAAAAAAAAAAAAAAmAIAAGRycy9kb3ducmV2&#10;LnhtbFBLBQYAAAAABAAEAPUAAACDAwAAAAA=&#10;" filled="f" stroked="f">
                    <v:textbox style="mso-fit-shape-to-text:t" inset="0,0,0,0">
                      <w:txbxContent>
                        <w:p w:rsidR="00B247C9" w:rsidRDefault="00B247C9">
                          <w:r>
                            <w:rPr>
                              <w:rFonts w:ascii="Times New Roman" w:hAnsi="Times New Roman" w:cs="Times New Roman"/>
                              <w:color w:val="000000"/>
                              <w:sz w:val="16"/>
                              <w:szCs w:val="16"/>
                            </w:rPr>
                            <w:t>c</w:t>
                          </w:r>
                        </w:p>
                      </w:txbxContent>
                    </v:textbox>
                  </v:rect>
                  <v:rect id="Rectangle 146" o:spid="_x0000_s1160" style="position:absolute;left:3740;top:5974;width:23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GicMA&#10;AADdAAAADwAAAGRycy9kb3ducmV2LnhtbESPzYoCMRCE74LvEFrwphk9iDNrlEUQdPHiuA/QTHp+&#10;2KQzJNEZ334jLOyxqKqvqN1htEY8yYfOsYLVMgNBXDndcaPg+35abEGEiKzROCYFLwpw2E8nOyy0&#10;G/hGzzI2IkE4FKigjbEvpAxVSxbD0vXEyaudtxiT9I3UHocEt0aus2wjLXacFlrs6dhS9VM+rAJ5&#10;L0/DtjQ+c1/r+mou51tNTqn5bPz8ABFpjP/hv/ZZK8hXeQ7vN+k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MGic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onc</w:t>
                          </w:r>
                        </w:p>
                      </w:txbxContent>
                    </v:textbox>
                  </v:rect>
                  <v:rect id="Rectangle 147" o:spid="_x0000_s1161" style="position:absolute;left:3979;top:5974;width:23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b78IA&#10;AADdAAAADwAAAGRycy9kb3ducmV2LnhtbESPzWrDMBCE74W8g9hAb40cH4rrRgklEEhKLrb7AIu1&#10;/qHSykhK7L59VQj0OMzMN8zusFgj7uTD6FjBdpOBIG6dHrlX8NWcXgoQISJrNI5JwQ8FOOxXTzss&#10;tZu5onsde5EgHEpUMMQ4lVKGdiCLYeMm4uR1zluMSfpeao9zglsj8yx7lRZHTgsDTnQcqP2ub1aB&#10;bOrTXNTGZ+4z767mcq46cko9r5ePdxCRlvgffrTPWsFbQsLfm/Q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lvvwgAAAN0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lusi</w:t>
                          </w:r>
                        </w:p>
                      </w:txbxContent>
                    </v:textbox>
                  </v:rect>
                  <v:rect id="Rectangle 148" o:spid="_x0000_s1162" style="position:absolute;left:4218;top:5974;width:15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dMMA&#10;AADdAAAADwAAAGRycy9kb3ducmV2LnhtbESP3WoCMRSE74W+QzgF7zRxL0S3RikFwUpvXH2Aw+bs&#10;D01OliR1t2/fCAUvh5n5htkdJmfFnULsPWtYLRUI4tqbnlsNt+txsQERE7JB65k0/FKEw/5ltsPS&#10;+JEvdK9SKzKEY4kaupSGUspYd+QwLv1AnL3GB4cpy9BKE3DMcGdlodRaOuw5L3Q40EdH9Xf14zTI&#10;a3UcN5UNyp+L5st+ni4Nea3nr9P7G4hEU3qG/9sno2FbqB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r+dM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ve</w:t>
                          </w:r>
                        </w:p>
                      </w:txbxContent>
                    </v:textbox>
                  </v:rect>
                  <v:rect id="Rectangle 149" o:spid="_x0000_s1163" style="position:absolute;left:4375;top:5974;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gA8MA&#10;AADdAAAADwAAAGRycy9kb3ducmV2LnhtbESP3WoCMRSE74W+QziF3mnSvRBdjSIFwUpvXH2Aw+bs&#10;DyYnS5K627dvCgUvh5n5htnuJ2fFg0LsPWt4XygQxLU3PbcabtfjfAUiJmSD1jNp+KEI+93LbIul&#10;8SNf6FGlVmQIxxI1dCkNpZSx7shhXPiBOHuNDw5TlqGVJuCY4c7KQqmldNhzXuhwoI+O6nv17TTI&#10;a3UcV5UNyp+L5st+ni4Nea3fXqfDBkSiKT3D/+2T0bAuVA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hgA8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 xml:space="preserve"> </w:t>
                          </w:r>
                        </w:p>
                      </w:txbxContent>
                    </v:textbox>
                  </v:rect>
                  <v:shape id="Freeform 150" o:spid="_x0000_s1164" style="position:absolute;left:3656;top:2888;width:1;height:233;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K7cUA&#10;AADdAAAADwAAAGRycy9kb3ducmV2LnhtbESPQWvCQBSE70L/w/IK3urGCNJEVxGhUPWktqi3Z/Y1&#10;G5p9G7Krxn/vFgoeh5n5hpnOO1uLK7W+cqxgOEhAEBdOV1wq+Np/vL2D8AFZY+2YFNzJw3z20pti&#10;rt2Nt3TdhVJECPscFZgQmlxKXxiy6AeuIY7ej2sthijbUuoWbxFua5kmyVharDguGGxoaaj43V2s&#10;ApmtOUs39nBcLc+r43d10mbUKNV/7RYTEIG68Az/tz+1gixNRvD3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grtxQAAAN0AAAAPAAAAAAAAAAAAAAAAAJgCAABkcnMv&#10;ZG93bnJldi54bWxQSwUGAAAAAAQABAD1AAAAigMAAAAA&#10;" path="m,l,,,226e" filled="f" strokeweight="28e-5mm">
                    <v:path arrowok="t" o:connecttype="custom" o:connectlocs="0,0;0,0;0,233" o:connectangles="0,0,0"/>
                  </v:shape>
                  <v:shape id="Freeform 151" o:spid="_x0000_s1165" style="position:absolute;left:1848;top:3122;width:82;height:252;visibility:visible;mso-wrap-style:square;v-text-anchor:top" coordsize="8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T7MgA&#10;AADdAAAADwAAAGRycy9kb3ducmV2LnhtbESPQU8CMRSE7yT8h+aRcIMuaBRXChHRxGiMgBiuj+1j&#10;u7J93WwLu/x7a2LicTIz32Sm89aW4ky1LxwrGA0TEMSZ0wXnCrafz4MJCB+QNZaOScGFPMxn3c4U&#10;U+0aXtN5E3IRIexTVGBCqFIpfWbIoh+6ijh6B1dbDFHWudQ1NhFuSzlOkhtpseC4YLCiR0PZcXOy&#10;Cr4vy9XV28fJvu9vv17dbvVkmsVWqX6vfbgHEagN/+G/9otWcDdOruH3TXw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KJPsyAAAAN0AAAAPAAAAAAAAAAAAAAAAAJgCAABk&#10;cnMvZG93bnJldi54bWxQSwUGAAAAAAQABAD1AAAAjQMAAAAA&#10;" path="m46,r,l46,177r-13,l33,,46,xm80,164r,l40,244,,164r80,xe" fillcolor="black" strokeweight="0">
                    <v:path arrowok="t" o:connecttype="custom" o:connectlocs="47,0;47,0;47,183;34,183;34,0;47,0;82,169;82,169;41,252;0,169;82,169" o:connectangles="0,0,0,0,0,0,0,0,0,0,0"/>
                    <o:lock v:ext="edit" verticies="t"/>
                  </v:shape>
                  <v:shape id="Freeform 152" o:spid="_x0000_s1166" style="position:absolute;left:5388;top:3122;width:82;height:252;visibility:visible;mso-wrap-style:square;v-text-anchor:top" coordsize="8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2d8gA&#10;AADdAAAADwAAAGRycy9kb3ducmV2LnhtbESPQU8CMRSE7yT8h+aRcIMuGBVXChHRxGiMgBiuj+1j&#10;u7J93WwLu/x7a2LicTIz32Sm89aW4ky1LxwrGA0TEMSZ0wXnCrafz4MJCB+QNZaOScGFPMxn3c4U&#10;U+0aXtN5E3IRIexTVGBCqFIpfWbIoh+6ijh6B1dbDFHWudQ1NhFuSzlOkhtpseC4YLCiR0PZcXOy&#10;Cr4vy9XV28fJvu9vv17dbvVkmsVWqX6vfbgHEagN/+G/9otWcDdOruH3TXw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ZDZ3yAAAAN0AAAAPAAAAAAAAAAAAAAAAAJgCAABk&#10;cnMvZG93bnJldi54bWxQSwUGAAAAAAQABAD1AAAAjQMAAAAA&#10;" path="m47,r,l47,177r-13,l34,,47,xm80,164r,l40,244,,164r80,xe" fillcolor="black" strokeweight="0">
                    <v:path arrowok="t" o:connecttype="custom" o:connectlocs="48,0;48,0;48,183;35,183;35,0;48,0;82,169;82,169;41,252;0,169;82,169" o:connectangles="0,0,0,0,0,0,0,0,0,0,0"/>
                    <o:lock v:ext="edit" verticies="t"/>
                  </v:shape>
                  <v:shape id="Freeform 153" o:spid="_x0000_s1167" style="position:absolute;left:3952;top:3996;width:2753;height:815;visibility:visible;mso-wrap-style:square;v-text-anchor:top" coordsize="2666,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Db8YA&#10;AADdAAAADwAAAGRycy9kb3ducmV2LnhtbESPQWsCMRSE7wX/Q3hCbzWrBWlXo0hLoRWEar14e2ye&#10;mzWblyVJde2vb4RCj8PMfMPMl71rxZlCbDwrGI8KEMSV1w3XCvZfbw9PIGJC1th6JgVXirBcDO7m&#10;WGp/4S2dd6kWGcKxRAUmpa6UMlaGHMaR74izd/TBYcoy1FIHvGS4a+WkKKbSYcN5wWBHL4Yqu/t2&#10;Cg728+d1vN7Yxy6c3MfB7JmtVep+2K9mIBL16T/8137XCp4nxRRu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SDb8YAAADdAAAADwAAAAAAAAAAAAAAAACYAgAAZHJz&#10;L2Rvd25yZXYueG1sUEsFBgAAAAAEAAQA9QAAAIsDAAAAAA==&#10;" path="m,131r,c,59,59,,132,l2534,v73,,132,59,132,131l2666,658v,73,-59,132,-132,132l132,790c59,790,,731,,658l,131xe" filled="f" strokeweight="28e-5mm">
                    <v:stroke joinstyle="miter"/>
                    <v:path arrowok="t" o:connecttype="custom" o:connectlocs="0,135;0,135;136,0;2617,0;2753,135;2753,679;2617,815;136,815;0,679;0,135" o:connectangles="0,0,0,0,0,0,0,0,0,0"/>
                  </v:shape>
                  <v:rect id="Rectangle 154" o:spid="_x0000_s1168" style="position:absolute;left:4321;top:4132;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m8MA&#10;AADdAAAADwAAAGRycy9kb3ducmV2LnhtbESP3WoCMRSE74W+QziF3mnSvah2a5RSEKx44+oDHDZn&#10;f2hysiSpu337RhC8HGbmG2a9nZwVVwqx96zhdaFAENfe9NxquJx38xWImJANWs+k4Y8ibDdPszWW&#10;xo98omuVWpEhHEvU0KU0lFLGuiOHceEH4uw1PjhMWYZWmoBjhjsrC6XepMOe80KHA311VP9Uv06D&#10;PFe7cVXZoPyhaI72e39qyGv98jx9foBINKVH+N7eGw3vhVr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Dm8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S</w:t>
                          </w:r>
                        </w:p>
                      </w:txbxContent>
                    </v:textbox>
                  </v:rect>
                  <v:rect id="Rectangle 155" o:spid="_x0000_s1169" style="position:absolute;left:4414;top:4132;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X6b8A&#10;AADdAAAADwAAAGRycy9kb3ducmV2LnhtbERPy2oCMRTdC/2HcAvuNOksxE6NIoKgxY2jH3CZ3HnQ&#10;5GZIUmf8+2YhdHk4781uclY8KMTes4aPpQJBXHvTc6vhfjsu1iBiQjZoPZOGJ0XYbd9mGyyNH/lK&#10;jyq1IodwLFFDl9JQShnrjhzGpR+IM9f44DBlGFppAo453FlZKLWSDnvODR0OdOio/ql+nQZ5q47j&#10;urJB+e+iudjz6dqQ13r+Pu2/QCSa0r/45T4ZDZ+Fyn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sFfpvwAAAN0AAAAPAAAAAAAAAAAAAAAAAJgCAABkcnMvZG93bnJl&#10;di54bWxQSwUGAAAAAAQABAD1AAAAhAMAAAAA&#10;" filled="f" stroked="f">
                    <v:textbox style="mso-fit-shape-to-text:t" inset="0,0,0,0">
                      <w:txbxContent>
                        <w:p w:rsidR="00B247C9" w:rsidRDefault="00B247C9">
                          <w:r>
                            <w:rPr>
                              <w:rFonts w:ascii="Times New Roman" w:hAnsi="Times New Roman" w:cs="Times New Roman"/>
                              <w:color w:val="000000"/>
                              <w:sz w:val="16"/>
                              <w:szCs w:val="16"/>
                            </w:rPr>
                            <w:t>e</w:t>
                          </w:r>
                        </w:p>
                      </w:txbxContent>
                    </v:textbox>
                  </v:rect>
                  <v:rect id="Rectangle 156" o:spid="_x0000_s1170" style="position:absolute;left:4486;top:4132;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ycsMA&#10;AADdAAAADwAAAGRycy9kb3ducmV2LnhtbESP3WoCMRSE74W+QziF3mnSvSi6NUopCFq8cfUBDpuz&#10;PzQ5WZLUXd++EQQvh5n5hllvJ2fFlULsPWt4XygQxLU3PbcaLufdfAkiJmSD1jNpuFGE7eZltsbS&#10;+JFPdK1SKzKEY4kaupSGUspYd+QwLvxAnL3GB4cpy9BKE3DMcGdlodSHdNhzXuhwoO+O6t/qz2mQ&#10;52o3LisblP8pmqM97E8Nea3fXqevTxCJpvQMP9p7o2FVqB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zycs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c</w:t>
                          </w:r>
                        </w:p>
                      </w:txbxContent>
                    </v:textbox>
                  </v:rect>
                  <v:rect id="Rectangle 157" o:spid="_x0000_s1171" style="position:absolute;left:4559;top:4132;width:39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Mr8A&#10;AADdAAAADwAAAGRycy9kb3ducmV2LnhtbERPy4rCMBTdD/gP4QruxtQuxOkYRQRBxY11PuDS3D4w&#10;uSlJtPXvzUKY5eG819vRGvEkHzrHChbzDARx5XTHjYK/2+F7BSJEZI3GMSl4UYDtZvK1xkK7ga/0&#10;LGMjUgiHAhW0MfaFlKFqyWKYu544cbXzFmOCvpHa45DCrZF5li2lxY5TQ4s97Vuq7uXDKpC38jCs&#10;SuMzd87rizkdrzU5pWbTcfcLItIY/8Uf91Er+MkXaX9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H80yvwAAAN0AAAAPAAAAAAAAAAAAAAAAAJgCAABkcnMvZG93bnJl&#10;di54bWxQSwUGAAAAAAQABAD1AAAAhAMAAAAA&#10;" filled="f" stroked="f">
                    <v:textbox style="mso-fit-shape-to-text:t" inset="0,0,0,0">
                      <w:txbxContent>
                        <w:p w:rsidR="00B247C9" w:rsidRDefault="00B247C9">
                          <w:r>
                            <w:rPr>
                              <w:rFonts w:ascii="Times New Roman" w:hAnsi="Times New Roman" w:cs="Times New Roman"/>
                              <w:color w:val="000000"/>
                              <w:sz w:val="16"/>
                              <w:szCs w:val="16"/>
                            </w:rPr>
                            <w:t>ond H</w:t>
                          </w:r>
                        </w:p>
                      </w:txbxContent>
                    </v:textbox>
                  </v:rect>
                  <v:rect id="Rectangle 158" o:spid="_x0000_s1172" style="position:absolute;left:4968;top:4132;width: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oqcMA&#10;AADdAAAADwAAAGRycy9kb3ducmV2LnhtbESPzWrDMBCE74G+g9hCb7FsH0LiRgkhEEhDL3HyAIu1&#10;/qHSykhq7L59VSjkOMzMN8x2P1sjHuTD4FhBkeUgiBunB+4U3G+n5RpEiMgajWNS8EMB9ruXxRYr&#10;7Sa+0qOOnUgQDhUq6GMcKylD05PFkLmROHmt8xZjkr6T2uOU4NbIMs9X0uLAaaHHkY49NV/1t1Ug&#10;b/VpWtfG5+5Stp/m43xtySn19jof3kFEmuMz/N8+awWbsij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Noqc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I</w:t>
                          </w:r>
                        </w:p>
                      </w:txbxContent>
                    </v:textbox>
                  </v:rect>
                  <v:rect id="Rectangle 159" o:spid="_x0000_s1173" style="position:absolute;left:5021;top:4132;width:3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23sIA&#10;AADdAAAADwAAAGRycy9kb3ducmV2LnhtbESPzYoCMRCE7wu+Q2jB25pxDuLOGmVZEFS8OPoAzaTn&#10;h006QxKd8e2NIOyxqKqvqPV2tEbcyYfOsYLFPANBXDndcaPgetl9rkCEiKzROCYFDwqw3Uw+1lho&#10;N/CZ7mVsRIJwKFBBG2NfSBmqliyGueuJk1c7bzEm6RupPQ4Jbo3Ms2wpLXacFlrs6bel6q+8WQXy&#10;Uu6GVWl85o55fTKH/bkmp9RsOv58g4g0xv/wu73XCr7yRQ6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fbewgAAAN0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V Ra</w:t>
                          </w:r>
                        </w:p>
                      </w:txbxContent>
                    </v:textbox>
                  </v:rect>
                  <v:rect id="Rectangle 160" o:spid="_x0000_s1174" style="position:absolute;left:5365;top:4132;width:34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uqsMA&#10;AADdAAAADwAAAGRycy9kb3ducmV2LnhtbESP3WoCMRSE7wXfIRyhd5p1QbGrUUQQtPTGtQ9w2Jz9&#10;weRkSVJ3+/ZNoeDlMDPfMLvDaI14kg+dYwXLRQaCuHK640bB1/0834AIEVmjcUwKfijAYT+d7LDQ&#10;buAbPcvYiAThUKCCNsa+kDJULVkMC9cTJ6923mJM0jdSexwS3BqZZ9laWuw4LbTY06ml6lF+WwXy&#10;Xp6HTWl85j7y+tNcL7eanFJvs/G4BRFpjK/wf/uiFbzny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huqs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pid T</w:t>
                          </w:r>
                        </w:p>
                      </w:txbxContent>
                    </v:textbox>
                  </v:rect>
                  <v:rect id="Rectangle 161" o:spid="_x0000_s1175" style="position:absolute;left:5720;top:4132;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e</w:t>
                          </w:r>
                        </w:p>
                      </w:txbxContent>
                    </v:textbox>
                  </v:rect>
                  <v:rect id="Rectangle 162" o:spid="_x0000_s1176" style="position:absolute;left:5792;top:413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 xml:space="preserve">st </w:t>
                          </w:r>
                        </w:p>
                      </w:txbxContent>
                    </v:textbox>
                  </v:rect>
                  <v:rect id="Rectangle 163" o:spid="_x0000_s1177" style="position:absolute;left:5946;top:4132;width: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A+cIA&#10;AADcAAAADwAAAGRycy9kb3ducmV2LnhtbESP3WoCMRSE74W+QzhC7zTRC5WtUUQQrPTG1Qc4bM7+&#10;0ORkSVJ3+/amUPBymJlvmO1+dFY8KMTOs4bFXIEgrrzpuNFwv51mGxAxIRu0nknDL0XY794mWyyM&#10;H/hKjzI1IkM4FqihTakvpIxVSw7j3PfE2at9cJiyDI00AYcMd1YulVpJhx3nhRZ7OrZUfZc/ToO8&#10;ladhU9qg/GVZf9nP87Umr/X7dDx8gEg0plf4v302GtZqB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D5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w:t>
                          </w:r>
                        </w:p>
                      </w:txbxContent>
                    </v:textbox>
                  </v:rect>
                  <v:rect id="Rectangle 164" o:spid="_x0000_s1178" style="position:absolute;left:6002;top:4132;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sa</w:t>
                          </w:r>
                        </w:p>
                      </w:txbxContent>
                    </v:textbox>
                  </v:rect>
                  <v:rect id="Rectangle 165" o:spid="_x0000_s1179" style="position:absolute;left:6139;top:4132;width:19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rsidR="00B247C9" w:rsidRDefault="00B247C9">
                          <w:r>
                            <w:rPr>
                              <w:rFonts w:ascii="Times New Roman" w:hAnsi="Times New Roman" w:cs="Times New Roman"/>
                              <w:color w:val="000000"/>
                              <w:sz w:val="16"/>
                              <w:szCs w:val="16"/>
                            </w:rPr>
                            <w:t xml:space="preserve">me </w:t>
                          </w:r>
                        </w:p>
                      </w:txbxContent>
                    </v:textbox>
                  </v:rect>
                  <v:rect id="Rectangle 166" o:spid="_x0000_s1180" style="position:absolute;left:5068;top:4327;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Ui8IA&#10;AADcAAAADwAAAGRycy9kb3ducmV2LnhtbESP3WoCMRSE74W+QzgF7zSpF9VujSIFwUpvXH2Aw+bs&#10;DyYnS5K627c3QsHLYWa+Ydbb0VlxoxA7zxre5goEceVNx42Gy3k/W4GICdmg9Uwa/ijCdvMyWWNh&#10;/MAnupWpERnCsUANbUp9IWWsWnIY574nzl7tg8OUZWikCThkuLNyodS7dNhxXmixp6+Wqmv56zTI&#10;c7kfVqUNyh8X9Y/9Ppxq8lpPX8fdJ4hEY3qG/9sHo2GpPuB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L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sa</w:t>
                          </w:r>
                        </w:p>
                      </w:txbxContent>
                    </v:textbox>
                  </v:rect>
                  <v:rect id="Rectangle 167" o:spid="_x0000_s1181" style="position:absolute;left:5205;top:4327;width:24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rsidR="00B247C9" w:rsidRDefault="00B247C9">
                          <w:r>
                            <w:rPr>
                              <w:rFonts w:ascii="Times New Roman" w:hAnsi="Times New Roman" w:cs="Times New Roman"/>
                              <w:color w:val="000000"/>
                              <w:sz w:val="16"/>
                              <w:szCs w:val="16"/>
                            </w:rPr>
                            <w:t>mpl</w:t>
                          </w:r>
                        </w:p>
                      </w:txbxContent>
                    </v:textbox>
                  </v:rect>
                  <v:rect id="Rectangle 168" o:spid="_x0000_s1182" style="position:absolute;left:5463;top:4327;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e</w:t>
                          </w:r>
                        </w:p>
                      </w:txbxContent>
                    </v:textbox>
                  </v:rect>
                  <v:rect id="Rectangle 169" o:spid="_x0000_s1183" style="position:absolute;left:5535;top:4327;width: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QJ8IA&#10;AADcAAAADwAAAGRycy9kb3ducmV2LnhtbESPzYoCMRCE7wu+Q2jB25pxDq7M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9An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w:t>
                          </w:r>
                        </w:p>
                      </w:txbxContent>
                    </v:textbox>
                  </v:rect>
                  <v:rect id="Rectangle 170" o:spid="_x0000_s1184" style="position:absolute;left:5592;top:4327;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1vMIA&#10;AADcAAAADwAAAGRycy9kb3ducmV2LnhtbESPzYoCMRCE74LvEFrwphkV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3W8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 xml:space="preserve"> </w:t>
                          </w:r>
                        </w:p>
                      </w:txbxContent>
                    </v:textbox>
                  </v:rect>
                  <v:shape id="Freeform 171" o:spid="_x0000_s1185" style="position:absolute;left:2969;top:5278;width:1966;height:349;visibility:visible;mso-wrap-style:square;v-text-anchor:top" coordsize="190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QOYcUA&#10;AADcAAAADwAAAGRycy9kb3ducmV2LnhtbESP0YrCMBRE34X9h3CFfdNUEZVqFNlliy8qWj/g2lzb&#10;YnPTbbLa9euNIPg4zMwZZr5sTSWu1LjSsoJBPwJBnFldcq7gmP70piCcR9ZYWSYF/+RgufjozDHW&#10;9sZ7uh58LgKEXYwKCu/rWEqXFWTQ9W1NHLyzbQz6IJtc6gZvAW4qOYyisTRYclgosKavgrLL4c8o&#10;uKfRbpOs6/R7O9r+nvJkaDeXRKnPbruagfDU+nf41V5rBZPBC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A5hxQAAANwAAAAPAAAAAAAAAAAAAAAAAJgCAABkcnMv&#10;ZG93bnJldi54bWxQSwUGAAAAAAQABAD1AAAAigMAAAAA&#10;" path="m,56r,c,25,25,,56,l1848,v31,,56,25,56,56l1904,282v,31,-25,56,-56,56l56,338c25,338,,313,,282l,56xe" filled="f" strokeweight="28e-5mm">
                    <v:stroke joinstyle="miter"/>
                    <v:path arrowok="t" o:connecttype="custom" o:connectlocs="0,58;0,58;58,0;1908,0;1966,58;1966,291;1908,349;58,349;0,291;0,58" o:connectangles="0,0,0,0,0,0,0,0,0,0"/>
                  </v:shape>
                  <v:rect id="Rectangle 172" o:spid="_x0000_s1186" style="position:absolute;left:3521;top:5392;width:2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Non</w:t>
                          </w:r>
                        </w:p>
                      </w:txbxContent>
                    </v:textbox>
                  </v:rect>
                  <v:rect id="Rectangle 173" o:spid="_x0000_s1187" style="position:absolute;left:3805;top:5392;width: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WJMIA&#10;AADcAAAADwAAAGRycy9kb3ducmV2LnhtbESPzYoCMRCE78K+Q2jBm5PRgyu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NYk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w:t>
                          </w:r>
                        </w:p>
                      </w:txbxContent>
                    </v:textbox>
                  </v:rect>
                  <v:rect id="Rectangle 174" o:spid="_x0000_s1188" style="position:absolute;left:3860;top:5392;width:1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zv8EA&#10;AADcAAAADwAAAGRycy9kb3ducmV2LnhtbESPzYoCMRCE7wu+Q2jB25rRg8poFBEEV/bi6AM0k54f&#10;TDpDEp3ZtzcLgseiqr6iNrvBGvEkH1rHCmbTDARx6XTLtYLb9fi9AhEiskbjmBT8UYDddvS1wVy7&#10;ni/0LGItEoRDjgqaGLtcylA2ZDFMXUecvMp5izFJX0vtsU9wa+Q8yxbSYstpocGODg2V9+JhFchr&#10;cexXhfGZO8+rX/NzulTklJqMh/0aRKQhfsLv9kkrWM6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gc7/BAAAA3AAAAA8AAAAAAAAAAAAAAAAAmAIAAGRycy9kb3du&#10;cmV2LnhtbFBLBQYAAAAABAAEAPUAAACGAwAAAAA=&#10;" filled="f" stroked="f">
                    <v:textbox style="mso-fit-shape-to-text:t" inset="0,0,0,0">
                      <w:txbxContent>
                        <w:p w:rsidR="00B247C9" w:rsidRDefault="00B247C9">
                          <w:r>
                            <w:rPr>
                              <w:rFonts w:ascii="Times New Roman" w:hAnsi="Times New Roman" w:cs="Times New Roman"/>
                              <w:color w:val="000000"/>
                              <w:sz w:val="16"/>
                              <w:szCs w:val="16"/>
                            </w:rPr>
                            <w:t>re</w:t>
                          </w:r>
                        </w:p>
                      </w:txbxContent>
                    </v:textbox>
                  </v:rect>
                  <v:rect id="Rectangle 175" o:spid="_x0000_s1189" style="position:absolute;left:3988;top:5392;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rsidR="00B247C9" w:rsidRDefault="00B247C9">
                          <w:r>
                            <w:rPr>
                              <w:rFonts w:ascii="Times New Roman" w:hAnsi="Times New Roman" w:cs="Times New Roman"/>
                              <w:color w:val="000000"/>
                              <w:sz w:val="16"/>
                              <w:szCs w:val="16"/>
                            </w:rPr>
                            <w:t>a</w:t>
                          </w:r>
                        </w:p>
                      </w:txbxContent>
                    </v:textbox>
                  </v:rect>
                  <v:rect id="Rectangle 176" o:spid="_x0000_s1190" style="position:absolute;left:4061;top:5392;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c</w:t>
                          </w:r>
                        </w:p>
                      </w:txbxContent>
                    </v:textbox>
                  </v:rect>
                  <v:rect id="Rectangle 177" o:spid="_x0000_s1191" style="position:absolute;left:4134;top:5392;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rsidR="00B247C9" w:rsidRDefault="00B247C9">
                          <w:r>
                            <w:rPr>
                              <w:rFonts w:ascii="Times New Roman" w:hAnsi="Times New Roman" w:cs="Times New Roman"/>
                              <w:color w:val="000000"/>
                              <w:sz w:val="16"/>
                              <w:szCs w:val="16"/>
                            </w:rPr>
                            <w:t>ti</w:t>
                          </w:r>
                        </w:p>
                      </w:txbxContent>
                    </v:textbox>
                  </v:rect>
                  <v:rect id="Rectangle 178" o:spid="_x0000_s1192" style="position:absolute;left:4227;top:5392;width:15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7cIA&#10;AADcAAAADwAAAGRycy9kb3ducmV2LnhtbESPzYoCMRCE7wu+Q2jB25pxDq7M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YTt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ve</w:t>
                          </w:r>
                        </w:p>
                      </w:txbxContent>
                    </v:textbox>
                  </v:rect>
                  <v:rect id="Rectangle 179" o:spid="_x0000_s1193" style="position:absolute;left:4384;top:5392;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amsIA&#10;AADcAAAADwAAAGRycy9kb3ducmV2LnhtbESPzYoCMRCE74LvEFrYm2acgyuzRhFBUNmL4z5AM+n5&#10;waQzJNEZ394sLOyxqKqvqM1utEY8yYfOsYLlIgNBXDndcaPg53acr0GEiKzROCYFLwqw204nGyy0&#10;G/hKzzI2IkE4FKigjbEvpAxVSxbDwvXEyaudtxiT9I3UHocEt0bmWbaSFjtOCy32dGipupcPq0De&#10;yuOwLo3P3CWvv835dK3JKfUxG/dfICKN8T/81z5pBZ95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xqa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 xml:space="preserve"> </w:t>
                          </w:r>
                        </w:p>
                      </w:txbxContent>
                    </v:textbox>
                  </v:rect>
                  <v:shape id="Freeform 180" o:spid="_x0000_s1194" style="position:absolute;left:5722;top:5278;width:1967;height:349;visibility:visible;mso-wrap-style:square;v-text-anchor:top" coordsize="190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cqMYA&#10;AADcAAAADwAAAGRycy9kb3ducmV2LnhtbESP0WrCQBRE34X+w3ILvtVNo9iSZiOlxeCLSk0/4DZ7&#10;mwSzd9PsqtGvd4WCj8PMnGHSxWBacaTeNZYVPE8iEMSl1Q1XCr6L5dMrCOeRNbaWScGZHCyyh1GK&#10;ibYn/qLjzlciQNglqKD2vkukdGVNBt3EdsTB+7W9QR9kX0nd4ynATSvjKJpLgw2HhRo7+qip3O8O&#10;RsGliLbrfNUVn5vZ5u+nymO73udKjR+H9zcQngZ/D/+3V1rBSzyF25l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FcqMYAAADcAAAADwAAAAAAAAAAAAAAAACYAgAAZHJz&#10;L2Rvd25yZXYueG1sUEsFBgAAAAAEAAQA9QAAAIsDAAAAAA==&#10;" path="m,56r,c,25,25,,56,l1848,v31,,56,25,56,56l1904,282v,31,-25,56,-56,56l56,338c25,338,,313,,282l,56xe" filled="f" strokeweight="28e-5mm">
                    <v:stroke joinstyle="miter"/>
                    <v:path arrowok="t" o:connecttype="custom" o:connectlocs="0,58;0,58;58,0;1909,0;1967,58;1967,291;1909,349;58,349;0,291;0,58" o:connectangles="0,0,0,0,0,0,0,0,0,0"/>
                  </v:shape>
                  <v:rect id="Rectangle 181" o:spid="_x0000_s1195" style="position:absolute;left:6417;top:5392;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ndcIA&#10;AADcAAAADwAAAGRycy9kb3ducmV2LnhtbESP3WoCMRSE7wXfIRzBO826S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id1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R</w:t>
                          </w:r>
                        </w:p>
                      </w:txbxContent>
                    </v:textbox>
                  </v:rect>
                  <v:rect id="Rectangle 182" o:spid="_x0000_s1196" style="position:absolute;left:6528;top:5392;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e</w:t>
                          </w:r>
                        </w:p>
                      </w:txbxContent>
                    </v:textbox>
                  </v:rect>
                  <v:rect id="Rectangle 183" o:spid="_x0000_s1197" style="position:absolute;left:6600;top:5392;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a</w:t>
                          </w:r>
                        </w:p>
                      </w:txbxContent>
                    </v:textbox>
                  </v:rect>
                  <v:rect id="Rectangle 184" o:spid="_x0000_s1198" style="position:absolute;left:6672;top:5392;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5AsIA&#10;AADcAAAADwAAAGRycy9kb3ducmV2LnhtbESPzYoCMRCE7wu+Q+gFb2tm56AyGmVZEFT24ugDNJOe&#10;H0w6QxKd8e3NguCxqKqvqPV2tEbcyYfOsYLvWQaCuHK640bB5bz7WoIIEVmjcUwKHhRgu5l8rLHQ&#10;buAT3cvYiAThUKCCNsa+kDJULVkMM9cTJ6923mJM0jdSexwS3BqZZ9lcWuw4LbTY029L1bW8WQXy&#10;XO6GZWl85o55/WcO+1NNTqnp5/izAhFpjO/wq73XChb5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kC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c</w:t>
                          </w:r>
                        </w:p>
                      </w:txbxContent>
                    </v:textbox>
                  </v:rect>
                  <v:rect id="Rectangle 185" o:spid="_x0000_s1199" style="position:absolute;left:6746;top:5392;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tcL4A&#10;AADcAAAADwAAAGRycy9kb3ducmV2LnhtbERPy4rCMBTdC/5DuMLsNLWLUapRRBAcmY3VD7g0tw9M&#10;bkoSbefvzWLA5eG8t/vRGvEiHzrHCpaLDARx5XTHjYL77TRfgwgRWaNxTAr+KMB+N51ssdBu4Cu9&#10;ytiIFMKhQAVtjH0hZahashgWridOXO28xZigb6T2OKRwa2SeZd/SYsepocWeji1Vj/JpFchbeRrW&#10;pfGZu+T1r/k5X2tySn3NxsMGRKQxfsT/7rNWsMrT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TLXC+AAAA3AAAAA8AAAAAAAAAAAAAAAAAmAIAAGRycy9kb3ducmV2&#10;LnhtbFBLBQYAAAAABAAEAPUAAACDAwAAAAA=&#10;" filled="f" stroked="f">
                    <v:textbox style="mso-fit-shape-to-text:t" inset="0,0,0,0">
                      <w:txbxContent>
                        <w:p w:rsidR="00B247C9" w:rsidRDefault="00B247C9">
                          <w:r>
                            <w:rPr>
                              <w:rFonts w:ascii="Times New Roman" w:hAnsi="Times New Roman" w:cs="Times New Roman"/>
                              <w:color w:val="000000"/>
                              <w:sz w:val="16"/>
                              <w:szCs w:val="16"/>
                            </w:rPr>
                            <w:t>ti</w:t>
                          </w:r>
                        </w:p>
                      </w:txbxContent>
                    </v:textbox>
                  </v:rect>
                  <v:rect id="Rectangle 186" o:spid="_x0000_s1200" style="position:absolute;left:6838;top:5392;width:15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8IA&#10;AADcAAAADwAAAGRycy9kb3ducmV2LnhtbESP3WoCMRSE7wu+QziCdzXrXlhdjSKCoKU3rj7AYXP2&#10;B5OTJUnd7dubQqGXw8x8w2z3ozXiST50jhUs5hkI4srpjhsF99vpfQUiRGSNxjEp+KEA+93kbYuF&#10;dgNf6VnGRiQIhwIVtDH2hZShaslimLueOHm18xZjkr6R2uOQ4NbIPMuW0mLHaaHFno4tVY/y2yqQ&#10;t/I0rErjM/eZ11/mcr7W5JSaTcfDBkSkMf6H/9pnreAjX8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4jr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ve</w:t>
                          </w:r>
                        </w:p>
                      </w:txbxContent>
                    </v:textbox>
                  </v:rect>
                  <v:rect id="Rectangle 187" o:spid="_x0000_s1201" style="position:absolute;left:6996;top:5392;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3q78A&#10;AADcAAAADwAAAGRycy9kb3ducmV2LnhtbERPy4rCMBTdC/MP4Q7MTtNRUK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LervwAAANwAAAAPAAAAAAAAAAAAAAAAAJgCAABkcnMvZG93bnJl&#10;di54bWxQSwUGAAAAAAQABAD1AAAAhAMAAAAA&#10;" filled="f" stroked="f">
                    <v:textbox style="mso-fit-shape-to-text:t" inset="0,0,0,0">
                      <w:txbxContent>
                        <w:p w:rsidR="00B247C9" w:rsidRDefault="00B247C9">
                          <w:r>
                            <w:rPr>
                              <w:rFonts w:ascii="Times New Roman" w:hAnsi="Times New Roman" w:cs="Times New Roman"/>
                              <w:color w:val="000000"/>
                              <w:sz w:val="16"/>
                              <w:szCs w:val="16"/>
                            </w:rPr>
                            <w:t xml:space="preserve"> </w:t>
                          </w:r>
                        </w:p>
                      </w:txbxContent>
                    </v:textbox>
                  </v:rect>
                  <v:shape id="Freeform 188" o:spid="_x0000_s1202" style="position:absolute;left:1985;top:6676;width:3933;height:815;visibility:visible;mso-wrap-style:square;v-text-anchor:top" coordsize="380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xksYA&#10;AADcAAAADwAAAGRycy9kb3ducmV2LnhtbESPT2vCQBTE74LfYXmF3nSjBS0xGxHtH0F6MNWDt0f2&#10;mQ3Nvk2zW43fvlsQehxm5jdMtuxtIy7U+dqxgsk4AUFcOl1zpeDw+Tp6BuEDssbGMSm4kYdlPhxk&#10;mGp35T1dilCJCGGfogITQptK6UtDFv3YtcTRO7vOYoiyq6Tu8BrhtpHTJJlJizXHBYMtrQ2VX8WP&#10;VeDk6fi++/h+25hqFV52h9LM9l6px4d+tQARqA//4Xt7qxXMnyb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VxksYAAADcAAAADwAAAAAAAAAAAAAAAACYAgAAZHJz&#10;L2Rvd25yZXYueG1sUEsFBgAAAAAEAAQA9QAAAIsDAAAAAA==&#10;" path="m,131r,c,58,59,,131,l3677,v72,,131,58,131,131l3808,658v,73,-59,132,-131,132l131,790c59,790,,731,,658l,131xe" filled="f" strokeweight="28e-5mm">
                    <v:stroke joinstyle="miter"/>
                    <v:path arrowok="t" o:connecttype="custom" o:connectlocs="0,135;0,135;135,0;3798,0;3933,135;3933,679;3798,815;135,815;0,679;0,135" o:connectangles="0,0,0,0,0,0,0,0,0,0"/>
                  </v:shape>
                  <v:rect id="Rectangle 189" o:spid="_x0000_s1203" style="position:absolute;left:2258;top:6813;width:1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MR8IA&#10;AADcAAAADwAAAGRycy9kb3ducmV2LnhtbESP3WoCMRSE7wXfIRzBO826Qi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oxH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R</w:t>
                          </w:r>
                        </w:p>
                      </w:txbxContent>
                    </v:textbox>
                  </v:rect>
                  <v:rect id="Rectangle 190" o:spid="_x0000_s1204" style="position:absolute;left:2368;top:6813;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e</w:t>
                          </w:r>
                        </w:p>
                      </w:txbxContent>
                    </v:textbox>
                  </v:rect>
                  <v:rect id="Rectangle 191" o:spid="_x0000_s1205" style="position:absolute;left:2442;top:6813;width:15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pe</w:t>
                          </w:r>
                        </w:p>
                      </w:txbxContent>
                    </v:textbox>
                  </v:rect>
                  <v:rect id="Rectangle 192" o:spid="_x0000_s1206" style="position:absolute;left:2597;top:6813;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KRMIA&#10;AADcAAAADwAAAGRycy9kb3ducmV2LnhtbESPzYoCMRCE74LvEFrYm2ZUc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YpE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a</w:t>
                          </w:r>
                        </w:p>
                      </w:txbxContent>
                    </v:textbox>
                  </v:rect>
                  <v:rect id="Rectangle 193" o:spid="_x0000_s1207" style="position:absolute;left:2669;top:6813;width:17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hTcIA&#10;AADcAAAADwAAAGRycy9kb3ducmV2LnhtbESPzYoCMRCE74LvEFrwphlF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mFN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t F</w:t>
                          </w:r>
                        </w:p>
                      </w:txbxContent>
                    </v:textbox>
                  </v:rect>
                  <v:rect id="Rectangle 194" o:spid="_x0000_s1208" style="position:absolute;left:2848;top:6813;width:67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sIA&#10;AADcAAAADwAAAGRycy9kb3ducmV2LnhtbESP3WoCMRSE7wXfIRzBO826S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P86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irst and Se</w:t>
                          </w:r>
                        </w:p>
                      </w:txbxContent>
                    </v:textbox>
                  </v:rect>
                  <v:rect id="Rectangle 195" o:spid="_x0000_s1209" style="position:absolute;left:3547;top:6813;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cosIA&#10;AADcAAAADwAAAGRycy9kb3ducmV2LnhtbESPzYoCMRCE74LvEFrwphlF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1yi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c</w:t>
                          </w:r>
                        </w:p>
                      </w:txbxContent>
                    </v:textbox>
                  </v:rect>
                  <v:rect id="Rectangle 196" o:spid="_x0000_s1210" style="position:absolute;left:3619;top:6813;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I0L8A&#10;AADcAAAADwAAAGRycy9kb3ducmV2LnhtbERPy4rCMBTdC/MP4Q7MTtMRUa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TMjQvwAAANwAAAAPAAAAAAAAAAAAAAAAAJgCAABkcnMvZG93bnJl&#10;di54bWxQSwUGAAAAAAQABAD1AAAAhAMAAAAA&#10;" filled="f" stroked="f">
                    <v:textbox style="mso-fit-shape-to-text:t" inset="0,0,0,0">
                      <w:txbxContent>
                        <w:p w:rsidR="00B247C9" w:rsidRDefault="00B247C9">
                          <w:r>
                            <w:rPr>
                              <w:rFonts w:ascii="Times New Roman" w:hAnsi="Times New Roman" w:cs="Times New Roman"/>
                              <w:color w:val="000000"/>
                              <w:sz w:val="16"/>
                              <w:szCs w:val="16"/>
                            </w:rPr>
                            <w:t xml:space="preserve">ond </w:t>
                          </w:r>
                        </w:p>
                      </w:txbxContent>
                    </v:textbox>
                  </v:rect>
                  <v:rect id="Rectangle 197" o:spid="_x0000_s1211" style="position:absolute;left:3910;top:6813;width:11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tS8IA&#10;AADcAAAADwAAAGRycy9kb3ducmV2LnhtbESP3WoCMRSE7wu+QziCdzWrSN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G1L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H</w:t>
                          </w:r>
                        </w:p>
                      </w:txbxContent>
                    </v:textbox>
                  </v:rect>
                  <v:rect id="Rectangle 198" o:spid="_x0000_s1212" style="position:absolute;left:4031;top:6813;width: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SC78A&#10;AADcAAAADwAAAGRycy9kb3ducmV2LnhtbERPy4rCMBTdC/MP4Q7MTtMRfFCNIgOCDm5s/YBLc/vA&#10;5KYk0da/nywGXB7Oe7sfrRFP8qFzrOB7loEgrpzuuFFwK4/TNYgQkTUax6TgRQH2u4/JFnPtBr7S&#10;s4iNSCEcclTQxtjnUoaqJYth5nrixNXOW4wJ+kZqj0MKt0bOs2wpLXacGlrs6ael6l48rAJZFsdh&#10;XRifud95fTHn07Ump9TX53jYgIg0xrf4333SClaL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41ILvwAAANwAAAAPAAAAAAAAAAAAAAAAAJgCAABkcnMvZG93bnJl&#10;di54bWxQSwUGAAAAAAQABAD1AAAAhAMAAAAA&#10;" filled="f" stroked="f">
                    <v:textbox style="mso-fit-shape-to-text:t" inset="0,0,0,0">
                      <w:txbxContent>
                        <w:p w:rsidR="00B247C9" w:rsidRDefault="00B247C9">
                          <w:r>
                            <w:rPr>
                              <w:rFonts w:ascii="Times New Roman" w:hAnsi="Times New Roman" w:cs="Times New Roman"/>
                              <w:color w:val="000000"/>
                              <w:sz w:val="16"/>
                              <w:szCs w:val="16"/>
                            </w:rPr>
                            <w:t>I</w:t>
                          </w:r>
                        </w:p>
                      </w:txbxContent>
                    </v:textbox>
                  </v:rect>
                  <v:rect id="Rectangle 199" o:spid="_x0000_s1213" style="position:absolute;left:4084;top:6813;width:2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kMIA&#10;AADcAAAADwAAAGRycy9kb3ducmV2LnhtbESPzYoCMRCE74LvEFrwphkFXR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eQ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V R</w:t>
                          </w:r>
                        </w:p>
                      </w:txbxContent>
                    </v:textbox>
                  </v:rect>
                  <v:rect id="Rectangle 200" o:spid="_x0000_s1214" style="position:absolute;left:4356;top:6813;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p58IA&#10;AADcAAAADwAAAGRycy9kb3ducmV2LnhtbESP3WoCMRSE7wXfIRzBO826Y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Wnn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a</w:t>
                          </w:r>
                        </w:p>
                      </w:txbxContent>
                    </v:textbox>
                  </v:rect>
                  <v:rect id="Rectangle 201" o:spid="_x0000_s1215" style="position:absolute;left:4428;top:6813;width:34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MfMIA&#10;AADcAAAADwAAAGRycy9kb3ducmV2LnhtbESP3WoCMRSE7wu+QziCdzWrUp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cx8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pid T</w:t>
                          </w:r>
                        </w:p>
                      </w:txbxContent>
                    </v:textbox>
                  </v:rect>
                  <v:rect id="Rectangle 202" o:spid="_x0000_s1216" style="position:absolute;left:4782;top:6813;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UCMIA&#10;AADcAAAADwAAAGRycy9kb3ducmV2LnhtbESP3WoCMRSE7wu+QziCdzWrWJ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FQI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e</w:t>
                          </w:r>
                        </w:p>
                      </w:txbxContent>
                    </v:textbox>
                  </v:rect>
                  <v:rect id="Rectangle 203" o:spid="_x0000_s1217" style="position:absolute;left:4855;top:6813;width:36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xk8IA&#10;AADcAAAADwAAAGRycy9kb3ducmV2LnhtbESPzYoCMRCE74LvEFrwphkFf5g1igiCLl4c9wGaSc8P&#10;Jp0hyTqzb79ZWPBYVNVX1O4wWCNe5EPrWMFinoEgLp1uuVbw9TjPtiBCRNZoHJOCHwpw2I9HO8y1&#10;6/lOryLWIkE45KigibHLpQxlQxbD3HXEyauctxiT9LXUHvsEt0Yus2wtLbacFhrs6NRQ+Sy+rQL5&#10;KM79tjA+c5/L6maul3tFTqnpZDh+gIg0xHf4v33RCj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PGT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st foll</w:t>
                          </w:r>
                        </w:p>
                      </w:txbxContent>
                    </v:textbox>
                  </v:rect>
                  <v:rect id="Rectangle 204" o:spid="_x0000_s1218" style="position:absolute;left:5237;top:6813;width:3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v5MIA&#10;AADcAAAADwAAAGRycy9kb3ducmV2LnhtbESPzYoCMRCE74LvEFrYm2YUd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m/k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owin</w:t>
                          </w:r>
                        </w:p>
                      </w:txbxContent>
                    </v:textbox>
                  </v:rect>
                  <v:rect id="Rectangle 205" o:spid="_x0000_s1219" style="position:absolute;left:5568;top:6813;width: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Kf8IA&#10;AADcAAAADwAAAGRycy9kb3ducmV2LnhtbESPzYoCMRCE74LvEFrwphkFV5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sp/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g</w:t>
                          </w:r>
                        </w:p>
                      </w:txbxContent>
                    </v:textbox>
                  </v:rect>
                  <v:rect id="Rectangle 206" o:spid="_x0000_s1220" style="position:absolute;left:5650;top:6813;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eDb8A&#10;AADcAAAADwAAAGRycy9kb3ducmV2LnhtbERPy4rCMBTdC/MP4Q7MTtMRfFCNIgOCDm5s/YBLc/vA&#10;5KYk0da/nywGXB7Oe7sfrRFP8qFzrOB7loEgrpzuuFFwK4/TNYgQkTUax6TgRQH2u4/JFnPtBr7S&#10;s4iNSCEcclTQxtjnUoaqJYth5nrixNXOW4wJ+kZqj0MKt0bOs2wpLXacGlrs6ael6l48rAJZFsdh&#10;XRifud95fTHn07Ump9TX53jYgIg0xrf4333SClaL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lV4NvwAAANwAAAAPAAAAAAAAAAAAAAAAAJgCAABkcnMvZG93bnJl&#10;di54bWxQSwUGAAAAAAQABAD1AAAAhAMAAAAA&#10;" filled="f" stroked="f">
                    <v:textbox style="mso-fit-shape-to-text:t" inset="0,0,0,0">
                      <w:txbxContent>
                        <w:p w:rsidR="00B247C9" w:rsidRDefault="00B247C9">
                          <w:r>
                            <w:rPr>
                              <w:rFonts w:ascii="Times New Roman" w:hAnsi="Times New Roman" w:cs="Times New Roman"/>
                              <w:color w:val="000000"/>
                              <w:sz w:val="16"/>
                              <w:szCs w:val="16"/>
                            </w:rPr>
                            <w:t xml:space="preserve"> </w:t>
                          </w:r>
                        </w:p>
                      </w:txbxContent>
                    </v:textbox>
                  </v:rect>
                  <v:rect id="Rectangle 207" o:spid="_x0000_s1221" style="position:absolute;left:3260;top:7002;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7lsIA&#10;AADcAAAADwAAAGRycy9kb3ducmV2LnhtbESP3WoCMRSE7wu+QziCdzWrYN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fuW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sa</w:t>
                          </w:r>
                        </w:p>
                      </w:txbxContent>
                    </v:textbox>
                  </v:rect>
                  <v:rect id="Rectangle 208" o:spid="_x0000_s1222" style="position:absolute;left:3397;top:7002;width:3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YtsAA&#10;AADcAAAADwAAAGRycy9kb3ducmV2LnhtbERPS2rDMBDdF3IHMYHsGrlZpMa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YtsAAAADcAAAADwAAAAAAAAAAAAAAAACYAgAAZHJzL2Rvd25y&#10;ZXYueG1sUEsFBgAAAAAEAAQA9QAAAIUDAAAAAA==&#10;" filled="f" stroked="f">
                    <v:textbox style="mso-fit-shape-to-text:t" inset="0,0,0,0">
                      <w:txbxContent>
                        <w:p w:rsidR="00B247C9" w:rsidRDefault="00B247C9">
                          <w:r>
                            <w:rPr>
                              <w:rFonts w:ascii="Times New Roman" w:hAnsi="Times New Roman" w:cs="Times New Roman"/>
                              <w:color w:val="000000"/>
                              <w:sz w:val="16"/>
                              <w:szCs w:val="16"/>
                            </w:rPr>
                            <w:t>me a</w:t>
                          </w:r>
                        </w:p>
                      </w:txbxContent>
                    </v:textbox>
                  </v:rect>
                  <v:rect id="Rectangle 209" o:spid="_x0000_s1223" style="position:absolute;left:3712;top:7002;width:4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9LcIA&#10;AADcAAAADwAAAGRycy9kb3ducmV2LnhtbESPzYoCMRCE78K+Q2jBm5PRgyuzRlkEQcWL4z5AM+n5&#10;YZPOkGSd8e2NIOyxqKqvqM1utEbcyYfOsYJFloMgrpzuuFHwczvM1yBCRNZoHJOCBwXYbT8mGyy0&#10;G/hK9zI2IkE4FKigjbEvpAxVSxZD5nri5NXOW4xJ+kZqj0OCWyOXeb6SFjtOCy32tG+p+i3/rAJ5&#10;Kw/DujQ+d+dlfTGn47Ump9RsOn5/gYg0xv/wu33UCj5X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z0t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l</w:t>
                          </w:r>
                        </w:p>
                      </w:txbxContent>
                    </v:textbox>
                  </v:rect>
                  <v:rect id="Rectangle 210" o:spid="_x0000_s1224" style="position:absolute;left:3761;top:7002;width: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jWsIA&#10;AADcAAAADwAAAGRycy9kb3ducmV2LnhtbESPzYoCMRCE78K+Q2hhb5pxDq6MRhFBcMWLow/QTHp+&#10;MOkMSdaZfXuzIOyxqKqvqM1utEY8yYfOsYLFPANBXDndcaPgfjvOViBCRNZoHJOCXwqw235MNlho&#10;N/CVnmVsRIJwKFBBG2NfSBmqliyGueuJk1c7bzEm6RupPQ4Jbo3Ms2wpLXacFlrs6dBS9Sh/rAJ5&#10;K4/DqjQ+c+e8vpjv07Ump9TndNyvQUQa43/43T5pBV/L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aNa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g</w:t>
                          </w:r>
                        </w:p>
                      </w:txbxContent>
                    </v:textbox>
                  </v:rect>
                  <v:rect id="Rectangle 211" o:spid="_x0000_s1225" style="position:absolute;left:3841;top:7002;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0GwcIA&#10;AADcAAAADwAAAGRycy9kb3ducmV2LnhtbESPzYoCMRCE74LvEFrYm2ZUc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QbB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or</w:t>
                          </w:r>
                        </w:p>
                      </w:txbxContent>
                    </v:textbox>
                  </v:rect>
                  <v:rect id="Rectangle 212" o:spid="_x0000_s1226" style="position:absolute;left:3979;top:7002;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etcIA&#10;AADcAAAADwAAAGRycy9kb3ducmV2LnhtbESPzYoCMRCE74LvEFrYm2YUcW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J61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it</w:t>
                          </w:r>
                        </w:p>
                      </w:txbxContent>
                    </v:textbox>
                  </v:rect>
                  <v:rect id="Rectangle 213" o:spid="_x0000_s1227" style="position:absolute;left:4071;top:7002;width:35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LsIA&#10;AADcAAAADwAAAGRycy9kb3ducmV2LnhtbESPzYoCMRCE74LvEFrYm2YUd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su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hm fr</w:t>
                          </w:r>
                        </w:p>
                      </w:txbxContent>
                    </v:textbox>
                  </v:rect>
                  <v:rect id="Rectangle 214" o:spid="_x0000_s1228" style="position:absolute;left:4433;top:7002;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lWcIA&#10;AADcAAAADwAAAGRycy9kb3ducmV2LnhtbESPzYoCMRCE78K+Q2hhb5rRw6yMRhFBcMWLow/QTHp+&#10;MOkMSdaZfXuzIOyxqKqvqM1utEY8yYfOsYLFPANBXDndcaPgfjvOViBCRNZoHJOCXwqw235MNlho&#10;N/CVnmVsRIJwKFBBG2NfSBmqliyGueuJk1c7bzEm6RupPQ4Jbo1cZlkuLXacFlrs6dBS9Sh/rAJ5&#10;K4/DqjQ+c+dlfTHfp2tNTqnP6bhfg4g0xv/wu33SCr7y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qVZ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om</w:t>
                          </w:r>
                        </w:p>
                      </w:txbxContent>
                    </v:textbox>
                  </v:rect>
                  <v:rect id="Rectangle 215" o:spid="_x0000_s1229" style="position:absolute;left:4647;top:7002;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AwsEA&#10;AADcAAAADwAAAGRycy9kb3ducmV2LnhtbESPzYoCMRCE7wu+Q2jB25rRg8qsUUQQVLw47gM0k54f&#10;TDpDEp3x7Y2wsMeiqr6i1tvBGvEkH1rHCmbTDARx6XTLtYLf2+F7BSJEZI3GMSl4UYDtZvS1xly7&#10;nq/0LGItEoRDjgqaGLtcylA2ZDFMXUecvMp5izFJX0vtsU9wa+Q8yxbSYstpocGO9g2V9+JhFchb&#10;cehXhfGZO8+rizkdrxU5pSbjYfcDItIQ/8N/7aNWsFws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mAMLBAAAA3AAAAA8AAAAAAAAAAAAAAAAAmAIAAGRycy9kb3du&#10;cmV2LnhtbFBLBQYAAAAABAAEAPUAAACGAwAAAAA=&#10;" filled="f" stroked="f">
                    <v:textbox style="mso-fit-shape-to-text:t" inset="0,0,0,0">
                      <w:txbxContent>
                        <w:p w:rsidR="00B247C9" w:rsidRDefault="00B247C9">
                          <w:r>
                            <w:rPr>
                              <w:rFonts w:ascii="Times New Roman" w:hAnsi="Times New Roman" w:cs="Times New Roman"/>
                              <w:color w:val="000000"/>
                              <w:sz w:val="16"/>
                              <w:szCs w:val="16"/>
                            </w:rPr>
                            <w:t xml:space="preserve"> </w:t>
                          </w:r>
                        </w:p>
                      </w:txbxContent>
                    </v:textbox>
                  </v:rect>
                  <v:rect id="Rectangle 216" o:spid="_x0000_s1230" style="position:absolute;left:3623;top:7192;width:15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w3cMA&#10;AADdAAAADwAAAGRycy9kb3ducmV2LnhtbESPzYoCMRCE7wu+Q2jB25pxDuLOGkUEwRUvjvsAzaTn&#10;B5POkERn9u2NIOyxqKqvqPV2tEY8yIfOsYLFPANBXDndcaPg93r4XIEIEVmjcUwK/ijAdjP5WGOh&#10;3cAXepSxEQnCoUAFbYx9IWWoWrIY5q4nTl7tvMWYpG+k9jgkuDUyz7KltNhxWmixp31L1a28WwXy&#10;Wh6GVWl85k55fTY/x0tNTqnZdNx9g4g0xv/wu33UCr7yxR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rw3c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be</w:t>
                          </w:r>
                        </w:p>
                      </w:txbxContent>
                    </v:textbox>
                  </v:rect>
                  <v:rect id="Rectangle 217" o:spid="_x0000_s1231" style="position:absolute;left:3778;top:7192;width: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VRsMA&#10;AADdAAAADwAAAGRycy9kb3ducmV2LnhtbESP3WoCMRSE7wXfIRyhd5p1L9SuRhFB0NIb1z7AYXP2&#10;B5OTJUnd7ds3hYKXw8x8w+wOozXiST50jhUsFxkI4srpjhsFX/fzfAMiRGSNxjEp+KEAh/10ssNC&#10;u4Fv9CxjIxKEQ4EK2hj7QspQtWQxLFxPnLzaeYsxSd9I7XFIcGtknmUrabHjtNBiT6eWqkf5bRXI&#10;e3keNqXxmfvI609zvdxqckq9zcbjFkSkMb7C/+2LVvCeL9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ZVRs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g</w:t>
                          </w:r>
                        </w:p>
                      </w:txbxContent>
                    </v:textbox>
                  </v:rect>
                  <v:rect id="Rectangle 218" o:spid="_x0000_s1232" style="position:absolute;left:3860;top:7192;width:24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BNL8A&#10;AADdAAAADwAAAGRycy9kb3ducmV2LnhtbERPy4rCMBTdD/gP4QruxtQuxOkYRQRBxY11PuDS3D4w&#10;uSlJtPXvzUKY5eG819vRGvEkHzrHChbzDARx5XTHjYK/2+F7BSJEZI3GMSl4UYDtZvK1xkK7ga/0&#10;LGMjUgiHAhW0MfaFlKFqyWKYu544cbXzFmOCvpHa45DCrZF5li2lxY5TQ4s97Vuq7uXDKpC38jCs&#10;SuMzd87rizkdrzU5pWbTcfcLItIY/8Uf91Er+MkXaW5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acE0vwAAAN0AAAAPAAAAAAAAAAAAAAAAAJgCAABkcnMvZG93bnJl&#10;di54bWxQSwUGAAAAAAQABAD1AAAAhAMAAAAA&#10;" filled="f" stroked="f">
                    <v:textbox style="mso-fit-shape-to-text:t" inset="0,0,0,0">
                      <w:txbxContent>
                        <w:p w:rsidR="00B247C9" w:rsidRDefault="00B247C9">
                          <w:r>
                            <w:rPr>
                              <w:rFonts w:ascii="Times New Roman" w:hAnsi="Times New Roman" w:cs="Times New Roman"/>
                              <w:color w:val="000000"/>
                              <w:sz w:val="16"/>
                              <w:szCs w:val="16"/>
                            </w:rPr>
                            <w:t>inni</w:t>
                          </w:r>
                        </w:p>
                      </w:txbxContent>
                    </v:textbox>
                  </v:rect>
                  <v:rect id="Rectangle 219" o:spid="_x0000_s1233" style="position:absolute;left:4117;top:7192;width: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r8MA&#10;AADdAAAADwAAAGRycy9kb3ducmV2LnhtbESPzYoCMRCE74LvEFrYm2acw6KjUUQQXNmLow/QTHp+&#10;MOkMSXRm394sLOyxqKqvqO1+tEa8yIfOsYLlIgNBXDndcaPgfjvNVyBCRNZoHJOCHwqw300nWyy0&#10;G/hKrzI2IkE4FKigjbEvpAxVSxbDwvXEyaudtxiT9I3UHocEt0bmWfYpLXacFlrs6dhS9SifVoG8&#10;ladhVRqfuUtef5uv87Ump9THbDxsQEQa43/4r33WCtb5cg2/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kr8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n</w:t>
                          </w:r>
                        </w:p>
                      </w:txbxContent>
                    </v:textbox>
                  </v:rect>
                  <v:rect id="Rectangle 220" o:spid="_x0000_s1234" style="position:absolute;left:4202;top:7192;width: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Hj78A&#10;AADdAAAADwAAAGRycy9kb3ducmV2LnhtbERPy4rCMBTdC/5DuMLsNLWLwalGEUFQmY3VD7g0tw9M&#10;bkoSbf17sxiY5eG8N7vRGvEiHzrHCpaLDARx5XTHjYL77ThfgQgRWaNxTAreFGC3nU42WGg38JVe&#10;ZWxECuFQoII2xr6QMlQtWQwL1xMnrnbeYkzQN1J7HFK4NTLPsm9psePU0GJPh5aqR/m0CuStPA6r&#10;0vjMXfL615xP15qcUl+zcb8GEWmM/+I/90kr+Mnz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cwePvwAAAN0AAAAPAAAAAAAAAAAAAAAAAJgCAABkcnMvZG93bnJl&#10;di54bWxQSwUGAAAAAAQABAD1AAAAhAMAAAAA&#10;" filled="f" stroked="f">
                    <v:textbox style="mso-fit-shape-to-text:t" inset="0,0,0,0">
                      <w:txbxContent>
                        <w:p w:rsidR="00B247C9" w:rsidRDefault="00B247C9">
                          <w:r>
                            <w:rPr>
                              <w:rFonts w:ascii="Times New Roman" w:hAnsi="Times New Roman" w:cs="Times New Roman"/>
                              <w:color w:val="000000"/>
                              <w:sz w:val="16"/>
                              <w:szCs w:val="16"/>
                            </w:rPr>
                            <w:t>g</w:t>
                          </w:r>
                        </w:p>
                      </w:txbxContent>
                    </v:textbox>
                  </v:rect>
                  <v:rect id="Rectangle 221" o:spid="_x0000_s1235" style="position:absolute;left:4284;top:7192;width:41;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FMIA&#10;AADdAAAADwAAAGRycy9kb3ducmV2LnhtbESPzYoCMRCE7wu+Q2jB25pxDuLOGmVZEFS8OPoAzaTn&#10;h006QxKd8e2NIOyxqKqvqPV2tEbcyYfOsYLFPANBXDndcaPgetl9rkCEiKzROCYFDwqw3Uw+1lho&#10;N/CZ7mVsRIJwKFBBG2NfSBmqliyGueuJk1c7bzEm6RupPQ4Jbo3Ms2wpLXacFlrs6bel6q+8WQXy&#10;Uu6GVWl85o55fTKH/bkmp9RsOv58g4g0xv/wu73XCr7yfAG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6IUwgAAAN0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 xml:space="preserve"> </w:t>
                          </w:r>
                        </w:p>
                      </w:txbxContent>
                    </v:textbox>
                  </v:rect>
                  <v:shape id="Freeform 222" o:spid="_x0000_s1236" style="position:absolute;left:1944;top:3763;width:83;height:233;visibility:visible;mso-wrap-style:square;v-text-anchor:top" coordsize="8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J8sYA&#10;AADdAAAADwAAAGRycy9kb3ducmV2LnhtbESP3WrCQBSE7wu+w3KE3tVNUtqamFXaUEGlCP7dH7LH&#10;JDR7NmRXTd/eLRR6OczMN0y+GEwrrtS7xrKCeBKBIC6tbrhScDwsn6YgnEfW2FomBT/kYDEfPeSY&#10;aXvjHV33vhIBwi5DBbX3XSalK2sy6Ca2Iw7e2fYGfZB9JXWPtwA3rUyi6FUabDgs1NhRUVP5vb8Y&#10;BS9vbuXiIi1Sc1rqj83ndv38dVHqcTy8z0B4Gvx/+K+90grSJEng9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RJ8sYAAADdAAAADwAAAAAAAAAAAAAAAACYAgAAZHJz&#10;L2Rvd25yZXYueG1sUEsFBgAAAAAEAAQA9QAAAIsDAAAAAA==&#10;" path="m46,r,l46,159r-13,l33,,46,xm80,146r,l40,226,,146r80,xe" fillcolor="black" strokeweight="0">
                    <v:path arrowok="t" o:connecttype="custom" o:connectlocs="48,0;48,0;48,164;34,164;34,0;48,0;83,151;83,151;42,233;0,151;83,151" o:connectangles="0,0,0,0,0,0,0,0,0,0,0"/>
                    <o:lock v:ext="edit" verticies="t"/>
                  </v:shape>
                  <v:shape id="Freeform 223" o:spid="_x0000_s1237" style="position:absolute;left:5287;top:3763;width:83;height:233;visibility:visible;mso-wrap-style:square;v-text-anchor:top" coordsize="8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sacYA&#10;AADdAAAADwAAAGRycy9kb3ducmV2LnhtbESPQWvCQBSE74X+h+UJ3nRjxLaJrtIGBStSqK33R/aZ&#10;hGbfhuyaxH/fLQg9DjPzDbPaDKYWHbWusqxgNo1AEOdWV1wo+P7aTV5AOI+ssbZMCm7kYLN+fFhh&#10;qm3Pn9SdfCEChF2KCkrvm1RKl5dk0E1tQxy8i20N+iDbQuoW+wA3tYyj6EkarDgslNhQVlL+c7oa&#10;BYtnt3ezLMkSc97pt8P2431+vCo1Hg2vSxCeBv8fvrf3WkESx3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jsacYAAADdAAAADwAAAAAAAAAAAAAAAACYAgAAZHJz&#10;L2Rvd25yZXYueG1sUEsFBgAAAAAEAAQA9QAAAIsDAAAAAA==&#10;" path="m47,r,l47,159r-14,l33,,47,xm80,146r,l40,226,,146r80,xe" fillcolor="black" strokeweight="0">
                    <v:path arrowok="t" o:connecttype="custom" o:connectlocs="49,0;49,0;49,164;34,164;34,0;49,0;83,151;83,151;42,233;0,151;83,151" o:connectangles="0,0,0,0,0,0,0,0,0,0,0"/>
                    <o:lock v:ext="edit" verticies="t"/>
                  </v:shape>
                  <v:shape id="Freeform 224" o:spid="_x0000_s1238" style="position:absolute;left:5329;top:4811;width:1;height:234;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7O+cYA&#10;AADdAAAADwAAAGRycy9kb3ducmV2LnhtbESPQWvCQBSE74L/YXlCb3VjWkoTXUWEQm1PWkW9PbPP&#10;bDD7NmS3mv77riB4HGbmG2Yy62wtLtT6yrGC0TABQVw4XXGpYPPz8fwOwgdkjbVjUvBHHmbTfm+C&#10;uXZXXtFlHUoRIexzVGBCaHIpfWHIoh+6hjh6J9daDFG2pdQtXiPc1jJNkjdpseK4YLChhaHivP61&#10;CmT2xVn6bXf75eK43G+rgzYvjVJPg24+BhGoC4/wvf2pFWRp+gq3N/EJ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7O+cYAAADdAAAADwAAAAAAAAAAAAAAAACYAgAAZHJz&#10;L2Rvd25yZXYueG1sUEsFBgAAAAAEAAQA9QAAAIsDAAAAAA==&#10;" path="m,l,,,226e" filled="f" strokeweight="28e-5mm">
                    <v:path arrowok="t" o:connecttype="custom" o:connectlocs="0,0;0,0;0,234" o:connectangles="0,0,0"/>
                  </v:shape>
                  <v:shape id="Freeform 225" o:spid="_x0000_s1239" style="position:absolute;left:3952;top:5045;width:2753;height:1;visibility:visible;mso-wrap-style:square;v-text-anchor:top" coordsize="26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5Z5sYA&#10;AADdAAAADwAAAGRycy9kb3ducmV2LnhtbESPQWvCQBSE70L/w/IKvenGlIqmbkQFoRVBql5ye2Rf&#10;k5Ds27C7avrv3UKhx2FmvmGWq8F04kbON5YVTCcJCOLS6oYrBZfzbjwH4QOyxs4yKfghD6v8abTE&#10;TNs7f9HtFCoRIewzVFCH0GdS+rImg35ie+LofVtnMETpKqkd3iPcdDJNkpk02HBcqLGnbU1le7oa&#10;BfPiWJTpZ7FutX89XNwUq81xr9TL87B+BxFoCP/hv/aHVrBI0zf4fROfgMw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5Z5sYAAADdAAAADwAAAAAAAAAAAAAAAACYAgAAZHJz&#10;L2Rvd25yZXYueG1sUEsFBgAAAAAEAAQA9QAAAIsDAAAAAA==&#10;" path="m,l,,2666,e" filled="f" strokeweight="28e-5mm">
                    <v:path arrowok="t" o:connecttype="custom" o:connectlocs="0,0;0,0;2753,0" o:connectangles="0,0,0"/>
                  </v:shape>
                  <v:shape id="Freeform 226" o:spid="_x0000_s1240" style="position:absolute;left:3910;top:5045;width:83;height:233;visibility:visible;mso-wrap-style:square;v-text-anchor:top" coordsize="8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9P8cYA&#10;AADdAAAADwAAAGRycy9kb3ducmV2LnhtbESP3WrCQBSE7wXfYTkF7+rGiNakrtIGBStS8Kf3h+xp&#10;EsyeDdlV49u7hYKXw8x8w8yXnanFlVpXWVYwGkYgiHOrKy4UnI7r1xkI55E11pZJwZ0cLBf93hxT&#10;bW+8p+vBFyJA2KWooPS+SaV0eUkG3dA2xMH7ta1BH2RbSN3iLcBNLeMomkqDFYeFEhvKSsrPh4tR&#10;MHlzGzfKkiwxP2v9uV19f413F6UGL93HOwhPnX+G/9sbrSCJ4yn8vQ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9P8cYAAADdAAAADwAAAAAAAAAAAAAAAACYAgAAZHJz&#10;L2Rvd25yZXYueG1sUEsFBgAAAAAEAAQA9QAAAIsDAAAAAA==&#10;" path="m47,r,l47,159r-14,l33,,47,xm80,146r,l40,226,,146r80,xe" fillcolor="black" strokeweight="0">
                    <v:path arrowok="t" o:connecttype="custom" o:connectlocs="49,0;49,0;49,164;34,164;34,0;49,0;83,151;83,151;42,233;0,151;83,151" o:connectangles="0,0,0,0,0,0,0,0,0,0,0"/>
                    <o:lock v:ext="edit" verticies="t"/>
                  </v:shape>
                  <v:shape id="Freeform 227" o:spid="_x0000_s1241" style="position:absolute;left:6664;top:5045;width:83;height:233;visibility:visible;mso-wrap-style:square;v-text-anchor:top" coordsize="8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qasYA&#10;AADdAAAADwAAAGRycy9kb3ducmV2LnhtbESP3WrCQBSE7wXfYTkF73RjxGpSV2mDgpVS8Kf3h+xp&#10;EsyeDdlV49u7hYKXw8x8wyxWnanFlVpXWVYwHkUgiHOrKy4UnI6b4RyE88gaa8uk4E4OVst+b4Gp&#10;tjfe0/XgCxEg7FJUUHrfpFK6vCSDbmQb4uD92tagD7ItpG7xFuCmlnEUvUqDFYeFEhvKSsrPh4tR&#10;MJ25rRtnSZaYn43+2K2/PydfF6UGL937GwhPnX+G/9tbrSCJ4xn8vQ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PqasYAAADdAAAADwAAAAAAAAAAAAAAAACYAgAAZHJz&#10;L2Rvd25yZXYueG1sUEsFBgAAAAAEAAQA9QAAAIsDAAAAAA==&#10;" path="m47,r,l47,159r-14,l33,,47,xm80,146r,l40,226,,146r80,xe" fillcolor="black" strokeweight="0">
                    <v:path arrowok="t" o:connecttype="custom" o:connectlocs="49,0;49,0;49,164;34,164;34,0;49,0;83,151;83,151;42,233;0,151;83,151" o:connectangles="0,0,0,0,0,0,0,0,0,0,0"/>
                    <o:lock v:ext="edit" verticies="t"/>
                  </v:shape>
                  <v:shape id="Freeform 228" o:spid="_x0000_s1242" style="position:absolute;left:3910;top:5627;width:83;height:233;visibility:visible;mso-wrap-style:square;v-text-anchor:top" coordsize="8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GMMA&#10;AADdAAAADwAAAGRycy9kb3ducmV2LnhtbERPTWvCQBC9C/6HZYTezMaUapO6ShsqaClC1d6H7JgE&#10;s7Mhu2r89+5B8Ph43/Nlbxpxoc7VlhVMohgEcWF1zaWCw341fgfhPLLGxjIpuJGD5WI4mGOm7ZX/&#10;6LLzpQgh7DJUUHnfZlK6oiKDLrItceCOtjPoA+xKqTu8hnDTyCSOp9JgzaGhwpbyiorT7mwUvM3c&#10;2k3yNE/N/0p//XxvN6+/Z6VeRv3nBwhPvX+KH+61VpAmSZgb3o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x+GMMAAADdAAAADwAAAAAAAAAAAAAAAACYAgAAZHJzL2Rv&#10;d25yZXYueG1sUEsFBgAAAAAEAAQA9QAAAIgDAAAAAA==&#10;" path="m47,r,l47,159r-14,l33,,47,xm80,146r,l40,226,,146r80,xe" fillcolor="black" strokeweight="0">
                    <v:path arrowok="t" o:connecttype="custom" o:connectlocs="49,0;49,0;49,164;34,164;34,0;49,0;83,151;83,151;42,233;0,151;83,151" o:connectangles="0,0,0,0,0,0,0,0,0,0,0"/>
                    <o:lock v:ext="edit" verticies="t"/>
                  </v:shape>
                  <v:shape id="Freeform 229" o:spid="_x0000_s1243" style="position:absolute;left:6664;top:5627;width:83;height:233;visibility:visible;mso-wrap-style:square;v-text-anchor:top" coordsize="8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Dbg8YA&#10;AADdAAAADwAAAGRycy9kb3ducmV2LnhtbESP3WrCQBSE7wt9h+UUvKubRFpNmlU0KFiRQv25P2RP&#10;k2D2bMiumr59t1Do5TAz3zD5YjCtuFHvGssK4nEEgri0uuFKwem4eZ6BcB5ZY2uZFHyTg8X88SHH&#10;TNs7f9Lt4CsRIOwyVFB732VSurImg25sO+LgfdneoA+yr6Tu8R7gppVJFL1Kgw2HhRo7KmoqL4er&#10;UfAydVsXF2mRmvNGr3brj/fJ/qrU6GlYvoHwNPj/8F97qxWkSZLC75vw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Dbg8YAAADdAAAADwAAAAAAAAAAAAAAAACYAgAAZHJz&#10;L2Rvd25yZXYueG1sUEsFBgAAAAAEAAQA9QAAAIsDAAAAAA==&#10;" path="m47,r,l47,159r-14,l33,,47,xm80,146r,l40,226,,146r80,xe" fillcolor="black" strokeweight="0">
                    <v:path arrowok="t" o:connecttype="custom" o:connectlocs="49,0;49,0;49,164;34,164;34,0;49,0;83,151;83,151;42,233;0,151;83,151" o:connectangles="0,0,0,0,0,0,0,0,0,0,0"/>
                    <o:lock v:ext="edit" verticies="t"/>
                  </v:shape>
                  <v:shape id="Freeform 230" o:spid="_x0000_s1244" style="position:absolute;left:3910;top:6209;width:83;height:467;visibility:visible;mso-wrap-style:square;v-text-anchor:top" coordsize="8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1MsEA&#10;AADdAAAADwAAAGRycy9kb3ducmV2LnhtbERPy4rCMBTdC/MP4QpuZEx1wGo1yqAMuvQxH3Bprm2x&#10;uSlJbOt8vVkMuDyc93rbm1q05HxlWcF0koAgzq2uuFDwe/35XIDwAVljbZkUPMnDdvMxWGOmbcdn&#10;ai+hEDGEfYYKyhCaTEqfl2TQT2xDHLmbdQZDhK6Q2mEXw00tZ0kylwYrjg0lNrQrKb9fHkbBuOPk&#10;yadbuj9wunft4m+646tSo2H/vQIRqA9v8b/7qBUsZ19xf3wTn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9TLBAAAA3QAAAA8AAAAAAAAAAAAAAAAAmAIAAGRycy9kb3du&#10;cmV2LnhtbFBLBQYAAAAABAAEAPUAAACGAwAAAAA=&#10;" path="m47,r,l47,385r-14,l33,,47,xm80,372r,l40,452,,372r80,xe" fillcolor="black" strokeweight="0">
                    <v:path arrowok="t" o:connecttype="custom" o:connectlocs="49,0;49,0;49,398;34,398;34,0;49,0;83,384;83,384;42,467;0,384;83,384" o:connectangles="0,0,0,0,0,0,0,0,0,0,0"/>
                    <o:lock v:ext="edit" verticies="t"/>
                  </v:shape>
                  <v:shape id="Freeform 231" o:spid="_x0000_s1245" style="position:absolute;left:1394;top:7840;width:5115;height:1514;visibility:visible;mso-wrap-style:square;v-text-anchor:top" coordsize="4952,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zfsUA&#10;AADdAAAADwAAAGRycy9kb3ducmV2LnhtbESPQYvCMBSE78L+h/CEvYimVZBuNcoiuHiTbfWwt0fz&#10;bIvNS22i1n9vFgSPw8x8wyzXvWnEjTpXW1YQTyIQxIXVNZcKDvl2nIBwHlljY5kUPMjBevUxWGKq&#10;7Z1/6Zb5UgQIuxQVVN63qZSuqMigm9iWOHgn2xn0QXal1B3eA9w0chpFc2mw5rBQYUubiopzdjUK&#10;jntT2+Pjkl9GG55nP3Gb5Kc/pT6H/fcChKfev8Ov9k4r+JrOYvh/E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PN+xQAAAN0AAAAPAAAAAAAAAAAAAAAAAJgCAABkcnMv&#10;ZG93bnJldi54bWxQSwUGAAAAAAQABAD1AAAAigMAAAAA&#10;" path="m,245r,c,110,110,,245,l4707,v135,,245,110,245,245l4952,1224v,135,-110,244,-245,244l245,1468c110,1468,,1359,,1224l,245xe" fillcolor="#c9f" strokeweight="0">
                    <v:path arrowok="t" o:connecttype="custom" o:connectlocs="0,253;0,253;253,0;4862,0;5115,253;5115,1262;4862,1514;253,1514;0,1262;0,253" o:connectangles="0,0,0,0,0,0,0,0,0,0"/>
                  </v:shape>
                  <v:shape id="Freeform 232" o:spid="_x0000_s1246" style="position:absolute;left:1394;top:7840;width:5115;height:1514;visibility:visible;mso-wrap-style:square;v-text-anchor:top" coordsize="4952,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dksQA&#10;AADdAAAADwAAAGRycy9kb3ducmV2LnhtbESPUWvCQBCE3wv+h2MF3+qlkaqNniKCUHwQqv6AJbdN&#10;YnN7IXua6K/vFYQ+DjPzDbNc965WN2ql8mzgbZyAIs69rbgwcD7tXuegJCBbrD2TgTsJrFeDlyVm&#10;1nf8RbdjKFSEsGRooAyhybSWvCSHMvYNcfS+feswRNkW2rbYRbirdZokU+2w4rhQYkPbkvKf49UZ&#10;kNN+Uj9ELrPHe+iSZorUH/bGjIb9ZgEqUB/+w8/2pzXwkU5S+HsTn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03ZLEAAAA3QAAAA8AAAAAAAAAAAAAAAAAmAIAAGRycy9k&#10;b3ducmV2LnhtbFBLBQYAAAAABAAEAPUAAACJAwAAAAA=&#10;" path="m,245r,c,110,110,,245,l4707,v135,,245,110,245,245l4952,1224v,135,-110,244,-245,244l245,1468c110,1468,,1359,,1224l,245xe" filled="f" strokeweight="28e-5mm">
                    <v:stroke joinstyle="miter"/>
                    <v:path arrowok="t" o:connecttype="custom" o:connectlocs="0,253;0,253;253,0;4862,0;5115,253;5115,1262;4862,1514;253,1514;0,1262;0,253" o:connectangles="0,0,0,0,0,0,0,0,0,0"/>
                  </v:shape>
                  <v:rect id="Rectangle 233" o:spid="_x0000_s1247" style="position:absolute;left:1614;top:8013;width: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gPJcMA&#10;AADdAAAADwAAAGRycy9kb3ducmV2LnhtbESP3WoCMRSE7wXfIRzBO812hWK3RimCoMUb1z7AYXP2&#10;hyYnSxLd9e1NQejlMDPfMJvdaI24kw+dYwVvywwEceV0x42Cn+thsQYRIrJG45gUPCjAbjudbLDQ&#10;buAL3cvYiAThUKCCNsa+kDJULVkMS9cTJ6923mJM0jdSexwS3BqZZ9m7tNhxWmixp31L1W95swrk&#10;tTwM69L4zH3n9dmcjpeanFLz2fj1CSLSGP/Dr/ZRK/jIV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gPJc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I</w:t>
                          </w:r>
                        </w:p>
                      </w:txbxContent>
                    </v:textbox>
                  </v:rect>
                  <v:rect id="Rectangle 234" o:spid="_x0000_s1248" style="position:absolute;left:1668;top:8013;width: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vcMA&#10;AADdAAAADwAAAGRycy9kb3ducmV2LnhtbESP3WoCMRSE7wXfIRzBO812BdGtUYog2OKNqw9w2Jz9&#10;ocnJkkR3+/ZNoeDlMDPfMLvDaI14kg+dYwVvywwEceV0x42C++202IAIEVmjcUwKfijAYT+d7LDQ&#10;buArPcvYiAThUKCCNsa+kDJULVkMS9cTJ6923mJM0jdSexwS3BqZZ9laWuw4LbTY07Gl6rt8WAXy&#10;Vp6GTWl85r7y+mI+z9eanFLz2fjxDiLSGF/h//ZZK9jm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svc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f</w:t>
                          </w:r>
                        </w:p>
                      </w:txbxContent>
                    </v:textbox>
                  </v:rect>
                  <v:rect id="Rectangle 235" o:spid="_x0000_s1249" style="position:absolute;left:1724;top:8013;width:9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JJsMA&#10;AADdAAAADwAAAGRycy9kb3ducmV2LnhtbESP3WoCMRSE7wu+QziCdzXrCmpXo0hBsOKNax/gsDn7&#10;g8nJkqTu9u2bQqGXw8x8w+wOozXiST50jhUs5hkI4srpjhsFn/fT6wZEiMgajWNS8E0BDvvJyw4L&#10;7Qa+0bOMjUgQDgUqaGPsCylD1ZLFMHc9cfJq5y3GJH0jtcchwa2ReZatpMWO00KLPb23VD3KL6tA&#10;3svTsCmNz9wlr6/m43yrySk1m47HLYhIY/wP/7XPWsFbvlz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MJJs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 xml:space="preserve"> r</w:t>
                          </w:r>
                        </w:p>
                      </w:txbxContent>
                    </v:textbox>
                  </v:rect>
                  <v:rect id="Rectangle 236" o:spid="_x0000_s1250" style="position:absolute;left:1820;top:8013;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dVMAA&#10;AADdAAAADwAAAGRycy9kb3ducmV2LnhtbERPy4rCMBTdD8w/hDvgbkytMGjHKCIIKrOx+gGX5vbB&#10;JDclibb+vVkILg/nvdqM1og7+dA5VjCbZiCIK6c7bhRcL/vvBYgQkTUax6TgQQE268+PFRbaDXym&#10;exkbkUI4FKigjbEvpAxVSxbD1PXEiaudtxgT9I3UHocUbo3Ms+xHWuw4NbTY066l6r+8WQXyUu6H&#10;RWl85k55/WeOh3NNTqnJ17j9BRFpjG/xy33QCpb5PM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ydVMAAAADdAAAADwAAAAAAAAAAAAAAAACYAgAAZHJzL2Rvd25y&#10;ZXYueG1sUEsFBgAAAAAEAAQA9QAAAIUDAAAAAA==&#10;" filled="f" stroked="f">
                    <v:textbox style="mso-fit-shape-to-text:t" inset="0,0,0,0">
                      <w:txbxContent>
                        <w:p w:rsidR="00B247C9" w:rsidRDefault="00B247C9">
                          <w:r>
                            <w:rPr>
                              <w:rFonts w:ascii="Times New Roman" w:hAnsi="Times New Roman" w:cs="Times New Roman"/>
                              <w:color w:val="000000"/>
                              <w:sz w:val="16"/>
                              <w:szCs w:val="16"/>
                            </w:rPr>
                            <w:t>e</w:t>
                          </w:r>
                        </w:p>
                      </w:txbxContent>
                    </v:textbox>
                  </v:rect>
                  <v:rect id="Rectangle 237" o:spid="_x0000_s1251" style="position:absolute;left:1892;top:8013;width:23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4z8MA&#10;AADdAAAADwAAAGRycy9kb3ducmV2LnhtbESP3WoCMRSE7wXfIRyhd5p1BdGtUUQQtPTGtQ9w2Jz9&#10;weRkSVJ3+/ZNoeDlMDPfMLvDaI14kg+dYwXLRQaCuHK640bB1/0834AIEVmjcUwKfijAYT+d7LDQ&#10;buAbPcvYiAThUKCCNsa+kDJULVkMC9cTJ6923mJM0jdSexwS3BqZZ9laWuw4LbTY06ml6lF+WwXy&#10;Xp6HTWl85j7y+tNcL7eanFJvs/H4DiLSGF/h//ZFK9jm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A4z8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sult</w:t>
                          </w:r>
                        </w:p>
                      </w:txbxContent>
                    </v:textbox>
                  </v:rect>
                  <v:rect id="Rectangle 238" o:spid="_x0000_s1252" style="position:absolute;left:2132;top:8013;width:22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iL8AA&#10;AADdAAAADwAAAGRycy9kb3ducmV2LnhtbERPy4rCMBTdD8w/hDvgbkwtMmjHKCIIKrOx+gGX5vbB&#10;JDclibb+vVkILg/nvdqM1og7+dA5VjCbZiCIK6c7bhRcL/vvBYgQkTUax6TgQQE268+PFRbaDXym&#10;exkbkUI4FKigjbEvpAxVSxbD1PXEiaudtxgT9I3UHocUbo3Ms+xHWuw4NbTY066l6r+8WQXyUu6H&#10;RWl85k55/WeOh3NNTqnJ17j9BRFpjG/xy33QCpb5PO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ziL8AAAADdAAAADwAAAAAAAAAAAAAAAACYAgAAZHJzL2Rvd25y&#10;ZXYueG1sUEsFBgAAAAAEAAQA9QAAAIUDAAAAAA==&#10;" filled="f" stroked="f">
                    <v:textbox style="mso-fit-shape-to-text:t" inset="0,0,0,0">
                      <w:txbxContent>
                        <w:p w:rsidR="00B247C9" w:rsidRDefault="00B247C9">
                          <w:r>
                            <w:rPr>
                              <w:rFonts w:ascii="Times New Roman" w:hAnsi="Times New Roman" w:cs="Times New Roman"/>
                              <w:color w:val="000000"/>
                              <w:sz w:val="16"/>
                              <w:szCs w:val="16"/>
                            </w:rPr>
                            <w:t>s ar</w:t>
                          </w:r>
                        </w:p>
                      </w:txbxContent>
                    </v:textbox>
                  </v:rect>
                  <v:rect id="Rectangle 239" o:spid="_x0000_s1253" style="position:absolute;left:2366;top:8013;width: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HtMMA&#10;AADdAAAADwAAAGRycy9kb3ducmV2LnhtbESP3WoCMRSE7wXfIRyhd5p1EbGrUUQQtPTGtQ9w2Jz9&#10;weRkSVJ3+/ZNoeDlMDPfMLvDaI14kg+dYwXLRQaCuHK640bB1/0834AIEVmjcUwKfijAYT+d7LDQ&#10;buAbPcvYiAThUKCCNsa+kDJULVkMC9cTJ6923mJM0jdSexwS3BqZZ9laWuw4LbTY06ml6lF+WwXy&#10;Xp6HTWl85j7y+tNcL7eanFJvs/G4BRFpjK/wf/uiFbznq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BHtM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e</w:t>
                          </w:r>
                        </w:p>
                      </w:txbxContent>
                    </v:textbox>
                  </v:rect>
                  <v:rect id="Rectangle 240" o:spid="_x0000_s1254" style="position:absolute;left:2439;top:8013;width:19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LZw8MA&#10;AADdAAAADwAAAGRycy9kb3ducmV2LnhtbESP3WoCMRSE7wu+QziCdzXrIkVXo4ggaOmNqw9w2Jz9&#10;weRkSVJ3+/amUOjlMDPfMNv9aI14kg+dYwWLeQaCuHK640bB/XZ6X4EIEVmjcUwKfijAfjd522Kh&#10;3cBXepaxEQnCoUAFbYx9IWWoWrIY5q4nTl7tvMWYpG+k9jgkuDUyz7IPabHjtNBiT8eWqkf5bRXI&#10;W3kaVqXxmfvM6y9zOV9rckrNpuNhAyLSGP/Df+2zVrDOl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LZw8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 xml:space="preserve"> sti</w:t>
                          </w:r>
                        </w:p>
                      </w:txbxContent>
                    </v:textbox>
                  </v:rect>
                  <v:rect id="Rectangle 241" o:spid="_x0000_s1255" style="position:absolute;left:2637;top:8013;width: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8WMMA&#10;AADdAAAADwAAAGRycy9kb3ducmV2LnhtbESP3WoCMRSE7wu+QziCdzXrKmJXo0hBsOKNax/gsDn7&#10;g8nJkqTu9u2bQqGXw8x8w+wOozXiST50jhUs5hkI4srpjhsFn/fT6wZEiMgajWNS8E0BDvvJyw4L&#10;7Qa+0bOMjUgQDgUqaGPsCylD1ZLFMHc9cfJq5y3GJH0jtcchwa2ReZatpcWO00KLPb23VD3KL6tA&#10;3svTsCmNz9wlr6/m43yrySk1m47HLYhIY/wP/7XPWsFbvl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58WM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ll</w:t>
                          </w:r>
                        </w:p>
                      </w:txbxContent>
                    </v:textbox>
                  </v:rect>
                </v:group>
                <v:rect id="Rectangle 242" o:spid="_x0000_s1256" style="position:absolute;left:17335;top:50882;width:29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kLMMA&#10;AADdAAAADwAAAGRycy9kb3ducmV2LnhtbESP3WoCMRSE7wXfIRzBO812kWK3RimCoMUb1z7AYXP2&#10;hyYnSxLd9e1NQejlMDPfMJvdaI24kw+dYwVvywwEceV0x42Cn+thsQYRIrJG45gUPCjAbjudbLDQ&#10;buAL3cvYiAThUKCCNsa+kDJULVkMS9cTJ6923mJM0jdSexwS3BqZZ9m7tNhxWmixp31L1W95swrk&#10;tTwM69L4zH3n9dmcjpeanFLz2fj1CSLSGP/Dr/ZRK/jIV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fkLM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 xml:space="preserve"> inconc</w:t>
                        </w:r>
                      </w:p>
                    </w:txbxContent>
                  </v:textbox>
                </v:rect>
                <v:rect id="Rectangle 243" o:spid="_x0000_s1257" style="position:absolute;left:20383;top:50882;width:147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Bt8MA&#10;AADdAAAADwAAAGRycy9kb3ducmV2LnhtbESP3WoCMRSE7wu+QziCdzXromJXo0hBsOKNax/gsDn7&#10;g8nJkqTu9u2bQqGXw8x8w+wOozXiST50jhUs5hkI4srpjhsFn/fT6wZEiMgajWNS8E0BDvvJyw4L&#10;7Qa+0bOMjUgQDgUqaGPsCylD1ZLFMHc9cfJq5y3GJH0jtcchwa2ReZatpcWO00KLPb23VD3KL6tA&#10;3svTsCmNz9wlr6/m43yrySk1m47HLYhIY/wP/7XPWsFbvlz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tBt8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lusi</w:t>
                        </w:r>
                      </w:p>
                    </w:txbxContent>
                  </v:textbox>
                </v:rect>
                <v:rect id="Rectangle 244" o:spid="_x0000_s1258" style="position:absolute;left:21907;top:50882;width:9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fwMMA&#10;AADdAAAADwAAAGRycy9kb3ducmV2LnhtbESP3WoCMRSE7wXfIRzBO812EdGtUYog2OKNqw9w2Jz9&#10;ocnJkkR3+/ZNoeDlMDPfMLvDaI14kg+dYwVvywwEceV0x42C++202IAIEVmjcUwKfijAYT+d7LDQ&#10;buArPcvYiAThUKCCNsa+kDJULVkMS9cTJ6923mJM0jdSexwS3BqZZ9laWuw4LbTY07Gl6rt8WAXy&#10;Vp6GTWl85r7y+mI+z9eanFLz2fjxDiLSGF/h//ZZK9jm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nfwM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ve</w:t>
                        </w:r>
                      </w:p>
                    </w:txbxContent>
                  </v:textbox>
                </v:rect>
                <v:rect id="Rectangle 245" o:spid="_x0000_s1259" style="position:absolute;left:22898;top:50882;width:9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6W8MA&#10;AADdAAAADwAAAGRycy9kb3ducmV2LnhtbESP3WoCMRSE7wu+QziCdzXrImpXo0hBsOKNax/gsDn7&#10;g8nJkqTu9u2bQqGXw8x8w+wOozXiST50jhUs5hkI4srpjhsFn/fT6wZEiMgajWNS8E0BDvvJyw4L&#10;7Qa+0bOMjUgQDgUqaGPsCylD1ZLFMHc9cfJq5y3GJH0jtcchwa2ReZatpMWO00KLPb23VD3KL6tA&#10;3svTsCmNz9wlr6/m43yrySk1m47HLYhIY/wP/7XPWsFbvlz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V6W8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 a</w:t>
                        </w:r>
                      </w:p>
                    </w:txbxContent>
                  </v:textbox>
                </v:rect>
                <v:rect id="Rectangle 246" o:spid="_x0000_s1260" style="position:absolute;left:23882;top:50882;width:285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uKcAA&#10;AADdAAAADwAAAGRycy9kb3ducmV2LnhtbERPy4rCMBTdD8w/hDvgbkwtMmjHKCIIKrOx+gGX5vbB&#10;JDclibb+vVkILg/nvdqM1og7+dA5VjCbZiCIK6c7bhRcL/vvBYgQkTUax6TgQQE268+PFRbaDXym&#10;exkbkUI4FKigjbEvpAxVSxbD1PXEiaudtxgT9I3UHocUbo3Ms+xHWuw4NbTY066l6r+8WQXyUu6H&#10;RWl85k55/WeOh3NNTqnJ17j9BRFpjG/xy33QCpb5PM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ruKcAAAADdAAAADwAAAAAAAAAAAAAAAACYAgAAZHJzL2Rvd25y&#10;ZXYueG1sUEsFBgAAAAAEAAQA9QAAAIUDAAAAAA==&#10;" filled="f" stroked="f">
                  <v:textbox style="mso-fit-shape-to-text:t" inset="0,0,0,0">
                    <w:txbxContent>
                      <w:p w:rsidR="00B247C9" w:rsidRDefault="00B247C9">
                        <w:r>
                          <w:rPr>
                            <w:rFonts w:ascii="Times New Roman" w:hAnsi="Times New Roman" w:cs="Times New Roman"/>
                            <w:color w:val="000000"/>
                            <w:sz w:val="16"/>
                            <w:szCs w:val="16"/>
                          </w:rPr>
                          <w:t>dvise c</w:t>
                        </w:r>
                      </w:p>
                    </w:txbxContent>
                  </v:textbox>
                </v:rect>
                <v:rect id="Rectangle 247" o:spid="_x0000_s1261" style="position:absolute;left:26816;top:50882;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ZLssMA&#10;AADdAAAADwAAAGRycy9kb3ducmV2LnhtbESP3WoCMRSE7wXfIRyhd5p1EdGtUUQQtPTGtQ9w2Jz9&#10;weRkSVJ3+/ZNoeDlMDPfMLvDaI14kg+dYwXLRQaCuHK640bB1/0834AIEVmjcUwKfijAYT+d7LDQ&#10;buAbPcvYiAThUKCCNsa+kDJULVkMC9cTJ6923mJM0jdSexwS3BqZZ9laWuw4LbTY06ml6lF+WwXy&#10;Xp6HTWl85j7y+tNcL7eanFJvs/H4DiLSGF/h//ZFK9jm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ZLss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li</w:t>
                        </w:r>
                      </w:p>
                    </w:txbxContent>
                  </v:textbox>
                </v:rect>
                <v:rect id="Rectangle 248" o:spid="_x0000_s1262" style="position:absolute;left:27400;top:50882;width:45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08sAA&#10;AADdAAAADwAAAGRycy9kb3ducmV2LnhtbERPy4rCMBTdD8w/hDvgbkwtOGjHKCIIKrOx+gGX5vbB&#10;JDclibb+vVkILg/nvdqM1og7+dA5VjCbZiCIK6c7bhRcL/vvBYgQkTUax6TgQQE268+PFRbaDXym&#10;exkbkUI4FKigjbEvpAxVSxbD1PXEiaudtxgT9I3UHocUbo3Ms+xHWuw4NbTY066l6r+8WQXyUu6H&#10;RWl85k55/WeOh3NNTqnJ17j9BRFpjG/xy33QCpb5PO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08sAAAADdAAAADwAAAAAAAAAAAAAAAACYAgAAZHJzL2Rvd25y&#10;ZXYueG1sUEsFBgAAAAAEAAQA9QAAAIUDAAAAAA==&#10;" filled="f" stroked="f">
                  <v:textbox style="mso-fit-shape-to-text:t" inset="0,0,0,0">
                    <w:txbxContent>
                      <w:p w:rsidR="00B247C9" w:rsidRDefault="00B247C9">
                        <w:r>
                          <w:rPr>
                            <w:rFonts w:ascii="Times New Roman" w:hAnsi="Times New Roman" w:cs="Times New Roman"/>
                            <w:color w:val="000000"/>
                            <w:sz w:val="16"/>
                            <w:szCs w:val="16"/>
                          </w:rPr>
                          <w:t>e</w:t>
                        </w:r>
                      </w:p>
                    </w:txbxContent>
                  </v:textbox>
                </v:rect>
                <v:rect id="Rectangle 249" o:spid="_x0000_s1263" style="position:absolute;left:27870;top:50882;width:107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RacMA&#10;AADdAAAADwAAAGRycy9kb3ducmV2LnhtbESP3WoCMRSE7wXfIRyhd5p1QbGrUUQQtPTGtQ9w2Jz9&#10;weRkSVJ3+/ZNoeDlMDPfMLvDaI14kg+dYwXLRQaCuHK640bB1/0834AIEVmjcUwKfijAYT+d7LDQ&#10;buAbPcvYiAThUKCCNsa+kDJULVkMC9cTJ6923mJM0jdSexwS3BqZZ9laWuw4LbTY06ml6lF+WwXy&#10;Xp6HTWl85j7y+tNcL7eanFJvs/G4BRFpjK/wf/uiFbznq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nRac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nt/</w:t>
                        </w:r>
                      </w:p>
                    </w:txbxContent>
                  </v:textbox>
                </v:rect>
                <v:rect id="Rectangle 250" o:spid="_x0000_s1264" style="position:absolute;left:28975;top:50882;width:9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PHsMA&#10;AADdAAAADwAAAGRycy9kb3ducmV2LnhtbESP3WoCMRSE7wu+QziCdzXrgkVXo4ggaOmNqw9w2Jz9&#10;weRkSVJ3+/amUOjlMDPfMNv9aI14kg+dYwWLeQaCuHK640bB/XZ6X4EIEVmjcUwKfijAfjd522Kh&#10;3cBXepaxEQnCoUAFbYx9IWWoWrIY5q4nTl7tvMWYpG+k9jgkuDUyz7IPabHjtNBiT8eWqkf5bRXI&#10;W3kaVqXxmfvM6y9zOV9rckrNpuNhAyLSGP/Df+2zVrDOl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tPHs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pa</w:t>
                        </w:r>
                      </w:p>
                    </w:txbxContent>
                  </v:textbox>
                </v:rect>
                <v:rect id="Rectangle 251" o:spid="_x0000_s1265" style="position:absolute;left:29965;top:50882;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fqhcMA&#10;AADdAAAADwAAAGRycy9kb3ducmV2LnhtbESP3WoCMRSE7wu+QziCdzXrimJXo0hBsOKNax/gsDn7&#10;g8nJkqTu9u2bQqGXw8x8w+wOozXiST50jhUs5hkI4srpjhsFn/fT6wZEiMgajWNS8E0BDvvJyw4L&#10;7Qa+0bOMjUgQDgUqaGPsCylD1ZLFMHc9cfJq5y3GJH0jtcchwa2ReZatpcWO00KLPb23VD3KL6tA&#10;3svTsCmNz9wlr6/m43yrySk1m47HLYhIY/wP/7XPWsFbvl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fqhc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ti</w:t>
                        </w:r>
                      </w:p>
                    </w:txbxContent>
                  </v:textbox>
                </v:rect>
                <v:rect id="Rectangle 252" o:spid="_x0000_s1266" style="position:absolute;left:30549;top:50882;width:45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y8cMA&#10;AADdAAAADwAAAGRycy9kb3ducmV2LnhtbESP3WoCMRSE7wu+QziCdzXromJXo0hBsOKNax/gsDn7&#10;g8nJkqTu9u2bQqGXw8x8w+wOozXiST50jhUs5hkI4srpjhsFn/fT6wZEiMgajWNS8E0BDvvJyw4L&#10;7Qa+0bOMjUgQDgUqaGPsCylD1ZLFMHc9cfJq5y3GJH0jtcchwa2ReZatpcWO00KLPb23VD3KL6tA&#10;3svTsCmNz9wlr6/m43yrySk1m47HLYhIY/wP/7XPWsFbvl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5y8c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e</w:t>
                        </w:r>
                      </w:p>
                    </w:txbxContent>
                  </v:textbox>
                </v:rect>
                <v:rect id="Rectangle 253" o:spid="_x0000_s1267" style="position:absolute;left:31026;top:50882;width:132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XasMA&#10;AADdAAAADwAAAGRycy9kb3ducmV2LnhtbESP3WoCMRSE7wXfIRzBO812wWK3RimCoMUb1z7AYXP2&#10;hyYnSxLd9e1NQejlMDPfMJvdaI24kw+dYwVvywwEceV0x42Cn+thsQYRIrJG45gUPCjAbjudbLDQ&#10;buAL3cvYiAThUKCCNsa+kDJULVkMS9cTJ6923mJM0jdSexwS3BqZZ9m7tNhxWmixp31L1W95swrk&#10;tTwM69L4zH3n9dmcjpeanFLz2fj1CSLSGP/Dr/ZRK/jIV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LXas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nt t</w:t>
                        </w:r>
                      </w:p>
                    </w:txbxContent>
                  </v:textbox>
                </v:rect>
                <v:rect id="Rectangle 254" o:spid="_x0000_s1268" style="position:absolute;left:32391;top:50882;width:9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JHcMA&#10;AADdAAAADwAAAGRycy9kb3ducmV2LnhtbESP3WoCMRSE7wXfIRzBO812QdGtUYog2OKNqw9w2Jz9&#10;ocnJkkR3+/ZNoeDlMDPfMLvDaI14kg+dYwVvywwEceV0x42C++202IAIEVmjcUwKfijAYT+d7LDQ&#10;buArPcvYiAThUKCCNsa+kDJULVkMS9cTJ6923mJM0jdSexwS3BqZZ9laWuw4LbTY07Gl6rt8WAXy&#10;Vp6GTWl85r7y+mI+z9eanFLz2fjxDiLSGF/h//ZZK9jm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BJHc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ha</w:t>
                        </w:r>
                      </w:p>
                    </w:txbxContent>
                  </v:textbox>
                </v:rect>
                <v:rect id="Rectangle 255" o:spid="_x0000_s1269" style="position:absolute;left:33381;top:50882;width:313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shsQA&#10;AADdAAAADwAAAGRycy9kb3ducmV2LnhtbESP3WoCMRSE7wu+QziCdzXrgj9djSIFwYo3rn2Aw+bs&#10;DyYnS5K627dvCoVeDjPzDbM7jNaIJ/nQOVawmGcgiCunO24UfN5PrxsQISJrNI5JwTcFOOwnLzss&#10;tBv4Rs8yNiJBOBSooI2xL6QMVUsWw9z1xMmrnbcYk/SN1B6HBLdG5lm2khY7Tgst9vTeUvUov6wC&#10;eS9Pw6Y0PnOXvL6aj/OtJqfUbDoetyAijfE//Nc+awVv+XIN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c7IbEAAAA3QAAAA8AAAAAAAAAAAAAAAAAmAIAAGRycy9k&#10;b3ducmV2LnhtbFBLBQYAAAAABAAEAPUAAACJAwAAAAA=&#10;" filled="f" stroked="f">
                  <v:textbox style="mso-fit-shape-to-text:t" inset="0,0,0,0">
                    <w:txbxContent>
                      <w:p w:rsidR="00B247C9" w:rsidRDefault="00B247C9">
                        <w:r>
                          <w:rPr>
                            <w:rFonts w:ascii="Times New Roman" w:hAnsi="Times New Roman" w:cs="Times New Roman"/>
                            <w:color w:val="000000"/>
                            <w:sz w:val="16"/>
                            <w:szCs w:val="16"/>
                          </w:rPr>
                          <w:t>t he/she</w:t>
                        </w:r>
                      </w:p>
                    </w:txbxContent>
                  </v:textbox>
                </v:rect>
                <v:rect id="Rectangle 256" o:spid="_x0000_s1270" style="position:absolute;left:36620;top:50882;width:149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49MAA&#10;AADdAAAADwAAAGRycy9kb3ducmV2LnhtbERPy4rCMBTdD8w/hDvgbkwtOGjHKCIIKrOx+gGX5vbB&#10;JDclibb+vVkILg/nvdqM1og7+dA5VjCbZiCIK6c7bhRcL/vvBYgQkTUax6TgQQE268+PFRbaDXym&#10;exkbkUI4FKigjbEvpAxVSxbD1PXEiaudtxgT9I3UHocUbo3Ms+xHWuw4NbTY066l6r+8WQXyUu6H&#10;RWl85k55/WeOh3NNTqnJ17j9BRFpjG/xy33QCpb5PM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N49MAAAADdAAAADwAAAAAAAAAAAAAAAACYAgAAZHJzL2Rvd25y&#10;ZXYueG1sUEsFBgAAAAAEAAQA9QAAAIUDAAAAAA==&#10;" filled="f" stroked="f">
                  <v:textbox style="mso-fit-shape-to-text:t" inset="0,0,0,0">
                    <w:txbxContent>
                      <w:p w:rsidR="00B247C9" w:rsidRDefault="00B247C9">
                        <w:r>
                          <w:rPr>
                            <w:rFonts w:ascii="Times New Roman" w:hAnsi="Times New Roman" w:cs="Times New Roman"/>
                            <w:color w:val="000000"/>
                            <w:sz w:val="16"/>
                            <w:szCs w:val="16"/>
                          </w:rPr>
                          <w:t xml:space="preserve"> ma</w:t>
                        </w:r>
                      </w:p>
                    </w:txbxContent>
                  </v:textbox>
                </v:rect>
                <v:rect id="Rectangle 257" o:spid="_x0000_s1271" style="position:absolute;left:38163;top:50882;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b8MA&#10;AADdAAAADwAAAGRycy9kb3ducmV2LnhtbESP3WoCMRSE7wXfIRyhd5p1QdGtUUQQtPTGtQ9w2Jz9&#10;weRkSVJ3+/ZNoeDlMDPfMLvDaI14kg+dYwXLRQaCuHK640bB1/0834AIEVmjcUwKfijAYT+d7LDQ&#10;buAbPcvYiAThUKCCNsa+kDJULVkMC9cTJ6923mJM0jdSexwS3BqZZ9laWuw4LbTY06ml6lF+WwXy&#10;Xp6HTWl85j7y+tNcL7eanFJvs/H4DiLSGF/h//ZFK9jm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db8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y</w:t>
                        </w:r>
                      </w:p>
                    </w:txbxContent>
                  </v:textbox>
                </v:rect>
                <v:rect id="Rectangle 258" o:spid="_x0000_s1272" style="position:absolute;left:38671;top:50882;width:76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T78A&#10;AADdAAAADwAAAGRycy9kb3ducmV2LnhtbERPy4rCMBTdC/5DuMLsNLULcapRRBB0cGP1Ay7N7QOT&#10;m5JE2/n7yUKY5eG8t/vRGvEmHzrHCpaLDARx5XTHjYLH/TRfgwgRWaNxTAp+KcB+N51ssdBu4Bu9&#10;y9iIFMKhQAVtjH0hZahashgWridOXO28xZigb6T2OKRwa2SeZStpsePU0GJPx5aqZ/myCuS9PA3r&#10;0vjM/eT11VzOt5qcUl+z8bABEWmM/+KP+6wVfOertD+9SU9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b5PvwAAAN0AAAAPAAAAAAAAAAAAAAAAAJgCAABkcnMvZG93bnJl&#10;di54bWxQSwUGAAAAAAQABAD1AAAAhAMAAAAA&#10;" filled="f" stroked="f">
                  <v:textbox style="mso-fit-shape-to-text:t" inset="0,0,0,0">
                    <w:txbxContent>
                      <w:p w:rsidR="00B247C9" w:rsidRDefault="00B247C9">
                        <w:r>
                          <w:rPr>
                            <w:rFonts w:ascii="Times New Roman" w:hAnsi="Times New Roman" w:cs="Times New Roman"/>
                            <w:color w:val="000000"/>
                            <w:sz w:val="16"/>
                            <w:szCs w:val="16"/>
                          </w:rPr>
                          <w:t xml:space="preserve"> b</w:t>
                        </w:r>
                      </w:p>
                    </w:txbxContent>
                  </v:textbox>
                </v:rect>
                <v:rect id="Rectangle 259" o:spid="_x0000_s1273" style="position:absolute;left:39465;top:50882;width:45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b1MMA&#10;AADdAAAADwAAAGRycy9kb3ducmV2LnhtbESPzYoCMRCE7wu+Q2jB25pxDuLOGkUEwRUvjvsAzaTn&#10;B5POkERn9u2NIOyxqKqvqPV2tEY8yIfOsYLFPANBXDndcaPg93r4XIEIEVmjcUwK/ijAdjP5WGOh&#10;3cAXepSxEQnCoUAFbYx9IWWoWrIY5q4nTl7tvMWYpG+k9jgkuDUyz7KltNhxWmixp31L1a28WwXy&#10;Wh6GVWl85k55fTY/x0tNTqnZdNx9g4g0xv/wu33UCr7y5Q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Ub1M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e</w:t>
                        </w:r>
                      </w:p>
                    </w:txbxContent>
                  </v:textbox>
                </v:rect>
                <v:rect id="Rectangle 260" o:spid="_x0000_s1274" style="position:absolute;left:39928;top:50882;width:26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Fo8IA&#10;AADdAAAADwAAAGRycy9kb3ducmV2LnhtbESPzYoCMRCE7wv7DqGFva0Z5yDuaBQRBBUvjj5AM+n5&#10;waQzJFlnfHuzIOyxqKqvqNVmtEY8yIfOsYLZNANBXDndcaPgdt1/L0CEiKzROCYFTwqwWX9+rLDQ&#10;buALPcrYiAThUKCCNsa+kDJULVkMU9cTJ6923mJM0jdSexwS3BqZZ9lcWuw4LbTY066l6l7+WgXy&#10;Wu6HRWl85k55fTbHw6Ump9TXZNwuQUQa43/43T5oBT/5PIe/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4WjwgAAAN0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 xml:space="preserve"> </w:t>
                        </w:r>
                      </w:p>
                    </w:txbxContent>
                  </v:textbox>
                </v:rect>
                <v:rect id="Rectangle 261" o:spid="_x0000_s1275" style="position:absolute;left:10229;top:52076;width:195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gOMMA&#10;AADdAAAADwAAAGRycy9kb3ducmV2LnhtbESP3WoCMRSE7wXfIRzBO812BdGtUYog2OKNqw9w2Jz9&#10;ocnJkkR3+/ZNoeDlMDPfMLvDaI14kg+dYwVvywwEceV0x42C++202IAIEVmjcUwKfijAYT+d7LDQ&#10;buArPcvYiAThUKCCNsa+kDJULVkMS9cTJ6923mJM0jdSexwS3BqZZ9laWuw4LbTY07Gl6rt8WAXy&#10;Vp6GTWl85r7y+mI+z9eanFLz2fjxDiLSGF/h//ZZK9jm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sgOM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in ac</w:t>
                        </w:r>
                      </w:p>
                    </w:txbxContent>
                  </v:textbox>
                </v:rect>
                <v:rect id="Rectangle 262" o:spid="_x0000_s1276" style="position:absolute;left:12236;top:52076;width:223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4TMMA&#10;AADdAAAADwAAAGRycy9kb3ducmV2LnhtbESP3WoCMRSE7wXfIRzBO812EdGtUYog2OKNqw9w2Jz9&#10;ocnJkkR3+/ZNoeDlMDPfMLvDaI14kg+dYwVvywwEceV0x42C++202IAIEVmjcUwKfijAYT+d7LDQ&#10;buArPcvYiAThUKCCNsa+kDJULVkMS9cTJ6923mJM0jdSexwS3BqZZ9laWuw4LbTY07Gl6rt8WAXy&#10;Vp6GTWl85r7y+mI+z9eanFLz2fjxDiLSGF/h//ZZK9jm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K4TM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ute H</w:t>
                        </w:r>
                      </w:p>
                    </w:txbxContent>
                  </v:textbox>
                </v:rect>
                <v:rect id="Rectangle 263" o:spid="_x0000_s1277" style="position:absolute;left:14547;top:52076;width:34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d18MA&#10;AADdAAAADwAAAGRycy9kb3ducmV2LnhtbESP3WoCMRSE7wXfIRzBO812QdGtUYog2OKNqw9w2Jz9&#10;ocnJkkR3+/ZNoeDlMDPfMLvDaI14kg+dYwVvywwEceV0x42C++202IAIEVmjcUwKfijAYT+d7LDQ&#10;buArPcvYiAThUKCCNsa+kDJULVkMS9cTJ6923mJM0jdSexwS3BqZZ9laWuw4LbTY07Gl6rt8WAXy&#10;Vp6GTWl85r7y+mI+z9eanFLz2fjxDiLSGF/h//ZZK9jm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4d18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I</w:t>
                        </w:r>
                      </w:p>
                    </w:txbxContent>
                  </v:textbox>
                </v:rect>
                <v:rect id="Rectangle 264" o:spid="_x0000_s1278" style="position:absolute;left:14884;top:52076;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yDoMMA&#10;AADdAAAADwAAAGRycy9kb3ducmV2LnhtbESP3WoCMRSE7wt9h3AK3tVs92LRrVFEELR44+oDHDZn&#10;f2hysiSpu759IwheDjPzDbPaTNaIG/nQO1bwNc9AENdO99wquF72nwsQISJrNI5JwZ0CbNbvbyss&#10;tRv5TLcqtiJBOJSooItxKKUMdUcWw9wNxMlrnLcYk/St1B7HBLdG5llWSIs9p4UOB9p1VP9Wf1aB&#10;vFT7cVEZn7mfvDmZ4+HckFNq9jFtv0FEmuIr/GwftIJlXhT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yDoM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V in</w:t>
                        </w:r>
                      </w:p>
                    </w:txbxContent>
                  </v:textbox>
                </v:rect>
                <v:rect id="Rectangle 265" o:spid="_x0000_s1279" style="position:absolute;left:16725;top:52076;width:79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mO8MA&#10;AADdAAAADwAAAGRycy9kb3ducmV2LnhtbESP3WoCMRSE7wXfIRzBO812L6zdGqUIghZvXPsAh83Z&#10;H5qcLEl017c3BaGXw8x8w2x2ozXiTj50jhW8LTMQxJXTHTcKfq6HxRpEiMgajWNS8KAAu+10ssFC&#10;u4EvdC9jIxKEQ4EK2hj7QspQtWQxLF1PnLzaeYsxSd9I7XFIcGtknmUrabHjtNBiT/uWqt/yZhXI&#10;a3kY1qXxmfvO67M5HS81OaXms/HrE0SkMf6HX+2jVvCRr97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AmO8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fe</w:t>
                        </w:r>
                      </w:p>
                    </w:txbxContent>
                  </v:textbox>
                </v:rect>
                <v:rect id="Rectangle 266" o:spid="_x0000_s1280" style="position:absolute;left:17538;top:52076;width:45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Sb8A&#10;AADdAAAADwAAAGRycy9kb3ducmV2LnhtbERPy4rCMBTdC/5DuMLsNLULcapRRBB0cGP1Ay7N7QOT&#10;m5JE2/n7yUKY5eG8t/vRGvEmHzrHCpaLDARx5XTHjYLH/TRfgwgRWaNxTAp+KcB+N51ssdBu4Bu9&#10;y9iIFMKhQAVtjH0hZahashgWridOXO28xZigb6T2OKRwa2SeZStpsePU0GJPx5aqZ/myCuS9PA3r&#10;0vjM/eT11VzOt5qcUl+z8bABEWmM/+KP+6wVfOerNDe9SU9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7JJvwAAAN0AAAAPAAAAAAAAAAAAAAAAAJgCAABkcnMvZG93bnJl&#10;di54bWxQSwUGAAAAAAQABAD1AAAAhAMAAAAA&#10;" filled="f" stroked="f">
                  <v:textbox style="mso-fit-shape-to-text:t" inset="0,0,0,0">
                    <w:txbxContent>
                      <w:p w:rsidR="00B247C9" w:rsidRDefault="00B247C9">
                        <w:r>
                          <w:rPr>
                            <w:rFonts w:ascii="Times New Roman" w:hAnsi="Times New Roman" w:cs="Times New Roman"/>
                            <w:color w:val="000000"/>
                            <w:sz w:val="16"/>
                            <w:szCs w:val="16"/>
                          </w:rPr>
                          <w:t>c</w:t>
                        </w:r>
                      </w:p>
                    </w:txbxContent>
                  </v:textbox>
                </v:rect>
                <v:rect id="Rectangle 267" o:spid="_x0000_s1281" style="position:absolute;left:17995;top:52076;width:56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X0sMA&#10;AADdAAAADwAAAGRycy9kb3ducmV2LnhtbESPzYoCMRCE78K+Q+iFvWnGOYjOGkUEQRcvjvsAzaTn&#10;B5POkERnfHsjLOyxqKqvqPV2tEY8yIfOsYL5LANBXDndcaPg93qYLkGEiKzROCYFTwqw3XxM1lho&#10;N/CFHmVsRIJwKFBBG2NfSBmqliyGmeuJk1c7bzEm6RupPQ4Jbo3Ms2whLXacFlrsad9SdSvvVoG8&#10;lodhWRqfuZ+8PpvT8VKTU+rrc9x9g4g0xv/wX/uoFazyxQr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MX0s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ti</w:t>
                        </w:r>
                      </w:p>
                    </w:txbxContent>
                  </v:textbox>
                </v:rect>
                <v:rect id="Rectangle 268" o:spid="_x0000_s1282" style="position:absolute;left:18580;top:52076;width:223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oksAA&#10;AADdAAAADwAAAGRycy9kb3ducmV2LnhtbERPy4rCMBTdD8w/hDvgbkztwtGOUUQQVGZj9QMuze2D&#10;SW5KEm39e7MQXB7Oe7UZrRF38qFzrGA2zUAQV0533Ci4XvbfCxAhIms0jknBgwJs1p8fKyy0G/hM&#10;9zI2IoVwKFBBG2NfSBmqliyGqeuJE1c7bzEm6BupPQ4p3BqZZ9lcWuw4NbTY066l6r+8WQXyUu6H&#10;RWl85k55/WeOh3NNTqnJ17j9BRFpjG/xy33QCpb5T9qf3q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AoksAAAADdAAAADwAAAAAAAAAAAAAAAACYAgAAZHJzL2Rvd25y&#10;ZXYueG1sUEsFBgAAAAAEAAQA9QAAAIUDAAAAAA==&#10;" filled="f" stroked="f">
                  <v:textbox style="mso-fit-shape-to-text:t" inset="0,0,0,0">
                    <w:txbxContent>
                      <w:p w:rsidR="00B247C9" w:rsidRDefault="00B247C9">
                        <w:r>
                          <w:rPr>
                            <w:rFonts w:ascii="Times New Roman" w:hAnsi="Times New Roman" w:cs="Times New Roman"/>
                            <w:color w:val="000000"/>
                            <w:sz w:val="16"/>
                            <w:szCs w:val="16"/>
                          </w:rPr>
                          <w:t>on pe</w:t>
                        </w:r>
                      </w:p>
                    </w:txbxContent>
                  </v:textbox>
                </v:rect>
                <v:rect id="Rectangle 269" o:spid="_x0000_s1283" style="position:absolute;left:20891;top:52076;width:262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yNCcMA&#10;AADdAAAADwAAAGRycy9kb3ducmV2LnhtbESP3WoCMRSE7wXfIRyhd5p1L9SuRhFB0NIb1z7AYXP2&#10;B5OTJUnd7ds3hYKXw8x8w+wOozXiST50jhUsFxkI4srpjhsFX/fzfAMiRGSNxjEp+KEAh/10ssNC&#10;u4Fv9CxjIxKEQ4EK2hj7QspQtWQxLFxPnLzaeYsxSd9I7XFIcGtknmUrabHjtNBiT6eWqkf5bRXI&#10;e3keNqXxmfvI609zvdxqckq9zcbjFkSkMb7C/+2LVvCer5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yNCc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riod; a</w:t>
                        </w:r>
                      </w:p>
                    </w:txbxContent>
                  </v:textbox>
                </v:rect>
                <v:rect id="Rectangle 270" o:spid="_x0000_s1284" style="position:absolute;left:23596;top:52076;width:144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4TfsMA&#10;AADdAAAADwAAAGRycy9kb3ducmV2LnhtbESP3WoCMRSE7wu+QziCdzXrXlhdjSKCoKU3rj7AYXP2&#10;B5OTJUnd7dubQqGXw8x8w2z3ozXiST50jhUs5hkI4srpjhsF99vpfQUiRGSNxjEp+KEA+93kbYuF&#10;dgNf6VnGRiQIhwIVtDH2hZShaslimLueOHm18xZjkr6R2uOQ4NbIPMuW0mLHaaHFno4tVY/y2yqQ&#10;t/I0rErjM/eZ11/mcr7W5JSaTcfDBkSkMf6H/9pnrWCdf+T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4Tfs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sk t</w:t>
                        </w:r>
                      </w:p>
                    </w:txbxContent>
                  </v:textbox>
                </v:rect>
                <v:rect id="Rectangle 271" o:spid="_x0000_s1285" style="position:absolute;left:25088;top:52076;width:155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25cMA&#10;AADdAAAADwAAAGRycy9kb3ducmV2LnhtbESP3WoCMRSE7wu+QziCdzXrCmpXo0hBsOKNax/gsDn7&#10;g8nJkqTu9u2bQqGXw8x8w+wOozXiST50jhUs5hkI4srpjhsFn/fT6wZEiMgajWNS8E0BDvvJyw4L&#10;7Qa+0bOMjUgQDgUqaGPsCylD1ZLFMHc9cfJq5y3GJH0jtcchwa2ReZatpMWO00KLPb23VD3KL6tA&#10;3svTsCmNz9wlr6/m43yrySk1m47HLYhIY/wP/7XPWsFbvl7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K25c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o re</w:t>
                        </w:r>
                      </w:p>
                    </w:txbxContent>
                  </v:textbox>
                </v:rect>
                <v:rect id="Rectangle 272" o:spid="_x0000_s1286" style="position:absolute;left:26682;top:52076;width:223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kcMA&#10;AADdAAAADwAAAGRycy9kb3ducmV2LnhtbESP3WoCMRSE7wu+QziCdzXrImpXo0hBsOKNax/gsDn7&#10;g8nJkqTu9u2bQqGXw8x8w+wOozXiST50jhUs5hkI4srpjhsFn/fT6wZEiMgajWNS8E0BDvvJyw4L&#10;7Qa+0bOMjUgQDgUqaGPsCylD1ZLFMHc9cfJq5y3GJH0jtcchwa2ReZatpMWO00KLPb23VD3KL6tA&#10;3svTsCmNz9wlr6/m43yrySk1m47HLYhIY/wP/7XPWsFbvl7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ukc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turn f</w:t>
                        </w:r>
                      </w:p>
                    </w:txbxContent>
                  </v:textbox>
                </v:rect>
                <v:rect id="Rectangle 273" o:spid="_x0000_s1287" style="position:absolute;left:28981;top:52076;width:85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LCsQA&#10;AADdAAAADwAAAGRycy9kb3ducmV2LnhtbESP3WoCMRSE7wu+QziCdzXrgj9djSIFwYo3rn2Aw+bs&#10;DyYnS5K627dvCoVeDjPzDbM7jNaIJ/nQOVawmGcgiCunO24UfN5PrxsQISJrNI5JwTcFOOwnLzss&#10;tBv4Rs8yNiJBOBSooI2xL6QMVUsWw9z1xMmrnbcYk/SN1B6HBLdG5lm2khY7Tgst9vTeUvUov6wC&#10;eS9Pw6Y0PnOXvL6aj/OtJqfUbDoetyAijfE//Nc+awVv+XoJ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3iwrEAAAA3QAAAA8AAAAAAAAAAAAAAAAAmAIAAGRycy9k&#10;b3ducmV2LnhtbFBLBQYAAAAABAAEAPUAAACJAwAAAAA=&#10;" filled="f" stroked="f">
                  <v:textbox style="mso-fit-shape-to-text:t" inset="0,0,0,0">
                    <w:txbxContent>
                      <w:p w:rsidR="00B247C9" w:rsidRDefault="00B247C9">
                        <w:r>
                          <w:rPr>
                            <w:rFonts w:ascii="Times New Roman" w:hAnsi="Times New Roman" w:cs="Times New Roman"/>
                            <w:color w:val="000000"/>
                            <w:sz w:val="16"/>
                            <w:szCs w:val="16"/>
                          </w:rPr>
                          <w:t>or</w:t>
                        </w:r>
                      </w:p>
                    </w:txbxContent>
                  </v:textbox>
                </v:rect>
                <v:rect id="Rectangle 274" o:spid="_x0000_s1288" style="position:absolute;left:29851;top:52076;width:26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VfcMA&#10;AADdAAAADwAAAGRycy9kb3ducmV2LnhtbESP3WoCMRSE7wXfIRzBO812L6zdGqUIghZvXPsAh83Z&#10;H5qcLEl017c3BaGXw8x8w2x2ozXiTj50jhW8LTMQxJXTHTcKfq6HxRpEiMgajWNS8KAAu+10ssFC&#10;u4EvdC9jIxKEQ4EK2hj7QspQtWQxLF1PnLzaeYsxSd9I7XFIcGtknmUrabHjtNBiT/uWqt/yZhXI&#10;a3kY1qXxmfvO67M5HS81OaXms/HrE0SkMf6HX+2jVvCRv6/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Vfc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 xml:space="preserve"> </w:t>
                        </w:r>
                      </w:p>
                    </w:txbxContent>
                  </v:textbox>
                </v:rect>
                <v:rect id="Rectangle 275" o:spid="_x0000_s1289" style="position:absolute;left:30124;top:52076;width:45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w5sMA&#10;AADdAAAADwAAAGRycy9kb3ducmV2LnhtbESP3WoCMRSE7wXfIRzBO812L/zZGqUIgi3euPoAh83Z&#10;H5qcLEl0t2/fFApeDjPzDbM7jNaIJ/nQOVbwtsxAEFdOd9wouN9Oiw2IEJE1Gsek4IcCHPbTyQ4L&#10;7Qa+0rOMjUgQDgUqaGPsCylD1ZLFsHQ9cfJq5y3GJH0jtcchwa2ReZatpMWO00KLPR1bqr7Lh1Ug&#10;b+Vp2JTGZ+4rry/m83ytySk1n40f7yAijfEV/m+ftYJtvl7D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mw5s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a</w:t>
                        </w:r>
                      </w:p>
                    </w:txbxContent>
                  </v:textbox>
                </v:rect>
                <v:rect id="Rectangle 276" o:spid="_x0000_s1290" style="position:absolute;left:30581;top:52076;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klMAA&#10;AADdAAAADwAAAGRycy9kb3ducmV2LnhtbERPy4rCMBTdD8w/hDvgbkztwtGOUUQQVGZj9QMuze2D&#10;SW5KEm39e7MQXB7Oe7UZrRF38qFzrGA2zUAQV0533Ci4XvbfCxAhIms0jknBgwJs1p8fKyy0G/hM&#10;9zI2IoVwKFBBG2NfSBmqliyGqeuJE1c7bzEm6BupPQ4p3BqZZ9lcWuw4NbTY066l6r+8WQXyUu6H&#10;RWl85k55/WeOh3NNTqnJ17j9BRFpjG/xy33QCpb5T5qb3q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YklMAAAADdAAAADwAAAAAAAAAAAAAAAACYAgAAZHJzL2Rvd25y&#10;ZXYueG1sUEsFBgAAAAAEAAQA9QAAAIUDAAAAAA==&#10;" filled="f" stroked="f">
                  <v:textbox style="mso-fit-shape-to-text:t" inset="0,0,0,0">
                    <w:txbxContent>
                      <w:p w:rsidR="00B247C9" w:rsidRDefault="00B247C9">
                        <w:r>
                          <w:rPr>
                            <w:rFonts w:ascii="Times New Roman" w:hAnsi="Times New Roman" w:cs="Times New Roman"/>
                            <w:color w:val="000000"/>
                            <w:sz w:val="16"/>
                            <w:szCs w:val="16"/>
                          </w:rPr>
                          <w:t>n</w:t>
                        </w:r>
                      </w:p>
                    </w:txbxContent>
                  </v:textbox>
                </v:rect>
                <v:rect id="Rectangle 277" o:spid="_x0000_s1291" style="position:absolute;left:31121;top:52076;width:208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BD8MA&#10;AADdAAAADwAAAGRycy9kb3ducmV2LnhtbESP3WoCMRSE7wXfIRyhd5p1L/zZGkUEQUtvXPsAh83Z&#10;H0xOliR1t2/fFApeDjPzDbM7jNaIJ/nQOVawXGQgiCunO24UfN3P8w2IEJE1Gsek4IcCHPbTyQ4L&#10;7Qa+0bOMjUgQDgUqaGPsCylD1ZLFsHA9cfJq5y3GJH0jtcchwa2ReZatpMWO00KLPZ1aqh7lt1Ug&#10;7+V52JTGZ+4jrz/N9XKrySn1NhuP7yAijfEV/m9ftIJtvt7C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qBD8MAAADdAAAADwAAAAAAAAAAAAAAAACYAgAAZHJzL2Rv&#10;d25yZXYueG1sUEsFBgAAAAAEAAQA9QAAAIgDAAAAAA==&#10;" filled="f" stroked="f">
                  <v:textbox style="mso-fit-shape-to-text:t" inset="0,0,0,0">
                    <w:txbxContent>
                      <w:p w:rsidR="00B247C9" w:rsidRDefault="00B247C9">
                        <w:r>
                          <w:rPr>
                            <w:rFonts w:ascii="Times New Roman" w:hAnsi="Times New Roman" w:cs="Times New Roman"/>
                            <w:color w:val="000000"/>
                            <w:sz w:val="16"/>
                            <w:szCs w:val="16"/>
                          </w:rPr>
                          <w:t>other</w:t>
                        </w:r>
                      </w:p>
                    </w:txbxContent>
                  </v:textbox>
                </v:rect>
                <v:rect id="Rectangle 278" o:spid="_x0000_s1292" style="position:absolute;left:33274;top:52076;width:26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rsidR="00B247C9" w:rsidRDefault="00B247C9">
                        <w:r>
                          <w:rPr>
                            <w:rFonts w:ascii="Times New Roman" w:hAnsi="Times New Roman" w:cs="Times New Roman"/>
                            <w:color w:val="000000"/>
                            <w:sz w:val="16"/>
                            <w:szCs w:val="16"/>
                          </w:rPr>
                          <w:t xml:space="preserve"> </w:t>
                        </w:r>
                      </w:p>
                    </w:txbxContent>
                  </v:textbox>
                </v:rect>
                <v:rect id="Rectangle 279" o:spid="_x0000_s1293" style="position:absolute;left:33547;top:52076;width:7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B247C9" w:rsidRDefault="00B247C9">
                        <w:r>
                          <w:rPr>
                            <w:rFonts w:ascii="Times New Roman" w:hAnsi="Times New Roman" w:cs="Times New Roman"/>
                            <w:color w:val="000000"/>
                            <w:sz w:val="16"/>
                            <w:szCs w:val="16"/>
                          </w:rPr>
                          <w:t>re</w:t>
                        </w:r>
                      </w:p>
                    </w:txbxContent>
                  </v:textbox>
                </v:rect>
                <v:rect id="Rectangle 280" o:spid="_x0000_s1294" style="position:absolute;left:34353;top:52076;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B247C9" w:rsidRDefault="00B247C9">
                        <w:r>
                          <w:rPr>
                            <w:rFonts w:ascii="Times New Roman" w:hAnsi="Times New Roman" w:cs="Times New Roman"/>
                            <w:color w:val="000000"/>
                            <w:sz w:val="16"/>
                            <w:szCs w:val="16"/>
                          </w:rPr>
                          <w:t>p</w:t>
                        </w:r>
                      </w:p>
                    </w:txbxContent>
                  </v:textbox>
                </v:rect>
                <v:rect id="Rectangle 281" o:spid="_x0000_s1295" style="position:absolute;left:34886;top:52076;width:45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B247C9" w:rsidRDefault="00B247C9">
                        <w:r>
                          <w:rPr>
                            <w:rFonts w:ascii="Times New Roman" w:hAnsi="Times New Roman" w:cs="Times New Roman"/>
                            <w:color w:val="000000"/>
                            <w:sz w:val="16"/>
                            <w:szCs w:val="16"/>
                          </w:rPr>
                          <w:t>e</w:t>
                        </w:r>
                      </w:p>
                    </w:txbxContent>
                  </v:textbox>
                </v:rect>
                <v:rect id="Rectangle 282" o:spid="_x0000_s1296" style="position:absolute;left:35350;top:52076;width:45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a</w:t>
                        </w:r>
                      </w:p>
                    </w:txbxContent>
                  </v:textbox>
                </v:rect>
                <v:rect id="Rectangle 283" o:spid="_x0000_s1297" style="position:absolute;left:35814;top:52076;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t H</w:t>
                        </w:r>
                      </w:p>
                    </w:txbxContent>
                  </v:textbox>
                </v:rect>
                <v:rect id="Rectangle 284" o:spid="_x0000_s1298" style="position:absolute;left:37128;top:52076;width:34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B247C9" w:rsidRDefault="00B247C9">
                        <w:r>
                          <w:rPr>
                            <w:rFonts w:ascii="Times New Roman" w:hAnsi="Times New Roman" w:cs="Times New Roman"/>
                            <w:color w:val="000000"/>
                            <w:sz w:val="16"/>
                            <w:szCs w:val="16"/>
                          </w:rPr>
                          <w:t>I</w:t>
                        </w:r>
                      </w:p>
                    </w:txbxContent>
                  </v:textbox>
                </v:rect>
                <v:rect id="Rectangle 285" o:spid="_x0000_s1299" style="position:absolute;left:37471;top:52076;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V t</w:t>
                        </w:r>
                      </w:p>
                    </w:txbxContent>
                  </v:textbox>
                </v:rect>
                <v:rect id="Rectangle 286" o:spid="_x0000_s1300" style="position:absolute;left:38785;top:52076;width:45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rsidR="00B247C9" w:rsidRDefault="00B247C9">
                        <w:r>
                          <w:rPr>
                            <w:rFonts w:ascii="Times New Roman" w:hAnsi="Times New Roman" w:cs="Times New Roman"/>
                            <w:color w:val="000000"/>
                            <w:sz w:val="16"/>
                            <w:szCs w:val="16"/>
                          </w:rPr>
                          <w:t>e</w:t>
                        </w:r>
                      </w:p>
                    </w:txbxContent>
                  </v:textbox>
                </v:rect>
                <v:rect id="Rectangle 287" o:spid="_x0000_s1301" style="position:absolute;left:39249;top:52076;width:67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 xml:space="preserve">st </w:t>
                        </w:r>
                      </w:p>
                    </w:txbxContent>
                  </v:textbox>
                </v:rect>
                <v:rect id="Rectangle 288" o:spid="_x0000_s1302" style="position:absolute;left:10077;top:53282;width:155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B247C9" w:rsidRDefault="00B247C9">
                        <w:r>
                          <w:rPr>
                            <w:rFonts w:ascii="Times New Roman" w:hAnsi="Times New Roman" w:cs="Times New Roman"/>
                            <w:color w:val="000000"/>
                            <w:sz w:val="16"/>
                            <w:szCs w:val="16"/>
                          </w:rPr>
                          <w:t>in 2</w:t>
                        </w:r>
                      </w:p>
                    </w:txbxContent>
                  </v:textbox>
                </v:rect>
                <v:rect id="Rectangle 289" o:spid="_x0000_s1303" style="position:absolute;left:11684;top:53282;width:34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w:t>
                        </w:r>
                      </w:p>
                    </w:txbxContent>
                  </v:textbox>
                </v:rect>
                <v:rect id="Rectangle 290" o:spid="_x0000_s1304" style="position:absolute;left:12026;top:53282;width:1950;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rsidR="00B247C9" w:rsidRDefault="00B247C9">
                        <w:r>
                          <w:rPr>
                            <w:rFonts w:ascii="Times New Roman" w:hAnsi="Times New Roman" w:cs="Times New Roman"/>
                            <w:color w:val="000000"/>
                            <w:sz w:val="16"/>
                            <w:szCs w:val="16"/>
                          </w:rPr>
                          <w:t>4 we</w:t>
                        </w:r>
                      </w:p>
                    </w:txbxContent>
                  </v:textbox>
                </v:rect>
                <v:rect id="Rectangle 291" o:spid="_x0000_s1305" style="position:absolute;left:14027;top:53282;width:45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rsidR="00B247C9" w:rsidRDefault="00B247C9">
                        <w:r>
                          <w:rPr>
                            <w:rFonts w:ascii="Times New Roman" w:hAnsi="Times New Roman" w:cs="Times New Roman"/>
                            <w:color w:val="000000"/>
                            <w:sz w:val="16"/>
                            <w:szCs w:val="16"/>
                          </w:rPr>
                          <w:t>e</w:t>
                        </w:r>
                      </w:p>
                    </w:txbxContent>
                  </v:textbox>
                </v:rect>
                <v:rect id="Rectangle 292" o:spid="_x0000_s1306" style="position:absolute;left:14497;top:53282;width:485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ks, followin</w:t>
                        </w:r>
                      </w:p>
                    </w:txbxContent>
                  </v:textbox>
                </v:rect>
                <v:rect id="Rectangle 293" o:spid="_x0000_s1307" style="position:absolute;left:19519;top:53282;width:515;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4KsIA&#10;AADcAAAADwAAAGRycy9kb3ducmV2LnhtbESPzYoCMRCE74LvEFrwphkV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Lgq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g</w:t>
                        </w:r>
                      </w:p>
                    </w:txbxContent>
                  </v:textbox>
                </v:rect>
                <v:rect id="Rectangle 294" o:spid="_x0000_s1308" style="position:absolute;left:20034;top:53282;width:654;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rsidR="00B247C9" w:rsidRDefault="00B247C9">
                        <w:r>
                          <w:rPr>
                            <w:rFonts w:ascii="Times New Roman" w:hAnsi="Times New Roman" w:cs="Times New Roman"/>
                            <w:color w:val="000000"/>
                            <w:sz w:val="16"/>
                            <w:szCs w:val="16"/>
                          </w:rPr>
                          <w:t xml:space="preserve"> s</w:t>
                        </w:r>
                      </w:p>
                    </w:txbxContent>
                  </v:textbox>
                </v:rect>
                <v:rect id="Rectangle 295" o:spid="_x0000_s1309" style="position:absolute;left:20713;top:53282;width:45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DxsIA&#10;AADcAAAADwAAAGRycy9kb3ducmV2LnhtbESPzYoCMRCE74LvEFrwphkV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PG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a</w:t>
                        </w:r>
                      </w:p>
                    </w:txbxContent>
                  </v:textbox>
                </v:rect>
                <v:rect id="Rectangle 296" o:spid="_x0000_s1310" style="position:absolute;left:21177;top:53282;width:1949;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rsidR="00B247C9" w:rsidRDefault="00B247C9">
                        <w:r>
                          <w:rPr>
                            <w:rFonts w:ascii="Times New Roman" w:hAnsi="Times New Roman" w:cs="Times New Roman"/>
                            <w:color w:val="000000"/>
                            <w:sz w:val="16"/>
                            <w:szCs w:val="16"/>
                          </w:rPr>
                          <w:t>me a</w:t>
                        </w:r>
                      </w:p>
                    </w:txbxContent>
                  </v:textbox>
                </v:rect>
                <v:rect id="Rectangle 297" o:spid="_x0000_s1311" style="position:absolute;left:23177;top:53282;width:28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L8IA&#10;AADcAAAADwAAAGRycy9kb3ducmV2LnhtbESPzYoCMRCE7wu+Q2jB25pRYX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bIv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l</w:t>
                        </w:r>
                      </w:p>
                    </w:txbxContent>
                  </v:textbox>
                </v:rect>
                <v:rect id="Rectangle 298" o:spid="_x0000_s1312" style="position:absolute;left:23488;top:53282;width:515;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rsidR="00B247C9" w:rsidRDefault="00B247C9">
                        <w:r>
                          <w:rPr>
                            <w:rFonts w:ascii="Times New Roman" w:hAnsi="Times New Roman" w:cs="Times New Roman"/>
                            <w:color w:val="000000"/>
                            <w:sz w:val="16"/>
                            <w:szCs w:val="16"/>
                          </w:rPr>
                          <w:t>g</w:t>
                        </w:r>
                      </w:p>
                    </w:txbxContent>
                  </v:textbox>
                </v:rect>
                <v:rect id="Rectangle 299" o:spid="_x0000_s1313" style="position:absolute;left:23996;top:53282;width:851;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VMIA&#10;AADcAAAADwAAAGRycy9kb3ducmV2LnhtbESPzYoCMRCE74LvEFrwphl/WGQ0igiCu3hx9AGaSc8P&#10;Jp0hic7s228WFvZYVNVX1O4wWCPe5EPrWMFinoEgLp1uuVbwuJ9nGxAhIms0jknBNwU47MejHeba&#10;9XyjdxFrkSAcclTQxNjlUoayIYth7jri5FXOW4xJ+lpqj32CWyOXWfYhLbacFhrs6NRQ+SxeVoG8&#10;F+d+Uxifua9ldTWfl1tFTqnpZDhuQUQa4n/4r33RClb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1U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or</w:t>
                        </w:r>
                      </w:p>
                    </w:txbxContent>
                  </v:textbox>
                </v:rect>
                <v:rect id="Rectangle 300" o:spid="_x0000_s1314" style="position:absolute;left:24872;top:53282;width:56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TI8IA&#10;AADcAAAADwAAAGRycy9kb3ducmV2LnhtbESP3WoCMRSE7wXfIRzBO826l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j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it</w:t>
                        </w:r>
                      </w:p>
                    </w:txbxContent>
                  </v:textbox>
                </v:rect>
                <v:rect id="Rectangle 301" o:spid="_x0000_s1315" style="position:absolute;left:25457;top:53282;width:299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hm or r</w:t>
                        </w:r>
                      </w:p>
                    </w:txbxContent>
                  </v:textbox>
                </v:rect>
                <v:rect id="Rectangle 302" o:spid="_x0000_s1316" style="position:absolute;left:28543;top:53282;width:45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e</w:t>
                        </w:r>
                      </w:p>
                    </w:txbxContent>
                  </v:textbox>
                </v:rect>
                <v:rect id="Rectangle 303" o:spid="_x0000_s1317" style="position:absolute;left:29006;top:53282;width:794;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fe</w:t>
                        </w:r>
                      </w:p>
                    </w:txbxContent>
                  </v:textbox>
                </v:rect>
                <v:rect id="Rectangle 304" o:spid="_x0000_s1318" style="position:absolute;left:29825;top:53282;width:1385;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r to</w:t>
                        </w:r>
                      </w:p>
                    </w:txbxContent>
                  </v:textbox>
                </v:rect>
                <v:rect id="Rectangle 305" o:spid="_x0000_s1319" style="position:absolute;left:31261;top:53282;width:1555;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 xml:space="preserve"> hig</w:t>
                        </w:r>
                      </w:p>
                    </w:txbxContent>
                  </v:textbox>
                </v:rect>
                <v:rect id="Rectangle 306" o:spid="_x0000_s1320" style="position:absolute;left:32854;top:53282;width:96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kyb8A&#10;AADcAAAADwAAAGRycy9kb3ducmV2LnhtbERPy4rCMBTdC/MP4Q7MTtNRE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w2TJvwAAANwAAAAPAAAAAAAAAAAAAAAAAJgCAABkcnMvZG93bnJl&#10;di54bWxQSwUGAAAAAAQABAD1AAAAhAMAAAAA&#10;" filled="f" stroked="f">
                  <v:textbox style="mso-fit-shape-to-text:t" inset="0,0,0,0">
                    <w:txbxContent>
                      <w:p w:rsidR="00B247C9" w:rsidRDefault="00B247C9">
                        <w:r>
                          <w:rPr>
                            <w:rFonts w:ascii="Times New Roman" w:hAnsi="Times New Roman" w:cs="Times New Roman"/>
                            <w:color w:val="000000"/>
                            <w:sz w:val="16"/>
                            <w:szCs w:val="16"/>
                          </w:rPr>
                          <w:t>he</w:t>
                        </w:r>
                      </w:p>
                    </w:txbxContent>
                  </v:textbox>
                </v:rect>
                <v:rect id="Rectangle 307" o:spid="_x0000_s1321" style="position:absolute;left:33839;top:53282;width:343;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r</w:t>
                        </w:r>
                      </w:p>
                    </w:txbxContent>
                  </v:textbox>
                </v:rect>
                <v:rect id="Rectangle 308" o:spid="_x0000_s1322" style="position:absolute;left:34201;top:53282;width:343;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fit-shape-to-text:t" inset="0,0,0,0">
                    <w:txbxContent>
                      <w:p w:rsidR="00B247C9" w:rsidRDefault="00B247C9">
                        <w:r>
                          <w:rPr>
                            <w:rFonts w:ascii="Times New Roman" w:hAnsi="Times New Roman" w:cs="Times New Roman"/>
                            <w:color w:val="000000"/>
                            <w:sz w:val="16"/>
                            <w:szCs w:val="16"/>
                          </w:rPr>
                          <w:t>-</w:t>
                        </w:r>
                      </w:p>
                    </w:txbxContent>
                  </v:textbox>
                </v:rect>
                <v:rect id="Rectangle 309" o:spid="_x0000_s1323" style="position:absolute;left:34550;top:53282;width:1695;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leve</w:t>
                        </w:r>
                      </w:p>
                    </w:txbxContent>
                  </v:textbox>
                </v:rect>
                <v:rect id="Rectangle 310" o:spid="_x0000_s1324" style="position:absolute;left:36296;top:53282;width:8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l f</w:t>
                        </w:r>
                      </w:p>
                    </w:txbxContent>
                  </v:textbox>
                </v:rect>
                <v:rect id="Rectangle 311" o:spid="_x0000_s1325" style="position:absolute;left:37211;top:53282;width:45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a</w:t>
                        </w:r>
                      </w:p>
                    </w:txbxContent>
                  </v:textbox>
                </v:rect>
                <v:rect id="Rectangle 312" o:spid="_x0000_s1326" style="position:absolute;left:37668;top:53282;width:45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c</w:t>
                        </w:r>
                      </w:p>
                    </w:txbxContent>
                  </v:textbox>
                </v:rect>
                <v:rect id="Rectangle 313" o:spid="_x0000_s1327" style="position:absolute;left:38131;top:53282;width:565;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il</w:t>
                        </w:r>
                      </w:p>
                    </w:txbxContent>
                  </v:textbox>
                </v:rect>
                <v:rect id="Rectangle 314" o:spid="_x0000_s1328" style="position:absolute;left:38715;top:53282;width:56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it</w:t>
                        </w:r>
                      </w:p>
                    </w:txbxContent>
                  </v:textbox>
                </v:rect>
                <v:rect id="Rectangle 315" o:spid="_x0000_s1329" style="position:absolute;left:39312;top:53282;width:515;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y</w:t>
                        </w:r>
                      </w:p>
                    </w:txbxContent>
                  </v:textbox>
                </v:rect>
                <v:rect id="Rectangle 316" o:spid="_x0000_s1330" style="position:absolute;left:39820;top:53282;width:28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rsidR="00B247C9" w:rsidRDefault="00B247C9">
                        <w:r>
                          <w:rPr>
                            <w:rFonts w:ascii="Times New Roman" w:hAnsi="Times New Roman" w:cs="Times New Roman"/>
                            <w:color w:val="000000"/>
                            <w:sz w:val="16"/>
                            <w:szCs w:val="16"/>
                          </w:rPr>
                          <w:t xml:space="preserve">; </w:t>
                        </w:r>
                      </w:p>
                    </w:txbxContent>
                  </v:textbox>
                </v:rect>
                <v:rect id="Rectangle 317" o:spid="_x0000_s1331" style="position:absolute;left:13582;top:54514;width:45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a</w:t>
                        </w:r>
                      </w:p>
                    </w:txbxContent>
                  </v:textbox>
                </v:rect>
                <v:rect id="Rectangle 318" o:spid="_x0000_s1332" style="position:absolute;left:14039;top:54514;width:364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B247C9" w:rsidRDefault="00B247C9">
                        <w:r>
                          <w:rPr>
                            <w:rFonts w:ascii="Times New Roman" w:hAnsi="Times New Roman" w:cs="Times New Roman"/>
                            <w:color w:val="000000"/>
                            <w:sz w:val="16"/>
                            <w:szCs w:val="16"/>
                          </w:rPr>
                          <w:t>dvise tha</w:t>
                        </w:r>
                      </w:p>
                    </w:txbxContent>
                  </v:textbox>
                </v:rect>
                <v:rect id="Rectangle 319" o:spid="_x0000_s1333" style="position:absolute;left:17799;top:54514;width:307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B247C9" w:rsidRDefault="00B247C9">
                        <w:r>
                          <w:rPr>
                            <w:rFonts w:ascii="Times New Roman" w:hAnsi="Times New Roman" w:cs="Times New Roman"/>
                            <w:color w:val="000000"/>
                            <w:sz w:val="16"/>
                            <w:szCs w:val="16"/>
                          </w:rPr>
                          <w:t>t protec</w:t>
                        </w:r>
                      </w:p>
                    </w:txbxContent>
                  </v:textbox>
                </v:rect>
                <v:rect id="Rectangle 320" o:spid="_x0000_s1334" style="position:absolute;left:20967;top:54514;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sMAA&#10;AADcAAAADwAAAGRycy9kb3ducmV2LnhtbERPS2rDMBDdF3IHMYHsGrlZpMa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UsMAAAADcAAAADwAAAAAAAAAAAAAAAACYAgAAZHJzL2Rvd25y&#10;ZXYueG1sUEsFBgAAAAAEAAQA9QAAAIUDAAAAAA==&#10;" filled="f" stroked="f">
                  <v:textbox style="mso-fit-shape-to-text:t" inset="0,0,0,0">
                    <w:txbxContent>
                      <w:p w:rsidR="00B247C9" w:rsidRDefault="00B247C9">
                        <w:r>
                          <w:rPr>
                            <w:rFonts w:ascii="Times New Roman" w:hAnsi="Times New Roman" w:cs="Times New Roman"/>
                            <w:color w:val="000000"/>
                            <w:sz w:val="16"/>
                            <w:szCs w:val="16"/>
                          </w:rPr>
                          <w:t>ti</w:t>
                        </w:r>
                      </w:p>
                    </w:txbxContent>
                  </v:textbox>
                </v:rect>
                <v:rect id="Rectangle 321" o:spid="_x0000_s1335" style="position:absolute;left:21558;top:54514;width:194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xK8IA&#10;AADcAAAADwAAAGRycy9kb3ducmV2LnhtbESPzYoCMRCE7wu+Q2jB25rRg+uORhFBUNmL4z5AM+n5&#10;waQzJNEZ394IC3ssquorar0drBEP8qF1rGA2zUAQl063XCv4vR4+lyBCRNZoHJOCJwXYbkYfa8y1&#10;6/lCjyLWIkE45KigibHLpQxlQxbD1HXEyauctxiT9LXUHvsEt0bOs2whLbacFhrsaN9QeSvuVoG8&#10;Fod+WRifufO8+jGn46Uip9RkPOxWICIN8T/81z5qBV+L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TEr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 xml:space="preserve">on is </w:t>
                        </w:r>
                      </w:p>
                    </w:txbxContent>
                  </v:textbox>
                </v:rect>
                <v:rect id="Rectangle 322" o:spid="_x0000_s1336" style="position:absolute;left:23837;top:54514;width:45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Oa8AA&#10;AADcAAAADwAAAGRycy9kb3ducmV2LnhtbERPS2rDMBDdF3IHMYHuGjleNMaNEkogkJRsYvcAgzX+&#10;UGlkJMV2b18tClk+3n9/XKwRE/kwOFaw3WQgiBunB+4UfNfntwJEiMgajWNS8EsBjofVyx5L7Wa+&#10;01TFTqQQDiUq6GMcSylD05PFsHEjceJa5y3GBH0ntcc5hVsj8yx7lxYHTg09jnTqqfmpHlaBrKvz&#10;XFTGZ+4rb2/merm35JR6XS+fHyAiLfEp/ndftILdL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YOa8AAAADcAAAADwAAAAAAAAAAAAAAAACYAgAAZHJzL2Rvd25y&#10;ZXYueG1sUEsFBgAAAAAEAAQA9QAAAIUDAAAAAA==&#10;" filled="f" stroked="f">
                  <v:textbox style="mso-fit-shape-to-text:t" inset="0,0,0,0">
                    <w:txbxContent>
                      <w:p w:rsidR="00B247C9" w:rsidRDefault="00B247C9">
                        <w:r>
                          <w:rPr>
                            <w:rFonts w:ascii="Times New Roman" w:hAnsi="Times New Roman" w:cs="Times New Roman"/>
                            <w:color w:val="000000"/>
                            <w:sz w:val="16"/>
                            <w:szCs w:val="16"/>
                          </w:rPr>
                          <w:t>c</w:t>
                        </w:r>
                      </w:p>
                    </w:txbxContent>
                  </v:textbox>
                </v:rect>
                <v:rect id="Rectangle 323" o:spid="_x0000_s1337" style="position:absolute;left:24301;top:54514;width:208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r8MEA&#10;AADcAAAADwAAAGRycy9kb3ducmV2LnhtbESPzYoCMRCE7wu+Q2jB25rRg8poFBEEV/bi6AM0k54f&#10;TDpDEp3ZtzcLgseiqr6iNrvBGvEkH1rHCmbTDARx6XTLtYLb9fi9AhEiskbjmBT8UYDddvS1wVy7&#10;ni/0LGItEoRDjgqaGLtcylA2ZDFMXUecvMp5izFJX0vtsU9wa+Q8yxbSYstpocGODg2V9+JhFchr&#10;cexXhfGZO8+rX/NzulTklJqMh/0aRKQhfsLv9kkrWC5n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aq/DBAAAA3AAAAA8AAAAAAAAAAAAAAAAAmAIAAGRycy9kb3du&#10;cmV2LnhtbFBLBQYAAAAABAAEAPUAAACGAwAAAAA=&#10;" filled="f" stroked="f">
                  <v:textbox style="mso-fit-shape-to-text:t" inset="0,0,0,0">
                    <w:txbxContent>
                      <w:p w:rsidR="00B247C9" w:rsidRDefault="00B247C9">
                        <w:r>
                          <w:rPr>
                            <w:rFonts w:ascii="Times New Roman" w:hAnsi="Times New Roman" w:cs="Times New Roman"/>
                            <w:color w:val="000000"/>
                            <w:sz w:val="16"/>
                            <w:szCs w:val="16"/>
                          </w:rPr>
                          <w:t>ritica</w:t>
                        </w:r>
                      </w:p>
                    </w:txbxContent>
                  </v:textbox>
                </v:rect>
                <v:rect id="Rectangle 324" o:spid="_x0000_s1338" style="position:absolute;left:26454;top:54514;width:183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1h8IA&#10;AADcAAAADwAAAGRycy9kb3ducmV2LnhtbESPzYoCMRCE7wu+Q+gFb2tm56AyGmVZEFT24ugDNJOe&#10;H0w6QxKd8e3NguCxqKqvqPV2tEbcyYfOsYLvWQaCuHK640bB5bz7WoIIEVmjcUwKHhRgu5l8rLHQ&#10;buAT3cvYiAThUKCCNsa+kDJULVkMM9cTJ6923mJM0jdSexwS3BqZZ9lcWuw4LbTY029L1bW8WQXy&#10;XO6GZWl85o55/WcO+1NNTqnp5/izAhFpjO/wq73XCha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DWH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l unt</w:t>
                        </w:r>
                      </w:p>
                    </w:txbxContent>
                  </v:textbox>
                </v:rect>
                <v:rect id="Rectangle 325" o:spid="_x0000_s1339" style="position:absolute;left:28352;top:54514;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QHMIA&#10;AADcAAAADwAAAGRycy9kb3ducmV2LnhtbESPzYoCMRCE74LvEFrwphkVVp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hJAc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il</w:t>
                        </w:r>
                      </w:p>
                    </w:txbxContent>
                  </v:textbox>
                </v:rect>
                <v:rect id="Rectangle 326" o:spid="_x0000_s1340" style="position:absolute;left:28936;top:54514;width:59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aMIA&#10;AADcAAAADwAAAGRycy9kb3ducmV2LnhtbESPzYoCMRCE74LvEFrwphlFVp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Qho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 xml:space="preserve"> r</w:t>
                        </w:r>
                      </w:p>
                    </w:txbxContent>
                  </v:textbox>
                </v:rect>
                <v:rect id="Rectangle 327" o:spid="_x0000_s1341" style="position:absolute;left:29546;top:54514;width:45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t88IA&#10;AADcAAAADwAAAGRycy9kb3ducmV2LnhtbESPzYoCMRCE74LvEFrwphkFV5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a3z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e</w:t>
                        </w:r>
                      </w:p>
                    </w:txbxContent>
                  </v:textbox>
                </v:rect>
                <v:rect id="Rectangle 328" o:spid="_x0000_s1342" style="position:absolute;left:30003;top:54514;width:147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zhMEA&#10;AADcAAAADwAAAGRycy9kb3ducmV2LnhtbESPzYoCMRCE7wu+Q2jB25rRg8qsUUQQVLw47gM0k54f&#10;TDpDEp3x7Y2wsMeiqr6i1tvBGvEkH1rHCmbTDARx6XTLtYLf2+F7BSJEZI3GMSl4UYDtZvS1xly7&#10;nq/0LGItEoRDjgqaGLtcylA2ZDFMXUecvMp5izFJX0vtsU9wa+Q8yxbSYstpocGO9g2V9+JhFchb&#10;cehXhfGZO8+rizkdrxU5pSbjYfcDItIQ/8N/7aNWsFwu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zM4TBAAAA3AAAAA8AAAAAAAAAAAAAAAAAmAIAAGRycy9kb3du&#10;cmV2LnhtbFBLBQYAAAAABAAEAPUAAACGAwAAAAA=&#10;" filled="f" stroked="f">
                  <v:textbox style="mso-fit-shape-to-text:t" inset="0,0,0,0">
                    <w:txbxContent>
                      <w:p w:rsidR="00B247C9" w:rsidRDefault="00B247C9">
                        <w:r>
                          <w:rPr>
                            <w:rFonts w:ascii="Times New Roman" w:hAnsi="Times New Roman" w:cs="Times New Roman"/>
                            <w:color w:val="000000"/>
                            <w:sz w:val="16"/>
                            <w:szCs w:val="16"/>
                          </w:rPr>
                          <w:t>sult</w:t>
                        </w:r>
                      </w:p>
                    </w:txbxContent>
                  </v:textbox>
                </v:rect>
                <v:rect id="Rectangle 329" o:spid="_x0000_s1343" style="position:absolute;left:31527;top:54514;width:144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H8IA&#10;AADcAAAADwAAAGRycy9kb3ducmV2LnhtbESPzYoCMRCE7wu+Q2jB25rRgyO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5Yf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s ar</w:t>
                        </w:r>
                      </w:p>
                    </w:txbxContent>
                  </v:textbox>
                </v:rect>
                <v:rect id="Rectangle 330" o:spid="_x0000_s1344" style="position:absolute;left:33013;top:54514;width:45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CbcAA&#10;AADcAAAADwAAAGRycy9kb3ducmV2LnhtbERPS2rDMBDdF3IHMYHuGjleNMaNEkogkJRsYvcAgzX+&#10;UGlkJMV2b18tClk+3n9/XKwRE/kwOFaw3WQgiBunB+4UfNfntwJEiMgajWNS8EsBjofVyx5L7Wa+&#10;01TFTqQQDiUq6GMcSylD05PFsHEjceJa5y3GBH0ntcc5hVsj8yx7lxYHTg09jnTqqfmpHlaBrKvz&#10;XFTGZ+4rb2/merm35JR6XS+fHyAiLfEp/ndftILdL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ACbcAAAADcAAAADwAAAAAAAAAAAAAAAACYAgAAZHJzL2Rvd25y&#10;ZXYueG1sUEsFBgAAAAAEAAQA9QAAAIUDAAAAAA==&#10;" filled="f" stroked="f">
                  <v:textbox style="mso-fit-shape-to-text:t" inset="0,0,0,0">
                    <w:txbxContent>
                      <w:p w:rsidR="00B247C9" w:rsidRDefault="00B247C9">
                        <w:r>
                          <w:rPr>
                            <w:rFonts w:ascii="Times New Roman" w:hAnsi="Times New Roman" w:cs="Times New Roman"/>
                            <w:color w:val="000000"/>
                            <w:sz w:val="16"/>
                            <w:szCs w:val="16"/>
                          </w:rPr>
                          <w:t>e</w:t>
                        </w:r>
                      </w:p>
                    </w:txbxContent>
                  </v:textbox>
                </v:rect>
                <v:rect id="Rectangle 331" o:spid="_x0000_s1345" style="position:absolute;left:33470;top:54514;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n9sIA&#10;AADcAAAADwAAAGRycy9kb3ducmV2LnhtbESPzYoCMRCE74LvEFrwphk9qDsaRQRBl7047gM0k54f&#10;TDpDEp3x7TcLC3ssquorancYrBEv8qF1rGAxz0AQl063XCv4vp9nGxAhIms0jknBmwIc9uPRDnPt&#10;er7Rq4i1SBAOOSpoYuxyKUPZkMUwdx1x8irnLcYkfS21xz7BrZHLLFtJiy2nhQY7OjVUPoqnVSDv&#10;xbnfFMZn7nNZfZnr5VaRU2o6GY5bEJGG+B/+a1+0gvX6A3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Kf2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 xml:space="preserve"> kn</w:t>
                        </w:r>
                      </w:p>
                    </w:txbxContent>
                  </v:textbox>
                </v:rect>
                <v:rect id="Rectangle 332" o:spid="_x0000_s1346" style="position:absolute;left:34791;top:54514;width:175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TL4A&#10;AADcAAAADwAAAGRycy9kb3ducmV2LnhtbERPy4rCMBTdD/gP4QruxlQXT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Dfky+AAAA3AAAAA8AAAAAAAAAAAAAAAAAmAIAAGRycy9kb3ducmV2&#10;LnhtbFBLBQYAAAAABAAEAPUAAACDAwAAAAA=&#10;" filled="f" stroked="f">
                  <v:textbox style="mso-fit-shape-to-text:t" inset="0,0,0,0">
                    <w:txbxContent>
                      <w:p w:rsidR="00B247C9" w:rsidRDefault="00B247C9">
                        <w:r>
                          <w:rPr>
                            <w:rFonts w:ascii="Times New Roman" w:hAnsi="Times New Roman" w:cs="Times New Roman"/>
                            <w:color w:val="000000"/>
                            <w:sz w:val="16"/>
                            <w:szCs w:val="16"/>
                          </w:rPr>
                          <w:t>own</w:t>
                        </w:r>
                      </w:p>
                    </w:txbxContent>
                  </v:textbox>
                </v:rect>
                <v:rect id="Rectangle 333" o:spid="_x0000_s1347" style="position:absolute;left:36614;top:54514;width:26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18IA&#10;AADcAAAADwAAAGRycy9kb3ducmV2LnhtbESPzYoCMRCE7wu+Q2jB25rRgzuM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9vX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 xml:space="preserve"> </w:t>
                        </w:r>
                      </w:p>
                    </w:txbxContent>
                  </v:textbox>
                </v:rect>
                <v:shape id="Freeform 334" o:spid="_x0000_s1348" style="position:absolute;left:24828;top:47567;width:527;height:2217;visibility:visible;mso-wrap-style:square;v-text-anchor:top" coordsize="80,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38sUA&#10;AADcAAAADwAAAGRycy9kb3ducmV2LnhtbESPS4vCQBCE74L/YWjBm042LCpZJyKKoOyC+Dh4bDKd&#10;B2Z6QmZW4/56Z0HwWFTVV9R80Zla3Kh1lWUFH+MIBHFmdcWFgvNpM5qBcB5ZY22ZFDzIwSLt9+aY&#10;aHvnA92OvhABwi5BBaX3TSKly0oy6Ma2IQ5ebluDPsi2kLrFe4CbWsZRNJEGKw4LJTa0Kim7Hn+N&#10;gu/HenPwl0+71H/x7voz3W/jOldqOOiWXyA8df4dfrW3WsF0FsP/mXAEZP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nfyxQAAANwAAAAPAAAAAAAAAAAAAAAAAJgCAABkcnMv&#10;ZG93bnJldi54bWxQSwUGAAAAAAQABAD1AAAAigMAAAAA&#10;" path="m47,r,l47,272r-14,l33,,47,xm80,258r,l40,338,,258r80,xe" fillcolor="black" strokeweight="0">
                  <v:path arrowok="t" o:connecttype="custom" o:connectlocs="30964,0;30964,0;30964,178341;21741,178341;21741,0;30964,0;52705,169162;52705,169162;26353,221615;0,169162;52705,169162" o:connectangles="0,0,0,0,0,0,0,0,0,0,0"/>
                  <o:lock v:ext="edit" verticies="t"/>
                </v:shape>
                <v:shape id="Freeform 335" o:spid="_x0000_s1349" style="position:absolute;left:11976;top:19812;width:22485;height:6;visibility:visible;mso-wrap-style:square;v-text-anchor:top" coordsize="3428,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3BcUA&#10;AADcAAAADwAAAGRycy9kb3ducmV2LnhtbESPwWrDMBBE74X+g9hAb40cF1rjRjbBUPAhITTJIcfF&#10;2lom1sq1FMf9+6hQ6HGYmTfMupxtLyYafedYwWqZgCBunO64VXA6fjxnIHxA1tg7JgU/5KEsHh/W&#10;mGt340+aDqEVEcI+RwUmhCGX0jeGLPqlG4ij9+VGiyHKsZV6xFuE216mSfIqLXYcFwwOVBlqLoer&#10;VeD10JoT7nbfyfa83V8rPdepVuppMW/eQQSaw3/4r11rBW/ZC/yei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rcFxQAAANwAAAAPAAAAAAAAAAAAAAAAAJgCAABkcnMv&#10;ZG93bnJldi54bWxQSwUGAAAAAAQABAD1AAAAigMAAAAA&#10;" path="m,l,,3428,e" filled="f" strokeweight="28e-5mm">
                  <v:path arrowok="t" o:connecttype="custom" o:connectlocs="0,0;0,0;2248535,0" o:connectangles="0,0,0"/>
                </v:shape>
                <v:shape id="Freeform 336" o:spid="_x0000_s1350" style="position:absolute;left:22891;top:12325;width:521;height:1949;visibility:visible;mso-wrap-style:square;v-text-anchor:top" coordsize="8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BD8cA&#10;AADcAAAADwAAAGRycy9kb3ducmV2LnhtbESP3UrDQBSE74W+w3IK3tlNRbSk3ZaSIhQE0f6keHfI&#10;nmRjs2fT7NrEt3cFwcthZr5hFqvBNuJKna8dK5hOEhDEhdM1VwoO++e7GQgfkDU2jknBN3lYLUc3&#10;C0y16/mdrrtQiQhhn6ICE0KbSukLQxb9xLXE0StdZzFE2VVSd9hHuG3kfZI8Sos1xwWDLWWGivPu&#10;yyrI2xd/OF3ejq9l+bnJzUeW132m1O14WM9BBBrCf/ivvdUKnmYP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SgQ/HAAAA3AAAAA8AAAAAAAAAAAAAAAAAmAIAAGRy&#10;cy9kb3ducmV2LnhtbFBLBQYAAAAABAAEAPUAAACMAwAAAAA=&#10;" path="m46,r,l46,232r-13,l33,,46,xm80,218r,l40,298,,218r80,xe" fillcolor="black" strokeweight="0">
                  <v:path arrowok="t" o:connecttype="custom" o:connectlocs="29940,0;29940,0;29940,151769;21479,151769;21479,0;29940,0;52070,142611;52070,142611;26035,194945;0,142611;52070,142611" o:connectangles="0,0,0,0,0,0,0,0,0,0,0"/>
                  <o:lock v:ext="edit" verticies="t"/>
                </v:shape>
                <v:shape id="Freeform 337" o:spid="_x0000_s1351" style="position:absolute;left:17043;top:9956;width:12490;height:2464;visibility:visible;mso-wrap-style:square;v-text-anchor:top" coordsize="190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0E8UA&#10;AADcAAAADwAAAGRycy9kb3ducmV2LnhtbESPT2vCQBTE74LfYXlCb7qxpFaiq5SW0oJe/H99ZJ9J&#10;NPs27G5N/PZdodDjMDO/YebLztTiRs5XlhWMRwkI4tzqigsF+93ncArCB2SNtWVScCcPy0W/N8dM&#10;25Y3dNuGQkQI+wwVlCE0mZQ+L8mgH9mGOHpn6wyGKF0htcM2wk0tn5NkIg1WHBdKbOi9pPy6/TEK&#10;THr6uq/5kH6s/Dptj+YycZedUk+D7m0GIlAX/sN/7W+t4HX6Ao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QTxQAAANwAAAAPAAAAAAAAAAAAAAAAAJgCAABkcnMv&#10;ZG93bnJldi54bWxQSwUGAAAAAAQABAD1AAAAigMAAAAA&#10;" path="m,62r,c,28,28,,62,l1841,v35,,63,28,63,62l1904,313v,35,-28,63,-63,63l62,376c28,376,,348,,313l,62xe" filled="f" strokeweight="28e-5mm">
                  <v:stroke joinstyle="miter"/>
                  <v:path arrowok="t" o:connecttype="custom" o:connectlocs="0,40626;0,40626;40673,0;1207716,0;1249045,40626;1249045,205098;1207716,246380;40673,246380;0,205098;0,40626" o:connectangles="0,0,0,0,0,0,0,0,0,0"/>
                </v:shape>
                <v:rect id="Rectangle 338" o:spid="_x0000_s1352" style="position:absolute;left:20421;top:10687;width:107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mOMIA&#10;AADcAAAADwAAAGRycy9kb3ducmV2LnhtbESPzYoCMRCE7wu+Q2jB25rRgw6jUZYFQZe9OPoAzaTn&#10;B5POkERnfPvNguCxqKqvqO1+tEY8yIfOsYLFPANBXDndcaPgejl85iBCRNZoHJOCJwXY7yYfWyy0&#10;G/hMjzI2IkE4FKigjbEvpAxVSxbD3PXEyaudtxiT9I3UHocEt0Yus2wlLXacFlrs6bul6lberQJ5&#10;KQ9DXhqfuZ9l/WtOx3NNTqnZdPzagIg0xnf41T5qBet8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uY4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Dr</w:t>
                        </w:r>
                      </w:p>
                    </w:txbxContent>
                  </v:textbox>
                </v:rect>
                <v:rect id="Rectangle 339" o:spid="_x0000_s1353" style="position:absolute;left:21526;top:10687;width:45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ySr4A&#10;AADcAAAADwAAAGRycy9kb3ducmV2LnhtbERPy4rCMBTdD/gP4QruxlQXT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1ckq+AAAA3AAAAA8AAAAAAAAAAAAAAAAAmAIAAGRycy9kb3ducmV2&#10;LnhtbFBLBQYAAAAABAAEAPUAAACDAwAAAAA=&#10;" filled="f" stroked="f">
                  <v:textbox style="mso-fit-shape-to-text:t" inset="0,0,0,0">
                    <w:txbxContent>
                      <w:p w:rsidR="00B247C9" w:rsidRDefault="00B247C9">
                        <w:r>
                          <w:rPr>
                            <w:rFonts w:ascii="Times New Roman" w:hAnsi="Times New Roman" w:cs="Times New Roman"/>
                            <w:color w:val="000000"/>
                            <w:sz w:val="16"/>
                            <w:szCs w:val="16"/>
                          </w:rPr>
                          <w:t>a</w:t>
                        </w:r>
                      </w:p>
                    </w:txbxContent>
                  </v:textbox>
                </v:rect>
                <v:rect id="Rectangle 340" o:spid="_x0000_s1354" style="position:absolute;left:21990;top:10687;width:403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25sIA&#10;AADcAAAADwAAAGRycy9kb3ducmV2LnhtbESP3WoCMRSE7wu+QziCdzWrQt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Hbm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w Sample</w:t>
                        </w:r>
                      </w:p>
                    </w:txbxContent>
                  </v:textbox>
                </v:rect>
                <v:rect id="Rectangle 341" o:spid="_x0000_s1355" style="position:absolute;left:26168;top:10687;width:26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ksIA&#10;AADcAAAADwAAAGRycy9kb3ducmV2LnhtbESP3WoCMRSE7wu+QziCdzWrS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e6SwgAAANwAAAAPAAAAAAAAAAAAAAAAAJgCAABkcnMvZG93&#10;bnJldi54bWxQSwUGAAAAAAQABAD1AAAAhwMAAAAA&#10;" filled="f" stroked="f">
                  <v:textbox style="mso-fit-shape-to-text:t" inset="0,0,0,0">
                    <w:txbxContent>
                      <w:p w:rsidR="00B247C9" w:rsidRDefault="00B247C9">
                        <w:r>
                          <w:rPr>
                            <w:rFonts w:ascii="Times New Roman" w:hAnsi="Times New Roman" w:cs="Times New Roman"/>
                            <w:color w:val="000000"/>
                            <w:sz w:val="16"/>
                            <w:szCs w:val="16"/>
                          </w:rPr>
                          <w:t xml:space="preserve"> </w:t>
                        </w:r>
                      </w:p>
                    </w:txbxContent>
                  </v:textbox>
                </v:rect>
                <w10:anchorlock/>
              </v:group>
            </w:pict>
          </mc:Fallback>
        </mc:AlternateContent>
      </w:r>
    </w:p>
    <w:p w:rsidR="0071027C" w:rsidRPr="002F03DF" w:rsidRDefault="0071027C" w:rsidP="00AA771C">
      <w:pPr>
        <w:spacing w:beforeLines="120" w:before="288" w:afterLines="120" w:after="288" w:line="240" w:lineRule="auto"/>
        <w:jc w:val="both"/>
        <w:rPr>
          <w:rFonts w:ascii="Arial" w:hAnsi="Arial" w:cs="Arial"/>
        </w:rPr>
      </w:pPr>
      <w:r w:rsidRPr="002F03DF">
        <w:rPr>
          <w:rFonts w:ascii="Arial" w:hAnsi="Arial" w:cs="Arial"/>
        </w:rPr>
        <w:t>The national testing algorithm for HIV enzyme linked</w:t>
      </w:r>
      <w:r>
        <w:rPr>
          <w:rFonts w:ascii="Arial" w:hAnsi="Arial" w:cs="Arial"/>
        </w:rPr>
        <w:t xml:space="preserve"> immune </w:t>
      </w:r>
      <w:r w:rsidRPr="002F03DF">
        <w:rPr>
          <w:rFonts w:ascii="Arial" w:hAnsi="Arial" w:cs="Arial"/>
        </w:rPr>
        <w:t>sorbent</w:t>
      </w:r>
      <w:r>
        <w:rPr>
          <w:rFonts w:ascii="Arial" w:hAnsi="Arial" w:cs="Arial"/>
        </w:rPr>
        <w:t xml:space="preserve"> </w:t>
      </w:r>
      <w:r w:rsidRPr="002F03DF">
        <w:rPr>
          <w:rFonts w:ascii="Arial" w:hAnsi="Arial" w:cs="Arial"/>
        </w:rPr>
        <w:t>assays (ELISA), the blood sample is tested with Vironostika antigen/antibody combination assay first, the Enzygnost</w:t>
      </w:r>
      <w:r>
        <w:rPr>
          <w:rFonts w:ascii="Arial" w:hAnsi="Arial" w:cs="Arial"/>
        </w:rPr>
        <w:t xml:space="preserve"> </w:t>
      </w:r>
      <w:r w:rsidRPr="002F03DF">
        <w:rPr>
          <w:rFonts w:ascii="Arial" w:hAnsi="Arial" w:cs="Arial"/>
        </w:rPr>
        <w:t>Intergral II is used only when the first HIV test revealed an HIV-positive test result.</w:t>
      </w:r>
    </w:p>
    <w:p w:rsidR="0071027C" w:rsidRPr="00CA1CF7" w:rsidRDefault="0071027C" w:rsidP="0071027C">
      <w:pPr>
        <w:pStyle w:val="Heading3"/>
      </w:pPr>
      <w:bookmarkStart w:id="170" w:name="_Toc374957220"/>
      <w:bookmarkStart w:id="171" w:name="_Toc378258122"/>
      <w:bookmarkStart w:id="172" w:name="_Toc382213985"/>
      <w:r w:rsidRPr="00CA1CF7">
        <w:t>4.2.2 Diagnosing HIV infection in children under 18 months</w:t>
      </w:r>
      <w:bookmarkEnd w:id="170"/>
      <w:bookmarkEnd w:id="171"/>
      <w:bookmarkEnd w:id="172"/>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hAnsi="Arial" w:cs="Arial"/>
        </w:rPr>
        <w:t>A positive antibody test (rapid test or EIA) in infants below 18 months does not confirm HIV infection, rather exposure to HIV (see for details chapter 7). The laboratory diagnosis of HIV infection in infants and children aged &lt;18 months is done by detection of viral nucleic acid (RNA or pro-viral DNA) or viral antigens (p24).</w:t>
      </w:r>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hAnsi="Arial" w:cs="Arial"/>
        </w:rPr>
        <w:t>HIV DNA polymerase chain reaction (PCR) method is used to confirm HIV infection in infants and children ≤ 18 months of age. PCR can be used to diagnose HIV infection in most infected infants by the age of 4 weeks. Capacity for PCR testing has been developed at the three zonal consultant hospitals (Mbeya, Bugando and KCMC), one national hospital (Muhimbili) and the national reference laboratory</w:t>
      </w:r>
      <w:r w:rsidRPr="002F03DF">
        <w:rPr>
          <w:rFonts w:ascii="Arial" w:hAnsi="Arial" w:cs="Arial"/>
          <w:color w:val="FF0000"/>
        </w:rPr>
        <w:t xml:space="preserve"> </w:t>
      </w:r>
      <w:r w:rsidRPr="00CA1CF7">
        <w:rPr>
          <w:rFonts w:ascii="Arial" w:hAnsi="Arial" w:cs="Arial"/>
        </w:rPr>
        <w:t>(NHL-QATC).</w:t>
      </w:r>
      <w:r w:rsidRPr="002F03DF">
        <w:rPr>
          <w:rFonts w:ascii="Arial" w:hAnsi="Arial" w:cs="Arial"/>
          <w:color w:val="FF0000"/>
        </w:rPr>
        <w:t xml:space="preserve"> </w:t>
      </w:r>
      <w:r w:rsidRPr="002F03DF">
        <w:rPr>
          <w:rFonts w:ascii="Arial" w:hAnsi="Arial" w:cs="Arial"/>
        </w:rPr>
        <w:t>Samples for PCR testing can be whole blood or dried blood spots (DBS) on special filter paper cards which need to be transported to the zonal hospital laboratories.</w:t>
      </w:r>
    </w:p>
    <w:p w:rsidR="0071027C" w:rsidRPr="002F03DF" w:rsidRDefault="0071027C" w:rsidP="00B247C9">
      <w:pPr>
        <w:pStyle w:val="StyleJustifiedCharChar"/>
      </w:pPr>
    </w:p>
    <w:p w:rsidR="0071027C" w:rsidRPr="002F03DF" w:rsidRDefault="00AA771C" w:rsidP="00B247C9">
      <w:pPr>
        <w:pStyle w:val="StyleJustifiedCharChar"/>
      </w:pPr>
      <w:r>
        <w:rPr>
          <w:noProof/>
          <w:lang w:val="en-US"/>
        </w:rPr>
        <mc:AlternateContent>
          <mc:Choice Requires="wps">
            <w:drawing>
              <wp:anchor distT="0" distB="0" distL="114300" distR="114300" simplePos="0" relativeHeight="251678720" behindDoc="0" locked="0" layoutInCell="1" allowOverlap="1">
                <wp:simplePos x="0" y="0"/>
                <wp:positionH relativeFrom="column">
                  <wp:posOffset>56515</wp:posOffset>
                </wp:positionH>
                <wp:positionV relativeFrom="paragraph">
                  <wp:posOffset>57150</wp:posOffset>
                </wp:positionV>
                <wp:extent cx="5486400" cy="708660"/>
                <wp:effectExtent l="0" t="0" r="19050" b="15240"/>
                <wp:wrapSquare wrapText="bothSides"/>
                <wp:docPr id="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08660"/>
                        </a:xfrm>
                        <a:prstGeom prst="rect">
                          <a:avLst/>
                        </a:prstGeom>
                        <a:solidFill>
                          <a:srgbClr val="DDDDDD"/>
                        </a:solidFill>
                        <a:ln w="9525">
                          <a:solidFill>
                            <a:srgbClr val="000000"/>
                          </a:solidFill>
                          <a:miter lim="800000"/>
                          <a:headEnd/>
                          <a:tailEnd/>
                        </a:ln>
                      </wps:spPr>
                      <wps:txbx>
                        <w:txbxContent>
                          <w:p w:rsidR="00B247C9" w:rsidRPr="00FE2DEA" w:rsidRDefault="00B247C9" w:rsidP="0071027C">
                            <w:pPr>
                              <w:shd w:val="clear" w:color="auto" w:fill="000000" w:themeFill="text1"/>
                              <w:spacing w:after="0"/>
                              <w:jc w:val="center"/>
                              <w:rPr>
                                <w:b/>
                                <w:bCs/>
                                <w:sz w:val="32"/>
                                <w:szCs w:val="32"/>
                              </w:rPr>
                            </w:pPr>
                            <w:r w:rsidRPr="00FE2DEA">
                              <w:rPr>
                                <w:b/>
                                <w:sz w:val="32"/>
                                <w:szCs w:val="32"/>
                              </w:rPr>
                              <w:t>HIV infection can be diagnosed in most infected infants by the age4 weeks by using the DNA PCR technique where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56" type="#_x0000_t202" style="position:absolute;left:0;text-align:left;margin-left:4.45pt;margin-top:4.5pt;width:6in;height:5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" fillcolor="#ddd">
                <v:textbox>
                  <w:txbxContent>
                    <w:p w:rsidR="00B247C9" w:rsidRPr="00FE2DEA" w:rsidRDefault="00B247C9" w:rsidP="0071027C">
                      <w:pPr>
                        <w:shd w:val="clear" w:color="auto" w:fill="000000" w:themeFill="text1"/>
                        <w:spacing w:after="0"/>
                        <w:jc w:val="center"/>
                        <w:rPr>
                          <w:b/>
                          <w:bCs/>
                          <w:sz w:val="32"/>
                          <w:szCs w:val="32"/>
                        </w:rPr>
                      </w:pPr>
                      <w:r w:rsidRPr="00FE2DEA">
                        <w:rPr>
                          <w:b/>
                          <w:sz w:val="32"/>
                          <w:szCs w:val="32"/>
                        </w:rPr>
                        <w:t>HIV infection can be diagnosed in most infected infants by the age4 weeks by using the DNA PCR technique where available</w:t>
                      </w:r>
                    </w:p>
                  </w:txbxContent>
                </v:textbox>
                <w10:wrap type="square"/>
              </v:shape>
            </w:pict>
          </mc:Fallback>
        </mc:AlternateContent>
      </w:r>
    </w:p>
    <w:p w:rsidR="0071027C" w:rsidRPr="002F03DF" w:rsidRDefault="0071027C" w:rsidP="00B247C9">
      <w:pPr>
        <w:pStyle w:val="StyleJustifiedCharChar"/>
      </w:pPr>
    </w:p>
    <w:p w:rsidR="0071027C" w:rsidRPr="002F03DF" w:rsidRDefault="0071027C" w:rsidP="00B247C9">
      <w:pPr>
        <w:pStyle w:val="StyleJustifiedCharChar"/>
      </w:pPr>
    </w:p>
    <w:p w:rsidR="0071027C" w:rsidRPr="002F03DF" w:rsidRDefault="0071027C" w:rsidP="00B247C9">
      <w:pPr>
        <w:pStyle w:val="StyleJustifiedCharChar"/>
      </w:pPr>
    </w:p>
    <w:p w:rsidR="0071027C" w:rsidRPr="002F03DF" w:rsidRDefault="0071027C" w:rsidP="00B247C9">
      <w:pPr>
        <w:pStyle w:val="StyleJustifiedCharChar"/>
      </w:pPr>
    </w:p>
    <w:p w:rsidR="0071027C" w:rsidRPr="002F03DF" w:rsidRDefault="0071027C" w:rsidP="00B247C9">
      <w:pPr>
        <w:pStyle w:val="StyleJustifiedCharChar"/>
      </w:pPr>
    </w:p>
    <w:p w:rsidR="0071027C" w:rsidRPr="002F03DF" w:rsidRDefault="0071027C" w:rsidP="00B247C9">
      <w:pPr>
        <w:pStyle w:val="StyleJustifiedCharChar"/>
      </w:pPr>
    </w:p>
    <w:p w:rsidR="0071027C" w:rsidRPr="002F03DF" w:rsidRDefault="0071027C" w:rsidP="00B247C9">
      <w:pPr>
        <w:pStyle w:val="StyleJustifiedCharChar"/>
      </w:pPr>
    </w:p>
    <w:p w:rsidR="0071027C" w:rsidRPr="002F03DF" w:rsidRDefault="0071027C" w:rsidP="00B247C9">
      <w:pPr>
        <w:pStyle w:val="StyleJustifiedCharChar"/>
      </w:pPr>
    </w:p>
    <w:p w:rsidR="0071027C" w:rsidRPr="002F03DF" w:rsidRDefault="0071027C" w:rsidP="00B247C9">
      <w:pPr>
        <w:pStyle w:val="StyleJustifiedCharChar"/>
      </w:pPr>
    </w:p>
    <w:p w:rsidR="0071027C" w:rsidRDefault="0071027C" w:rsidP="00AA771C">
      <w:pPr>
        <w:spacing w:beforeLines="120" w:before="288" w:afterLines="120" w:after="288" w:line="240" w:lineRule="auto"/>
        <w:jc w:val="both"/>
        <w:rPr>
          <w:rFonts w:ascii="Arial" w:hAnsi="Arial" w:cs="Arial"/>
          <w:b/>
        </w:rPr>
        <w:sectPr w:rsidR="0071027C" w:rsidSect="0027452F">
          <w:pgSz w:w="12240" w:h="15840"/>
          <w:pgMar w:top="1440" w:right="1440" w:bottom="1440" w:left="1440" w:header="720" w:footer="720" w:gutter="0"/>
          <w:cols w:space="720"/>
          <w:docGrid w:linePitch="360"/>
        </w:sectPr>
      </w:pPr>
    </w:p>
    <w:p w:rsidR="0071027C" w:rsidRPr="002F03DF" w:rsidRDefault="0071027C" w:rsidP="00AA771C">
      <w:pPr>
        <w:spacing w:beforeLines="120" w:before="288" w:afterLines="120" w:after="288" w:line="240" w:lineRule="auto"/>
        <w:jc w:val="both"/>
        <w:rPr>
          <w:rFonts w:ascii="Arial" w:hAnsi="Arial" w:cs="Arial"/>
          <w:b/>
        </w:rPr>
      </w:pPr>
      <w:r w:rsidRPr="002F03DF">
        <w:rPr>
          <w:rFonts w:ascii="Arial" w:hAnsi="Arial" w:cs="Arial"/>
          <w:b/>
        </w:rPr>
        <w:t>Figure 4.2: HIV Testing Algorithm for Children below 18 months</w:t>
      </w:r>
    </w:p>
    <w:p w:rsidR="0071027C" w:rsidRPr="002F03DF" w:rsidRDefault="00AA771C" w:rsidP="00B247C9">
      <w:pPr>
        <w:pStyle w:val="StyleJustifiedCharChar"/>
      </w:pPr>
      <w:r>
        <w:rPr>
          <w:noProof/>
          <w:lang w:val="en-US"/>
        </w:rPr>
        <mc:AlternateContent>
          <mc:Choice Requires="wps">
            <w:drawing>
              <wp:anchor distT="0" distB="0" distL="114299" distR="114299" simplePos="0" relativeHeight="251681792" behindDoc="0" locked="0" layoutInCell="1" allowOverlap="1">
                <wp:simplePos x="0" y="0"/>
                <wp:positionH relativeFrom="column">
                  <wp:posOffset>114299</wp:posOffset>
                </wp:positionH>
                <wp:positionV relativeFrom="paragraph">
                  <wp:posOffset>3543300</wp:posOffset>
                </wp:positionV>
                <wp:extent cx="0" cy="342900"/>
                <wp:effectExtent l="95250" t="0" r="95250" b="76200"/>
                <wp:wrapNone/>
                <wp:docPr id="619"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9pt;margin-top:279pt;width:0;height:27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" strokecolor="#4f81bd [3204]" strokeweight="2pt">
                <v:stroke endarrow="open"/>
                <v:shadow on="t" opacity="24903f" origin=",.5" offset="0,.55556mm"/>
              </v:shape>
            </w:pict>
          </mc:Fallback>
        </mc:AlternateContent>
      </w:r>
      <w:r>
        <w:rPr>
          <w:noProof/>
          <w:lang w:val="en-US"/>
        </w:rPr>
        <mc:AlternateContent>
          <mc:Choice Requires="wps">
            <w:drawing>
              <wp:anchor distT="0" distB="0" distL="114299" distR="114299" simplePos="0" relativeHeight="251682816" behindDoc="0" locked="0" layoutInCell="1" allowOverlap="1">
                <wp:simplePos x="0" y="0"/>
                <wp:positionH relativeFrom="column">
                  <wp:posOffset>2171699</wp:posOffset>
                </wp:positionH>
                <wp:positionV relativeFrom="paragraph">
                  <wp:posOffset>3543300</wp:posOffset>
                </wp:positionV>
                <wp:extent cx="0" cy="342900"/>
                <wp:effectExtent l="95250" t="0" r="95250" b="76200"/>
                <wp:wrapNone/>
                <wp:docPr id="61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171pt;margin-top:279pt;width:0;height:27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" strokecolor="#4f81bd [3204]" strokeweight="2pt">
                <v:stroke endarrow="open"/>
                <v:shadow on="t" opacity="24903f" origin=",.5" offset="0,.55556mm"/>
              </v:shape>
            </w:pict>
          </mc:Fallback>
        </mc:AlternateContent>
      </w:r>
      <w:r>
        <w:rPr>
          <w:noProof/>
          <w:lang w:val="en-US"/>
        </w:rPr>
        <mc:AlternateContent>
          <mc:Choice Requires="wps">
            <w:drawing>
              <wp:anchor distT="4294967295" distB="4294967295" distL="114300" distR="114300" simplePos="0" relativeHeight="251680768" behindDoc="0" locked="0" layoutInCell="1" allowOverlap="1">
                <wp:simplePos x="0" y="0"/>
                <wp:positionH relativeFrom="column">
                  <wp:posOffset>114300</wp:posOffset>
                </wp:positionH>
                <wp:positionV relativeFrom="paragraph">
                  <wp:posOffset>3543299</wp:posOffset>
                </wp:positionV>
                <wp:extent cx="2057400" cy="0"/>
                <wp:effectExtent l="0" t="0" r="19050" b="57150"/>
                <wp:wrapNone/>
                <wp:docPr id="61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pt,279pt" to="171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" strokecolor="#4f81bd [3204]" strokeweight="2pt">
                <v:shadow on="t" opacity="24903f" origin=",.5" offset="0,.55556mm"/>
              </v:line>
            </w:pict>
          </mc:Fallback>
        </mc:AlternateContent>
      </w:r>
      <w:r>
        <w:rPr>
          <w:noProof/>
          <w:lang w:val="en-US"/>
        </w:rPr>
        <mc:AlternateContent>
          <mc:Choice Requires="wps">
            <w:drawing>
              <wp:anchor distT="0" distB="0" distL="114299" distR="114299" simplePos="0" relativeHeight="251679744" behindDoc="0" locked="0" layoutInCell="1" allowOverlap="1">
                <wp:simplePos x="0" y="0"/>
                <wp:positionH relativeFrom="column">
                  <wp:posOffset>685799</wp:posOffset>
                </wp:positionH>
                <wp:positionV relativeFrom="paragraph">
                  <wp:posOffset>3200400</wp:posOffset>
                </wp:positionV>
                <wp:extent cx="0" cy="342900"/>
                <wp:effectExtent l="95250" t="0" r="95250" b="76200"/>
                <wp:wrapNone/>
                <wp:docPr id="61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4pt;margin-top:252pt;width:0;height:27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" strokecolor="#4f81bd [3204]" strokeweight="2pt">
                <v:stroke endarrow="open"/>
                <v:shadow on="t" opacity="24903f" origin=",.5" offset="0,.55556mm"/>
              </v:shape>
            </w:pict>
          </mc:Fallback>
        </mc:AlternateContent>
      </w:r>
      <w:r w:rsidR="0071027C" w:rsidRPr="002F03DF">
        <w:rPr>
          <w:noProof/>
          <w:lang w:val="en-US"/>
        </w:rPr>
        <w:drawing>
          <wp:inline distT="0" distB="0" distL="0" distR="0">
            <wp:extent cx="5486400" cy="5029200"/>
            <wp:effectExtent l="57150" t="0" r="0" b="0"/>
            <wp:docPr id="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71027C" w:rsidRPr="00CA1CF7" w:rsidRDefault="0071027C" w:rsidP="0071027C">
      <w:pPr>
        <w:pStyle w:val="Heading2"/>
      </w:pPr>
      <w:bookmarkStart w:id="173" w:name="_Toc374957221"/>
      <w:bookmarkStart w:id="174" w:name="_Toc378258123"/>
      <w:bookmarkStart w:id="175" w:name="_Toc382213986"/>
      <w:r w:rsidRPr="00CA1CF7">
        <w:t>4.3 Tests for HIV Disease staging</w:t>
      </w:r>
      <w:bookmarkEnd w:id="173"/>
      <w:bookmarkEnd w:id="174"/>
      <w:bookmarkEnd w:id="175"/>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hAnsi="Arial" w:cs="Arial"/>
        </w:rPr>
        <w:t>CD4 cells progressively decrease as HIV disease advances and immune status deteriorates. Measurements of CD4 counts will be important immunological markers of disease progression and assist in decision making on when to start antiretroviral treatment. In adolescents and adults, CD4 counts are reported in absolute numbers (for details see chapter 8) while for children under 6 years CD4 are reported in CD4%. (For details see chapter 7, table 7.1).</w:t>
      </w:r>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hAnsi="Arial" w:cs="Arial"/>
        </w:rPr>
        <w:t xml:space="preserve">Capacities for measuring absolute CD4 counts have been established at all zonal, regional and district hospital laboratories. </w:t>
      </w:r>
    </w:p>
    <w:p w:rsidR="0071027C" w:rsidRPr="00CA1CF7" w:rsidRDefault="0071027C" w:rsidP="0071027C">
      <w:pPr>
        <w:pStyle w:val="Heading2"/>
        <w:rPr>
          <w:szCs w:val="22"/>
        </w:rPr>
      </w:pPr>
      <w:bookmarkStart w:id="176" w:name="_Toc374957222"/>
      <w:bookmarkStart w:id="177" w:name="_Toc378258124"/>
      <w:bookmarkStart w:id="178" w:name="_Toc382213987"/>
      <w:r w:rsidRPr="00CA1CF7">
        <w:rPr>
          <w:szCs w:val="22"/>
        </w:rPr>
        <w:t>4.4 Tests for Monitoring Responses to antiretroviral treatment and diagnosis of treatment failure</w:t>
      </w:r>
      <w:bookmarkEnd w:id="176"/>
      <w:bookmarkEnd w:id="177"/>
      <w:bookmarkEnd w:id="178"/>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hAnsi="Arial" w:cs="Arial"/>
        </w:rPr>
        <w:t xml:space="preserve">Clinical assessment and laboratory tests play a key role in assessing individuals before ART is initiated and then monitoring their treatment response and possible toxicity of ARV drugs. Viral load is a preferred monitoring approach to diagnose and confirm ARV treatment failure. Successful antiretroviral therapy results in decrease of viral load, immune recovery and therefore increases in number of CD4 cells. </w:t>
      </w:r>
      <w:r w:rsidRPr="00FE2DEA">
        <w:rPr>
          <w:rFonts w:ascii="Arial" w:hAnsi="Arial" w:cs="Arial"/>
        </w:rPr>
        <w:t>Virological Viral load</w:t>
      </w:r>
      <w:r>
        <w:rPr>
          <w:rFonts w:ascii="Arial" w:hAnsi="Arial" w:cs="Arial"/>
        </w:rPr>
        <w:t xml:space="preserve"> (VL)</w:t>
      </w:r>
      <w:r w:rsidRPr="00FE2DEA">
        <w:rPr>
          <w:rFonts w:ascii="Arial" w:hAnsi="Arial" w:cs="Arial"/>
        </w:rPr>
        <w:t xml:space="preserve"> tests will be used for monitoring response to antiretroviral treatment. Patients should have 1</w:t>
      </w:r>
      <w:r w:rsidRPr="00FE2DEA">
        <w:rPr>
          <w:rFonts w:ascii="Arial" w:hAnsi="Arial" w:cs="Arial"/>
          <w:vertAlign w:val="superscript"/>
        </w:rPr>
        <w:t>st</w:t>
      </w:r>
      <w:r w:rsidRPr="00FE2DEA">
        <w:rPr>
          <w:rFonts w:ascii="Arial" w:hAnsi="Arial" w:cs="Arial"/>
        </w:rPr>
        <w:t xml:space="preserve"> VL test 6 months</w:t>
      </w:r>
      <w:r w:rsidRPr="002F03DF">
        <w:rPr>
          <w:rFonts w:ascii="Arial" w:hAnsi="Arial" w:cs="Arial"/>
        </w:rPr>
        <w:t xml:space="preserve"> after initiating ART. Patients who have been on ART for more than 6 months but have not yet had a VL test should have a VL test to the next scheduled visit. After first HIV VL test the next VL test will be performed 12 months later if the initial VL test result was less than 1000cp/ml. A repeat HIV VL test will be performed after 3 months of intensive adherence counseling if the preceding HIV VL test result was more than 1000 cp/ml. An HIV VL test will be performed annually if two preceding HIV VL test results were less than 1000 cp/ml. </w:t>
      </w:r>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hAnsi="Arial" w:cs="Arial"/>
        </w:rPr>
        <w:t>Where viral load monitoring is unavailable, clinical monitoring and CD4 monitoring are recommended, however, a targeted viral load strategy to confirm failure suspected based on immunological or clinical criteria should be used to avoid unnecessary switching to second-line ART.</w:t>
      </w:r>
    </w:p>
    <w:p w:rsidR="0071027C" w:rsidRPr="00CA1CF7" w:rsidRDefault="0071027C" w:rsidP="0071027C">
      <w:pPr>
        <w:pStyle w:val="Heading3"/>
      </w:pPr>
      <w:bookmarkStart w:id="179" w:name="_Toc374957223"/>
      <w:bookmarkStart w:id="180" w:name="_Toc378258125"/>
      <w:bookmarkStart w:id="181" w:name="_Toc382213988"/>
      <w:r w:rsidRPr="00CA1CF7">
        <w:t>4.4.1 Tests for Monitoring Disease Progress and Treatment Safety</w:t>
      </w:r>
      <w:bookmarkEnd w:id="179"/>
      <w:bookmarkEnd w:id="180"/>
      <w:bookmarkEnd w:id="181"/>
    </w:p>
    <w:p w:rsidR="0071027C" w:rsidRPr="002F03DF" w:rsidRDefault="0071027C" w:rsidP="00AA771C">
      <w:pPr>
        <w:spacing w:beforeLines="120" w:before="288" w:afterLines="120" w:after="288" w:line="240" w:lineRule="auto"/>
        <w:jc w:val="both"/>
        <w:rPr>
          <w:rFonts w:ascii="Arial" w:hAnsi="Arial" w:cs="Arial"/>
          <w:i/>
          <w:iCs/>
        </w:rPr>
      </w:pPr>
      <w:r w:rsidRPr="002F03DF">
        <w:rPr>
          <w:rFonts w:ascii="Arial" w:hAnsi="Arial" w:cs="Arial"/>
          <w:i/>
          <w:iCs/>
        </w:rPr>
        <w:t>Guiding Principle</w:t>
      </w:r>
    </w:p>
    <w:p w:rsidR="0071027C" w:rsidRPr="002F03DF" w:rsidRDefault="0071027C" w:rsidP="00274941">
      <w:pPr>
        <w:widowControl/>
        <w:numPr>
          <w:ilvl w:val="0"/>
          <w:numId w:val="22"/>
        </w:numPr>
        <w:spacing w:after="0" w:line="240" w:lineRule="auto"/>
        <w:jc w:val="both"/>
        <w:rPr>
          <w:rFonts w:ascii="Arial" w:hAnsi="Arial" w:cs="Arial"/>
          <w:iCs/>
        </w:rPr>
      </w:pPr>
      <w:r w:rsidRPr="002F03DF">
        <w:rPr>
          <w:rFonts w:ascii="Arial" w:hAnsi="Arial" w:cs="Arial"/>
          <w:iCs/>
        </w:rPr>
        <w:t>The availability of laboratory monitoring is not a prerequisite for the initiation of ART</w:t>
      </w:r>
    </w:p>
    <w:p w:rsidR="0071027C" w:rsidRPr="002F03DF" w:rsidRDefault="0071027C" w:rsidP="00274941">
      <w:pPr>
        <w:widowControl/>
        <w:numPr>
          <w:ilvl w:val="0"/>
          <w:numId w:val="22"/>
        </w:numPr>
        <w:spacing w:after="0" w:line="240" w:lineRule="auto"/>
        <w:jc w:val="both"/>
        <w:rPr>
          <w:rFonts w:ascii="Arial" w:hAnsi="Arial" w:cs="Arial"/>
          <w:iCs/>
        </w:rPr>
      </w:pPr>
      <w:r w:rsidRPr="002F03DF">
        <w:rPr>
          <w:rFonts w:ascii="Arial" w:hAnsi="Arial" w:cs="Arial"/>
          <w:iCs/>
        </w:rPr>
        <w:t>Viral load testing is essential for monitoring patients on ART.</w:t>
      </w:r>
    </w:p>
    <w:p w:rsidR="0071027C" w:rsidRPr="002F03DF" w:rsidRDefault="0071027C" w:rsidP="00274941">
      <w:pPr>
        <w:widowControl/>
        <w:numPr>
          <w:ilvl w:val="0"/>
          <w:numId w:val="22"/>
        </w:numPr>
        <w:spacing w:after="0" w:line="240" w:lineRule="auto"/>
        <w:jc w:val="both"/>
        <w:rPr>
          <w:rFonts w:ascii="Arial" w:hAnsi="Arial" w:cs="Arial"/>
          <w:iCs/>
        </w:rPr>
      </w:pPr>
      <w:r w:rsidRPr="002F03DF">
        <w:rPr>
          <w:rFonts w:ascii="Arial" w:hAnsi="Arial" w:cs="Arial"/>
          <w:iCs/>
        </w:rPr>
        <w:t xml:space="preserve">Viral load testing should be done 6 months after initiation of ART and then at least after every 12 months </w:t>
      </w:r>
    </w:p>
    <w:p w:rsidR="0071027C" w:rsidRPr="002F03DF" w:rsidRDefault="0071027C" w:rsidP="00274941">
      <w:pPr>
        <w:widowControl/>
        <w:numPr>
          <w:ilvl w:val="0"/>
          <w:numId w:val="22"/>
        </w:numPr>
        <w:spacing w:after="0" w:line="240" w:lineRule="auto"/>
        <w:jc w:val="both"/>
        <w:rPr>
          <w:rFonts w:ascii="Arial" w:hAnsi="Arial" w:cs="Arial"/>
          <w:iCs/>
        </w:rPr>
      </w:pPr>
      <w:r w:rsidRPr="002F03DF">
        <w:rPr>
          <w:rFonts w:ascii="Arial" w:hAnsi="Arial" w:cs="Arial"/>
          <w:iCs/>
        </w:rPr>
        <w:t xml:space="preserve">Use viral load to confirm suspected treatment failure </w:t>
      </w:r>
    </w:p>
    <w:p w:rsidR="0071027C" w:rsidRDefault="0071027C" w:rsidP="00AA771C">
      <w:pPr>
        <w:spacing w:beforeLines="50" w:before="120" w:afterLines="50" w:after="120" w:line="240" w:lineRule="auto"/>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2880"/>
        <w:gridCol w:w="3798"/>
      </w:tblGrid>
      <w:tr w:rsidR="0071027C" w:rsidRPr="002F03DF" w:rsidTr="0071027C">
        <w:trPr>
          <w:trHeight w:val="413"/>
        </w:trPr>
        <w:tc>
          <w:tcPr>
            <w:tcW w:w="9576" w:type="dxa"/>
            <w:gridSpan w:val="3"/>
            <w:tcBorders>
              <w:top w:val="nil"/>
              <w:left w:val="nil"/>
              <w:bottom w:val="nil"/>
              <w:right w:val="nil"/>
            </w:tcBorders>
            <w:hideMark/>
          </w:tcPr>
          <w:p w:rsidR="0071027C" w:rsidRPr="002F03DF" w:rsidRDefault="0071027C" w:rsidP="00AA771C">
            <w:pPr>
              <w:spacing w:beforeLines="50" w:before="120" w:afterLines="50" w:after="120" w:line="240" w:lineRule="auto"/>
              <w:jc w:val="both"/>
              <w:rPr>
                <w:rFonts w:ascii="Arial" w:hAnsi="Arial" w:cs="Arial"/>
                <w:b/>
              </w:rPr>
            </w:pPr>
            <w:r>
              <w:rPr>
                <w:rFonts w:ascii="Arial" w:hAnsi="Arial" w:cs="Arial"/>
                <w:b/>
              </w:rPr>
              <w:t>Table 4</w:t>
            </w:r>
            <w:r w:rsidRPr="002F03DF">
              <w:rPr>
                <w:rFonts w:ascii="Arial" w:hAnsi="Arial" w:cs="Arial"/>
                <w:b/>
              </w:rPr>
              <w:t>. 1. Laboratory monitoring before, during and after initiating ART</w:t>
            </w:r>
          </w:p>
        </w:tc>
      </w:tr>
      <w:tr w:rsidR="0071027C" w:rsidRPr="002F03DF" w:rsidTr="0071027C">
        <w:trPr>
          <w:trHeight w:val="629"/>
        </w:trPr>
        <w:tc>
          <w:tcPr>
            <w:tcW w:w="2898" w:type="dxa"/>
            <w:tcBorders>
              <w:top w:val="nil"/>
              <w:left w:val="single" w:sz="4" w:space="0" w:color="auto"/>
              <w:bottom w:val="single" w:sz="4" w:space="0" w:color="auto"/>
              <w:right w:val="single" w:sz="4" w:space="0" w:color="FFFFFF" w:themeColor="background1"/>
            </w:tcBorders>
            <w:shd w:val="clear" w:color="auto" w:fill="000000" w:themeFill="text1"/>
            <w:hideMark/>
          </w:tcPr>
          <w:p w:rsidR="0071027C" w:rsidRPr="002F03DF" w:rsidRDefault="0071027C" w:rsidP="00AA771C">
            <w:pPr>
              <w:spacing w:beforeLines="50" w:before="120" w:afterLines="50" w:after="120" w:line="240" w:lineRule="auto"/>
              <w:jc w:val="center"/>
              <w:rPr>
                <w:rFonts w:ascii="Arial" w:hAnsi="Arial" w:cs="Arial"/>
                <w:b/>
              </w:rPr>
            </w:pPr>
            <w:r w:rsidRPr="002F03DF">
              <w:rPr>
                <w:rFonts w:ascii="Arial" w:hAnsi="Arial" w:cs="Arial"/>
                <w:b/>
              </w:rPr>
              <w:t>Phase of HIV management</w:t>
            </w:r>
          </w:p>
        </w:tc>
        <w:tc>
          <w:tcPr>
            <w:tcW w:w="2880" w:type="dxa"/>
            <w:tcBorders>
              <w:top w:val="nil"/>
              <w:left w:val="single" w:sz="4" w:space="0" w:color="FFFFFF" w:themeColor="background1"/>
              <w:bottom w:val="single" w:sz="4" w:space="0" w:color="auto"/>
              <w:right w:val="single" w:sz="4" w:space="0" w:color="FFFFFF" w:themeColor="background1"/>
            </w:tcBorders>
            <w:shd w:val="clear" w:color="auto" w:fill="000000" w:themeFill="text1"/>
            <w:hideMark/>
          </w:tcPr>
          <w:p w:rsidR="0071027C" w:rsidRPr="002F03DF" w:rsidRDefault="0071027C" w:rsidP="00AA771C">
            <w:pPr>
              <w:spacing w:beforeLines="50" w:before="120" w:afterLines="50" w:after="120" w:line="240" w:lineRule="auto"/>
              <w:jc w:val="center"/>
              <w:rPr>
                <w:rFonts w:ascii="Arial" w:hAnsi="Arial" w:cs="Arial"/>
                <w:b/>
                <w:iCs/>
              </w:rPr>
            </w:pPr>
            <w:r w:rsidRPr="002F03DF">
              <w:rPr>
                <w:rFonts w:ascii="Arial" w:hAnsi="Arial" w:cs="Arial"/>
                <w:b/>
              </w:rPr>
              <w:t>Recommended test</w:t>
            </w:r>
          </w:p>
        </w:tc>
        <w:tc>
          <w:tcPr>
            <w:tcW w:w="3798" w:type="dxa"/>
            <w:tcBorders>
              <w:top w:val="nil"/>
              <w:left w:val="single" w:sz="4" w:space="0" w:color="FFFFFF" w:themeColor="background1"/>
              <w:bottom w:val="single" w:sz="4" w:space="0" w:color="auto"/>
              <w:right w:val="single" w:sz="4" w:space="0" w:color="auto"/>
            </w:tcBorders>
            <w:shd w:val="clear" w:color="auto" w:fill="000000" w:themeFill="text1"/>
            <w:hideMark/>
          </w:tcPr>
          <w:p w:rsidR="0071027C" w:rsidRPr="002F03DF" w:rsidRDefault="0071027C" w:rsidP="00AA771C">
            <w:pPr>
              <w:spacing w:beforeLines="50" w:before="120" w:afterLines="50" w:after="120" w:line="240" w:lineRule="auto"/>
              <w:jc w:val="center"/>
              <w:rPr>
                <w:rFonts w:ascii="Arial" w:hAnsi="Arial" w:cs="Arial"/>
                <w:b/>
                <w:iCs/>
              </w:rPr>
            </w:pPr>
            <w:r w:rsidRPr="002F03DF">
              <w:rPr>
                <w:rFonts w:ascii="Arial" w:hAnsi="Arial" w:cs="Arial"/>
                <w:b/>
              </w:rPr>
              <w:t>Desirable test</w:t>
            </w:r>
          </w:p>
        </w:tc>
      </w:tr>
      <w:tr w:rsidR="0071027C" w:rsidRPr="002F03DF" w:rsidTr="0071027C">
        <w:tc>
          <w:tcPr>
            <w:tcW w:w="2898" w:type="dxa"/>
            <w:tcBorders>
              <w:top w:val="single" w:sz="4" w:space="0" w:color="auto"/>
              <w:left w:val="single" w:sz="4" w:space="0" w:color="auto"/>
              <w:bottom w:val="single" w:sz="4" w:space="0" w:color="auto"/>
              <w:right w:val="single" w:sz="4" w:space="0" w:color="auto"/>
            </w:tcBorders>
            <w:hideMark/>
          </w:tcPr>
          <w:p w:rsidR="0071027C" w:rsidRPr="002F03DF" w:rsidRDefault="0071027C" w:rsidP="00AA771C">
            <w:pPr>
              <w:spacing w:beforeLines="50" w:before="120" w:afterLines="50" w:after="120" w:line="240" w:lineRule="auto"/>
              <w:jc w:val="both"/>
              <w:rPr>
                <w:rFonts w:ascii="Arial" w:hAnsi="Arial" w:cs="Arial"/>
                <w:iCs/>
              </w:rPr>
            </w:pPr>
            <w:r w:rsidRPr="002F03DF">
              <w:rPr>
                <w:rFonts w:ascii="Arial" w:hAnsi="Arial" w:cs="Arial"/>
              </w:rPr>
              <w:t>At HIV diagnosis</w:t>
            </w:r>
          </w:p>
        </w:tc>
        <w:tc>
          <w:tcPr>
            <w:tcW w:w="2880" w:type="dxa"/>
            <w:tcBorders>
              <w:top w:val="single" w:sz="4" w:space="0" w:color="auto"/>
              <w:left w:val="single" w:sz="4" w:space="0" w:color="auto"/>
              <w:bottom w:val="single" w:sz="4" w:space="0" w:color="auto"/>
              <w:right w:val="single" w:sz="4" w:space="0" w:color="auto"/>
            </w:tcBorders>
            <w:hideMark/>
          </w:tcPr>
          <w:p w:rsidR="0071027C" w:rsidRPr="002F03DF" w:rsidRDefault="0071027C" w:rsidP="00AA771C">
            <w:pPr>
              <w:spacing w:beforeLines="50" w:before="120" w:afterLines="50" w:after="120" w:line="240" w:lineRule="auto"/>
              <w:jc w:val="both"/>
              <w:rPr>
                <w:rFonts w:ascii="Arial" w:hAnsi="Arial" w:cs="Arial"/>
              </w:rPr>
            </w:pPr>
          </w:p>
          <w:p w:rsidR="0071027C" w:rsidRPr="002F03DF" w:rsidRDefault="0071027C" w:rsidP="00AA771C">
            <w:pPr>
              <w:spacing w:beforeLines="50" w:before="120" w:afterLines="50" w:after="120" w:line="240" w:lineRule="auto"/>
              <w:jc w:val="both"/>
              <w:rPr>
                <w:rFonts w:ascii="Arial" w:hAnsi="Arial" w:cs="Arial"/>
              </w:rPr>
            </w:pPr>
            <w:r w:rsidRPr="002F03DF">
              <w:rPr>
                <w:rFonts w:ascii="Arial" w:hAnsi="Arial" w:cs="Arial"/>
              </w:rPr>
              <w:t xml:space="preserve">TB Screening </w:t>
            </w:r>
          </w:p>
          <w:p w:rsidR="0071027C" w:rsidRPr="002F03DF" w:rsidRDefault="0071027C" w:rsidP="00AA771C">
            <w:pPr>
              <w:spacing w:beforeLines="50" w:before="120" w:afterLines="50" w:after="120" w:line="240" w:lineRule="auto"/>
              <w:jc w:val="both"/>
              <w:rPr>
                <w:rFonts w:ascii="Arial" w:eastAsiaTheme="majorEastAsia" w:hAnsi="Arial" w:cs="Arial"/>
                <w:b/>
                <w:bCs/>
                <w:iCs/>
                <w:color w:val="4F81BD" w:themeColor="accent1"/>
              </w:rPr>
            </w:pPr>
          </w:p>
        </w:tc>
        <w:tc>
          <w:tcPr>
            <w:tcW w:w="3798" w:type="dxa"/>
            <w:tcBorders>
              <w:top w:val="single" w:sz="4" w:space="0" w:color="auto"/>
              <w:left w:val="single" w:sz="4" w:space="0" w:color="auto"/>
              <w:bottom w:val="single" w:sz="4" w:space="0" w:color="auto"/>
              <w:right w:val="single" w:sz="4" w:space="0" w:color="auto"/>
            </w:tcBorders>
            <w:hideMark/>
          </w:tcPr>
          <w:p w:rsidR="0071027C" w:rsidRPr="002F03DF" w:rsidRDefault="0071027C" w:rsidP="00AA771C">
            <w:pPr>
              <w:spacing w:beforeLines="50" w:before="120" w:afterLines="50" w:after="120" w:line="240" w:lineRule="auto"/>
              <w:jc w:val="both"/>
              <w:rPr>
                <w:rFonts w:ascii="Arial" w:hAnsi="Arial" w:cs="Arial"/>
              </w:rPr>
            </w:pPr>
            <w:r w:rsidRPr="002F03DF">
              <w:rPr>
                <w:rFonts w:ascii="Arial" w:hAnsi="Arial" w:cs="Arial"/>
              </w:rPr>
              <w:t>HBsAg</w:t>
            </w:r>
          </w:p>
          <w:p w:rsidR="0071027C" w:rsidRPr="002F03DF" w:rsidRDefault="0071027C" w:rsidP="00AA771C">
            <w:pPr>
              <w:keepNext/>
              <w:keepLines/>
              <w:autoSpaceDE w:val="0"/>
              <w:autoSpaceDN w:val="0"/>
              <w:adjustRightInd w:val="0"/>
              <w:spacing w:beforeLines="50" w:before="120" w:afterLines="50" w:after="120" w:line="240" w:lineRule="auto"/>
              <w:jc w:val="both"/>
              <w:outlineLvl w:val="4"/>
              <w:rPr>
                <w:rFonts w:ascii="Arial" w:hAnsi="Arial" w:cs="Arial"/>
                <w:vertAlign w:val="superscript"/>
              </w:rPr>
            </w:pPr>
            <w:r w:rsidRPr="002F03DF">
              <w:rPr>
                <w:rFonts w:ascii="Arial" w:hAnsi="Arial" w:cs="Arial"/>
              </w:rPr>
              <w:t>Cryptococcus antigen if CD4 count&lt;100 cells/mm</w:t>
            </w:r>
            <w:r w:rsidRPr="002F03DF">
              <w:rPr>
                <w:rFonts w:ascii="Arial" w:hAnsi="Arial" w:cs="Arial"/>
                <w:vertAlign w:val="superscript"/>
              </w:rPr>
              <w:t>3</w:t>
            </w:r>
          </w:p>
          <w:p w:rsidR="0071027C" w:rsidRPr="002F03DF" w:rsidRDefault="0071027C" w:rsidP="00AA771C">
            <w:pPr>
              <w:spacing w:beforeLines="50" w:before="120" w:afterLines="50" w:after="120" w:line="240" w:lineRule="auto"/>
              <w:jc w:val="both"/>
              <w:rPr>
                <w:rFonts w:ascii="Arial" w:hAnsi="Arial" w:cs="Arial"/>
                <w:iCs/>
              </w:rPr>
            </w:pPr>
            <w:r w:rsidRPr="002F03DF">
              <w:rPr>
                <w:rFonts w:ascii="Arial" w:hAnsi="Arial" w:cs="Arial"/>
              </w:rPr>
              <w:t>Screening for sexually transmitted infections</w:t>
            </w:r>
          </w:p>
        </w:tc>
      </w:tr>
      <w:tr w:rsidR="0071027C" w:rsidRPr="002F03DF" w:rsidTr="0071027C">
        <w:trPr>
          <w:trHeight w:val="332"/>
        </w:trPr>
        <w:tc>
          <w:tcPr>
            <w:tcW w:w="2898" w:type="dxa"/>
            <w:tcBorders>
              <w:top w:val="single" w:sz="4" w:space="0" w:color="auto"/>
              <w:left w:val="single" w:sz="4" w:space="0" w:color="auto"/>
              <w:bottom w:val="single" w:sz="4" w:space="0" w:color="auto"/>
              <w:right w:val="single" w:sz="4" w:space="0" w:color="auto"/>
            </w:tcBorders>
            <w:hideMark/>
          </w:tcPr>
          <w:p w:rsidR="0071027C" w:rsidRPr="002F03DF" w:rsidRDefault="0071027C" w:rsidP="00AA771C">
            <w:pPr>
              <w:spacing w:beforeLines="50" w:before="120" w:afterLines="50" w:after="120" w:line="240" w:lineRule="auto"/>
              <w:jc w:val="both"/>
              <w:rPr>
                <w:rFonts w:ascii="Arial" w:hAnsi="Arial" w:cs="Arial"/>
                <w:iCs/>
              </w:rPr>
            </w:pPr>
            <w:r w:rsidRPr="002F03DF">
              <w:rPr>
                <w:rFonts w:ascii="Arial" w:hAnsi="Arial" w:cs="Arial"/>
              </w:rPr>
              <w:t>Pre-ART</w:t>
            </w:r>
          </w:p>
        </w:tc>
        <w:tc>
          <w:tcPr>
            <w:tcW w:w="2880" w:type="dxa"/>
            <w:tcBorders>
              <w:top w:val="single" w:sz="4" w:space="0" w:color="auto"/>
              <w:left w:val="single" w:sz="4" w:space="0" w:color="auto"/>
              <w:bottom w:val="single" w:sz="4" w:space="0" w:color="auto"/>
              <w:right w:val="single" w:sz="4" w:space="0" w:color="auto"/>
            </w:tcBorders>
            <w:hideMark/>
          </w:tcPr>
          <w:p w:rsidR="0071027C" w:rsidRPr="00FE2DEA" w:rsidRDefault="0071027C" w:rsidP="00AA771C">
            <w:pPr>
              <w:spacing w:beforeLines="50" w:before="120" w:afterLines="50" w:after="120" w:line="240" w:lineRule="auto"/>
              <w:jc w:val="both"/>
              <w:rPr>
                <w:rFonts w:ascii="Arial" w:hAnsi="Arial" w:cs="Arial"/>
              </w:rPr>
            </w:pPr>
            <w:r w:rsidRPr="00FE2DEA">
              <w:rPr>
                <w:rFonts w:ascii="Arial" w:hAnsi="Arial" w:cs="Arial"/>
              </w:rPr>
              <w:t>CD4</w:t>
            </w:r>
          </w:p>
          <w:p w:rsidR="0071027C" w:rsidRPr="00FE2DEA" w:rsidRDefault="0071027C" w:rsidP="00AA771C">
            <w:pPr>
              <w:spacing w:beforeLines="50" w:before="120" w:afterLines="50" w:after="120" w:line="240" w:lineRule="auto"/>
              <w:jc w:val="both"/>
              <w:rPr>
                <w:rFonts w:ascii="Arial" w:hAnsi="Arial" w:cs="Arial"/>
              </w:rPr>
            </w:pPr>
            <w:r w:rsidRPr="00FE2DEA">
              <w:rPr>
                <w:rFonts w:ascii="Arial" w:hAnsi="Arial" w:cs="Arial"/>
              </w:rPr>
              <w:t>Haematological test</w:t>
            </w:r>
          </w:p>
          <w:p w:rsidR="0071027C" w:rsidRPr="00FE2DEA" w:rsidRDefault="0071027C" w:rsidP="00AA771C">
            <w:pPr>
              <w:spacing w:beforeLines="50" w:before="120" w:afterLines="50" w:after="120" w:line="240" w:lineRule="auto"/>
              <w:jc w:val="both"/>
              <w:rPr>
                <w:rFonts w:ascii="Arial" w:hAnsi="Arial" w:cs="Arial"/>
                <w:iCs/>
              </w:rPr>
            </w:pPr>
            <w:r w:rsidRPr="00FE2DEA">
              <w:rPr>
                <w:rFonts w:ascii="Arial" w:hAnsi="Arial" w:cs="Arial"/>
              </w:rPr>
              <w:t>Chemistry test</w:t>
            </w:r>
          </w:p>
        </w:tc>
        <w:tc>
          <w:tcPr>
            <w:tcW w:w="3798" w:type="dxa"/>
            <w:tcBorders>
              <w:top w:val="single" w:sz="4" w:space="0" w:color="auto"/>
              <w:left w:val="single" w:sz="4" w:space="0" w:color="auto"/>
              <w:bottom w:val="single" w:sz="4" w:space="0" w:color="auto"/>
              <w:right w:val="single" w:sz="4" w:space="0" w:color="auto"/>
            </w:tcBorders>
          </w:tcPr>
          <w:p w:rsidR="0071027C" w:rsidRPr="002F03DF" w:rsidRDefault="0071027C" w:rsidP="00AA771C">
            <w:pPr>
              <w:spacing w:beforeLines="50" w:before="120" w:afterLines="50" w:after="120" w:line="240" w:lineRule="auto"/>
              <w:jc w:val="both"/>
              <w:rPr>
                <w:rFonts w:ascii="Arial" w:eastAsiaTheme="majorEastAsia" w:hAnsi="Arial" w:cs="Arial"/>
                <w:b/>
                <w:bCs/>
                <w:iCs/>
                <w:color w:val="4F81BD" w:themeColor="accent1"/>
              </w:rPr>
            </w:pPr>
          </w:p>
        </w:tc>
      </w:tr>
      <w:tr w:rsidR="0071027C" w:rsidRPr="002F03DF" w:rsidTr="0071027C">
        <w:tc>
          <w:tcPr>
            <w:tcW w:w="2898" w:type="dxa"/>
            <w:tcBorders>
              <w:top w:val="single" w:sz="4" w:space="0" w:color="auto"/>
              <w:left w:val="single" w:sz="4" w:space="0" w:color="auto"/>
              <w:bottom w:val="single" w:sz="4" w:space="0" w:color="auto"/>
              <w:right w:val="single" w:sz="4" w:space="0" w:color="auto"/>
            </w:tcBorders>
            <w:hideMark/>
          </w:tcPr>
          <w:p w:rsidR="0071027C" w:rsidRPr="002F03DF" w:rsidRDefault="0071027C" w:rsidP="00AA771C">
            <w:pPr>
              <w:spacing w:beforeLines="50" w:before="120" w:afterLines="50" w:after="120" w:line="240" w:lineRule="auto"/>
              <w:jc w:val="both"/>
              <w:rPr>
                <w:rFonts w:ascii="Arial" w:hAnsi="Arial" w:cs="Arial"/>
                <w:iCs/>
              </w:rPr>
            </w:pPr>
            <w:r w:rsidRPr="002F03DF">
              <w:rPr>
                <w:rFonts w:ascii="Arial" w:hAnsi="Arial" w:cs="Arial"/>
              </w:rPr>
              <w:t>At start of ART</w:t>
            </w:r>
          </w:p>
        </w:tc>
        <w:tc>
          <w:tcPr>
            <w:tcW w:w="2880" w:type="dxa"/>
            <w:tcBorders>
              <w:top w:val="single" w:sz="4" w:space="0" w:color="auto"/>
              <w:left w:val="single" w:sz="4" w:space="0" w:color="auto"/>
              <w:bottom w:val="single" w:sz="4" w:space="0" w:color="auto"/>
              <w:right w:val="single" w:sz="4" w:space="0" w:color="auto"/>
            </w:tcBorders>
            <w:hideMark/>
          </w:tcPr>
          <w:p w:rsidR="0071027C" w:rsidRPr="00FE2DEA" w:rsidRDefault="0071027C" w:rsidP="00AA771C">
            <w:pPr>
              <w:spacing w:beforeLines="50" w:before="120" w:afterLines="50" w:after="120" w:line="240" w:lineRule="auto"/>
              <w:jc w:val="both"/>
              <w:rPr>
                <w:rFonts w:ascii="Arial" w:hAnsi="Arial" w:cs="Arial"/>
              </w:rPr>
            </w:pPr>
            <w:r w:rsidRPr="00FE2DEA">
              <w:rPr>
                <w:rFonts w:ascii="Arial" w:hAnsi="Arial" w:cs="Arial"/>
              </w:rPr>
              <w:t>CD4</w:t>
            </w:r>
          </w:p>
          <w:p w:rsidR="0071027C" w:rsidRPr="00FE2DEA" w:rsidRDefault="0071027C" w:rsidP="00AA771C">
            <w:pPr>
              <w:spacing w:beforeLines="50" w:before="120" w:afterLines="50" w:after="120" w:line="240" w:lineRule="auto"/>
              <w:jc w:val="both"/>
              <w:rPr>
                <w:rFonts w:ascii="Arial" w:hAnsi="Arial" w:cs="Arial"/>
              </w:rPr>
            </w:pPr>
            <w:r w:rsidRPr="00FE2DEA">
              <w:rPr>
                <w:rFonts w:ascii="Arial" w:hAnsi="Arial" w:cs="Arial"/>
              </w:rPr>
              <w:t>Haematological test</w:t>
            </w:r>
          </w:p>
          <w:p w:rsidR="0071027C" w:rsidRPr="00FE2DEA" w:rsidRDefault="0071027C" w:rsidP="00AA771C">
            <w:pPr>
              <w:spacing w:beforeLines="50" w:before="120" w:afterLines="50" w:after="120" w:line="240" w:lineRule="auto"/>
              <w:jc w:val="both"/>
              <w:rPr>
                <w:rFonts w:ascii="Arial" w:hAnsi="Arial" w:cs="Arial"/>
              </w:rPr>
            </w:pPr>
            <w:r w:rsidRPr="00FE2DEA">
              <w:rPr>
                <w:rFonts w:ascii="Arial" w:hAnsi="Arial" w:cs="Arial"/>
              </w:rPr>
              <w:t>Biochemistry test</w:t>
            </w:r>
          </w:p>
          <w:p w:rsidR="0071027C" w:rsidRPr="00FE2DEA" w:rsidRDefault="0071027C" w:rsidP="00AA771C">
            <w:pPr>
              <w:spacing w:beforeLines="50" w:before="120" w:afterLines="50" w:after="120" w:line="240" w:lineRule="auto"/>
              <w:jc w:val="both"/>
              <w:rPr>
                <w:rFonts w:ascii="Arial" w:hAnsi="Arial" w:cs="Arial"/>
                <w:iCs/>
              </w:rPr>
            </w:pPr>
          </w:p>
        </w:tc>
        <w:tc>
          <w:tcPr>
            <w:tcW w:w="3798" w:type="dxa"/>
            <w:tcBorders>
              <w:top w:val="single" w:sz="4" w:space="0" w:color="auto"/>
              <w:left w:val="single" w:sz="4" w:space="0" w:color="auto"/>
              <w:bottom w:val="single" w:sz="4" w:space="0" w:color="auto"/>
              <w:right w:val="single" w:sz="4" w:space="0" w:color="auto"/>
            </w:tcBorders>
            <w:hideMark/>
          </w:tcPr>
          <w:p w:rsidR="0071027C" w:rsidRPr="002F03DF" w:rsidRDefault="0071027C" w:rsidP="00AA771C">
            <w:pPr>
              <w:autoSpaceDE w:val="0"/>
              <w:autoSpaceDN w:val="0"/>
              <w:adjustRightInd w:val="0"/>
              <w:spacing w:beforeLines="50" w:before="120" w:afterLines="50" w:after="120" w:line="240" w:lineRule="auto"/>
              <w:jc w:val="both"/>
              <w:rPr>
                <w:rFonts w:ascii="Arial" w:hAnsi="Arial" w:cs="Arial"/>
              </w:rPr>
            </w:pPr>
            <w:r w:rsidRPr="002F03DF">
              <w:rPr>
                <w:rFonts w:ascii="Arial" w:hAnsi="Arial" w:cs="Arial"/>
              </w:rPr>
              <w:t>Hb for AZT</w:t>
            </w:r>
            <w:r w:rsidRPr="002F03DF">
              <w:rPr>
                <w:rFonts w:ascii="Arial" w:hAnsi="Arial" w:cs="Arial"/>
                <w:vertAlign w:val="superscript"/>
              </w:rPr>
              <w:t>1</w:t>
            </w:r>
          </w:p>
          <w:p w:rsidR="0071027C" w:rsidRPr="002F03DF" w:rsidRDefault="0071027C" w:rsidP="00AA771C">
            <w:pPr>
              <w:autoSpaceDE w:val="0"/>
              <w:autoSpaceDN w:val="0"/>
              <w:adjustRightInd w:val="0"/>
              <w:spacing w:beforeLines="50" w:before="120" w:afterLines="50" w:after="120" w:line="240" w:lineRule="auto"/>
              <w:jc w:val="both"/>
              <w:rPr>
                <w:rFonts w:ascii="Arial" w:hAnsi="Arial" w:cs="Arial"/>
              </w:rPr>
            </w:pPr>
            <w:r w:rsidRPr="002F03DF">
              <w:rPr>
                <w:rFonts w:ascii="Arial" w:hAnsi="Arial" w:cs="Arial"/>
              </w:rPr>
              <w:t>Creatinine clearance for TDF</w:t>
            </w:r>
            <w:r w:rsidRPr="002F03DF">
              <w:rPr>
                <w:rFonts w:ascii="Arial" w:hAnsi="Arial" w:cs="Arial"/>
                <w:vertAlign w:val="superscript"/>
              </w:rPr>
              <w:t>2</w:t>
            </w:r>
          </w:p>
          <w:p w:rsidR="0071027C" w:rsidRPr="002F03DF" w:rsidRDefault="0071027C" w:rsidP="00AA771C">
            <w:pPr>
              <w:spacing w:beforeLines="50" w:before="120" w:afterLines="50" w:after="120" w:line="240" w:lineRule="auto"/>
              <w:jc w:val="both"/>
              <w:rPr>
                <w:rFonts w:ascii="Arial" w:hAnsi="Arial" w:cs="Arial"/>
                <w:iCs/>
              </w:rPr>
            </w:pPr>
            <w:r w:rsidRPr="002F03DF">
              <w:rPr>
                <w:rFonts w:ascii="Arial" w:hAnsi="Arial" w:cs="Arial"/>
              </w:rPr>
              <w:t>ALT for NVP</w:t>
            </w:r>
            <w:r w:rsidRPr="002F03DF">
              <w:rPr>
                <w:rFonts w:ascii="Arial" w:hAnsi="Arial" w:cs="Arial"/>
                <w:vertAlign w:val="superscript"/>
              </w:rPr>
              <w:t>3</w:t>
            </w:r>
          </w:p>
        </w:tc>
      </w:tr>
      <w:tr w:rsidR="0071027C" w:rsidRPr="002F03DF" w:rsidTr="0071027C">
        <w:tc>
          <w:tcPr>
            <w:tcW w:w="2898" w:type="dxa"/>
            <w:tcBorders>
              <w:top w:val="single" w:sz="4" w:space="0" w:color="auto"/>
              <w:left w:val="single" w:sz="4" w:space="0" w:color="auto"/>
              <w:bottom w:val="single" w:sz="4" w:space="0" w:color="auto"/>
              <w:right w:val="single" w:sz="4" w:space="0" w:color="auto"/>
            </w:tcBorders>
            <w:hideMark/>
          </w:tcPr>
          <w:p w:rsidR="0071027C" w:rsidRPr="002F03DF" w:rsidRDefault="0071027C" w:rsidP="00AA771C">
            <w:pPr>
              <w:spacing w:beforeLines="50" w:before="120" w:afterLines="50" w:after="120" w:line="240" w:lineRule="auto"/>
              <w:jc w:val="both"/>
              <w:rPr>
                <w:rFonts w:ascii="Arial" w:hAnsi="Arial" w:cs="Arial"/>
                <w:iCs/>
              </w:rPr>
            </w:pPr>
            <w:r w:rsidRPr="002F03DF">
              <w:rPr>
                <w:rFonts w:ascii="Arial" w:hAnsi="Arial" w:cs="Arial"/>
              </w:rPr>
              <w:t>On ART</w:t>
            </w:r>
          </w:p>
        </w:tc>
        <w:tc>
          <w:tcPr>
            <w:tcW w:w="2880" w:type="dxa"/>
            <w:tcBorders>
              <w:top w:val="single" w:sz="4" w:space="0" w:color="auto"/>
              <w:left w:val="single" w:sz="4" w:space="0" w:color="auto"/>
              <w:bottom w:val="single" w:sz="4" w:space="0" w:color="auto"/>
              <w:right w:val="single" w:sz="4" w:space="0" w:color="auto"/>
            </w:tcBorders>
            <w:hideMark/>
          </w:tcPr>
          <w:p w:rsidR="0071027C" w:rsidRPr="002F03DF" w:rsidRDefault="0071027C" w:rsidP="00AA771C">
            <w:pPr>
              <w:keepNext/>
              <w:keepLines/>
              <w:autoSpaceDE w:val="0"/>
              <w:autoSpaceDN w:val="0"/>
              <w:adjustRightInd w:val="0"/>
              <w:spacing w:beforeLines="50" w:before="120" w:afterLines="50" w:after="120" w:line="240" w:lineRule="auto"/>
              <w:jc w:val="both"/>
              <w:outlineLvl w:val="4"/>
              <w:rPr>
                <w:rFonts w:ascii="Arial" w:hAnsi="Arial" w:cs="Arial"/>
              </w:rPr>
            </w:pPr>
            <w:r w:rsidRPr="002F03DF">
              <w:rPr>
                <w:rFonts w:ascii="Arial" w:hAnsi="Arial" w:cs="Arial"/>
              </w:rPr>
              <w:t xml:space="preserve">HIV viral load (at 6months after initiating ART and every 12 months thereafter) </w:t>
            </w:r>
          </w:p>
        </w:tc>
        <w:tc>
          <w:tcPr>
            <w:tcW w:w="3798" w:type="dxa"/>
            <w:tcBorders>
              <w:top w:val="single" w:sz="4" w:space="0" w:color="auto"/>
              <w:left w:val="single" w:sz="4" w:space="0" w:color="auto"/>
              <w:bottom w:val="single" w:sz="4" w:space="0" w:color="auto"/>
              <w:right w:val="single" w:sz="4" w:space="0" w:color="auto"/>
            </w:tcBorders>
            <w:hideMark/>
          </w:tcPr>
          <w:p w:rsidR="0071027C" w:rsidRPr="002F03DF" w:rsidRDefault="0071027C" w:rsidP="00AA771C">
            <w:pPr>
              <w:autoSpaceDE w:val="0"/>
              <w:autoSpaceDN w:val="0"/>
              <w:adjustRightInd w:val="0"/>
              <w:spacing w:beforeLines="50" w:before="120" w:afterLines="50" w:after="120" w:line="240" w:lineRule="auto"/>
              <w:jc w:val="both"/>
              <w:rPr>
                <w:rFonts w:ascii="Arial" w:hAnsi="Arial" w:cs="Arial"/>
              </w:rPr>
            </w:pPr>
            <w:r w:rsidRPr="002F03DF">
              <w:rPr>
                <w:rFonts w:ascii="Arial" w:hAnsi="Arial" w:cs="Arial"/>
              </w:rPr>
              <w:t>Hb for AZT</w:t>
            </w:r>
            <w:r w:rsidRPr="002F03DF">
              <w:rPr>
                <w:rFonts w:ascii="Arial" w:hAnsi="Arial" w:cs="Arial"/>
                <w:vertAlign w:val="superscript"/>
              </w:rPr>
              <w:t>1</w:t>
            </w:r>
          </w:p>
          <w:p w:rsidR="0071027C" w:rsidRPr="002F03DF" w:rsidRDefault="0071027C" w:rsidP="00AA771C">
            <w:pPr>
              <w:autoSpaceDE w:val="0"/>
              <w:autoSpaceDN w:val="0"/>
              <w:adjustRightInd w:val="0"/>
              <w:spacing w:beforeLines="50" w:before="120" w:afterLines="50" w:after="120" w:line="240" w:lineRule="auto"/>
              <w:jc w:val="both"/>
              <w:rPr>
                <w:rFonts w:ascii="Arial" w:hAnsi="Arial" w:cs="Arial"/>
              </w:rPr>
            </w:pPr>
            <w:r w:rsidRPr="002F03DF">
              <w:rPr>
                <w:rFonts w:ascii="Arial" w:hAnsi="Arial" w:cs="Arial"/>
              </w:rPr>
              <w:t>Creatinine clearance for TDF</w:t>
            </w:r>
            <w:r w:rsidRPr="002F03DF">
              <w:rPr>
                <w:rFonts w:ascii="Arial" w:hAnsi="Arial" w:cs="Arial"/>
                <w:vertAlign w:val="superscript"/>
              </w:rPr>
              <w:t>2</w:t>
            </w:r>
          </w:p>
          <w:p w:rsidR="0071027C" w:rsidRPr="002F03DF" w:rsidRDefault="0071027C" w:rsidP="00AA771C">
            <w:pPr>
              <w:autoSpaceDE w:val="0"/>
              <w:autoSpaceDN w:val="0"/>
              <w:adjustRightInd w:val="0"/>
              <w:spacing w:beforeLines="50" w:before="120" w:afterLines="50" w:after="120" w:line="240" w:lineRule="auto"/>
              <w:jc w:val="both"/>
              <w:rPr>
                <w:rFonts w:ascii="Arial" w:hAnsi="Arial" w:cs="Arial"/>
              </w:rPr>
            </w:pPr>
            <w:r w:rsidRPr="002F03DF">
              <w:rPr>
                <w:rFonts w:ascii="Arial" w:hAnsi="Arial" w:cs="Arial"/>
              </w:rPr>
              <w:t>ALT for NVP</w:t>
            </w:r>
            <w:r w:rsidRPr="002F03DF">
              <w:rPr>
                <w:rFonts w:ascii="Arial" w:hAnsi="Arial" w:cs="Arial"/>
                <w:vertAlign w:val="superscript"/>
              </w:rPr>
              <w:t>3</w:t>
            </w:r>
          </w:p>
        </w:tc>
      </w:tr>
      <w:tr w:rsidR="0071027C" w:rsidRPr="002F03DF" w:rsidTr="0071027C">
        <w:tc>
          <w:tcPr>
            <w:tcW w:w="2898" w:type="dxa"/>
            <w:tcBorders>
              <w:top w:val="single" w:sz="4" w:space="0" w:color="auto"/>
              <w:left w:val="single" w:sz="4" w:space="0" w:color="auto"/>
              <w:bottom w:val="single" w:sz="4" w:space="0" w:color="auto"/>
              <w:right w:val="single" w:sz="4" w:space="0" w:color="auto"/>
            </w:tcBorders>
            <w:hideMark/>
          </w:tcPr>
          <w:p w:rsidR="0071027C" w:rsidRPr="002F03DF" w:rsidRDefault="0071027C" w:rsidP="00AA771C">
            <w:pPr>
              <w:spacing w:beforeLines="50" w:before="120" w:afterLines="50" w:after="120" w:line="240" w:lineRule="auto"/>
              <w:jc w:val="both"/>
              <w:rPr>
                <w:rFonts w:ascii="Arial" w:hAnsi="Arial" w:cs="Arial"/>
                <w:iCs/>
              </w:rPr>
            </w:pPr>
            <w:r w:rsidRPr="002F03DF">
              <w:rPr>
                <w:rFonts w:ascii="Arial" w:hAnsi="Arial" w:cs="Arial"/>
              </w:rPr>
              <w:t>Treatment failure</w:t>
            </w:r>
          </w:p>
        </w:tc>
        <w:tc>
          <w:tcPr>
            <w:tcW w:w="2880" w:type="dxa"/>
            <w:tcBorders>
              <w:top w:val="single" w:sz="4" w:space="0" w:color="auto"/>
              <w:left w:val="single" w:sz="4" w:space="0" w:color="auto"/>
              <w:bottom w:val="single" w:sz="4" w:space="0" w:color="auto"/>
              <w:right w:val="single" w:sz="4" w:space="0" w:color="auto"/>
            </w:tcBorders>
            <w:hideMark/>
          </w:tcPr>
          <w:p w:rsidR="0071027C" w:rsidRPr="002F03DF" w:rsidRDefault="0071027C" w:rsidP="00AA771C">
            <w:pPr>
              <w:spacing w:beforeLines="50" w:before="120" w:afterLines="50" w:after="120" w:line="240" w:lineRule="auto"/>
              <w:jc w:val="both"/>
              <w:rPr>
                <w:rFonts w:ascii="Arial" w:hAnsi="Arial" w:cs="Arial"/>
                <w:iCs/>
              </w:rPr>
            </w:pPr>
            <w:r w:rsidRPr="002F03DF">
              <w:rPr>
                <w:rFonts w:ascii="Arial" w:hAnsi="Arial" w:cs="Arial"/>
              </w:rPr>
              <w:t>HIV VL</w:t>
            </w:r>
          </w:p>
        </w:tc>
        <w:tc>
          <w:tcPr>
            <w:tcW w:w="3798" w:type="dxa"/>
            <w:tcBorders>
              <w:top w:val="single" w:sz="4" w:space="0" w:color="auto"/>
              <w:left w:val="single" w:sz="4" w:space="0" w:color="auto"/>
              <w:bottom w:val="single" w:sz="4" w:space="0" w:color="auto"/>
              <w:right w:val="single" w:sz="4" w:space="0" w:color="auto"/>
            </w:tcBorders>
            <w:hideMark/>
          </w:tcPr>
          <w:p w:rsidR="0071027C" w:rsidRPr="002F03DF" w:rsidRDefault="0071027C" w:rsidP="00AA771C">
            <w:pPr>
              <w:keepNext/>
              <w:keepLines/>
              <w:autoSpaceDE w:val="0"/>
              <w:autoSpaceDN w:val="0"/>
              <w:adjustRightInd w:val="0"/>
              <w:spacing w:beforeLines="50" w:before="120" w:afterLines="50" w:after="120" w:line="240" w:lineRule="auto"/>
              <w:jc w:val="both"/>
              <w:outlineLvl w:val="4"/>
              <w:rPr>
                <w:rFonts w:ascii="Arial" w:hAnsi="Arial" w:cs="Arial"/>
              </w:rPr>
            </w:pPr>
            <w:r w:rsidRPr="002F03DF">
              <w:rPr>
                <w:rFonts w:ascii="Arial" w:hAnsi="Arial" w:cs="Arial"/>
              </w:rPr>
              <w:t>HBsAg</w:t>
            </w:r>
            <w:r>
              <w:rPr>
                <w:rFonts w:ascii="Arial" w:hAnsi="Arial" w:cs="Arial"/>
              </w:rPr>
              <w:t xml:space="preserve"> </w:t>
            </w:r>
            <w:r w:rsidRPr="002F03DF">
              <w:rPr>
                <w:rFonts w:ascii="Arial" w:hAnsi="Arial" w:cs="Arial"/>
              </w:rPr>
              <w:t>serology (before switching ART regimen if this testing was not done or</w:t>
            </w:r>
          </w:p>
          <w:p w:rsidR="0071027C" w:rsidRPr="002F03DF" w:rsidRDefault="0071027C" w:rsidP="00AA771C">
            <w:pPr>
              <w:spacing w:beforeLines="50" w:before="120" w:afterLines="50" w:after="120" w:line="240" w:lineRule="auto"/>
              <w:jc w:val="both"/>
              <w:rPr>
                <w:rFonts w:ascii="Arial" w:hAnsi="Arial" w:cs="Arial"/>
                <w:iCs/>
              </w:rPr>
            </w:pPr>
            <w:r w:rsidRPr="002F03DF">
              <w:rPr>
                <w:rFonts w:ascii="Arial" w:hAnsi="Arial" w:cs="Arial"/>
              </w:rPr>
              <w:t>if the result was negative at baseline)</w:t>
            </w:r>
          </w:p>
        </w:tc>
      </w:tr>
    </w:tbl>
    <w:p w:rsidR="0071027C" w:rsidRPr="002F03DF" w:rsidRDefault="0071027C" w:rsidP="00AA771C">
      <w:pPr>
        <w:spacing w:beforeLines="50" w:before="120" w:afterLines="50" w:after="120" w:line="240" w:lineRule="auto"/>
        <w:jc w:val="both"/>
        <w:rPr>
          <w:rFonts w:ascii="Arial" w:hAnsi="Arial" w:cs="Arial"/>
          <w:iCs/>
        </w:rPr>
      </w:pPr>
    </w:p>
    <w:p w:rsidR="0071027C" w:rsidRPr="002F03DF" w:rsidRDefault="0071027C" w:rsidP="00AA771C">
      <w:pPr>
        <w:pStyle w:val="ListParagraph"/>
        <w:numPr>
          <w:ilvl w:val="0"/>
          <w:numId w:val="23"/>
        </w:numPr>
        <w:autoSpaceDE w:val="0"/>
        <w:autoSpaceDN w:val="0"/>
        <w:adjustRightInd w:val="0"/>
        <w:spacing w:beforeLines="50" w:before="120" w:afterLines="50" w:after="120"/>
        <w:jc w:val="both"/>
        <w:rPr>
          <w:rFonts w:ascii="Arial" w:hAnsi="Arial" w:cs="Arial"/>
          <w:sz w:val="22"/>
          <w:szCs w:val="22"/>
        </w:rPr>
      </w:pPr>
      <w:r w:rsidRPr="002F03DF">
        <w:rPr>
          <w:rFonts w:ascii="Arial" w:hAnsi="Arial" w:cs="Arial"/>
          <w:sz w:val="22"/>
          <w:szCs w:val="22"/>
        </w:rPr>
        <w:t>Recommended test in patients with high risk of adverse events associated with AZT (low CD4 or low BMI).</w:t>
      </w:r>
    </w:p>
    <w:p w:rsidR="0071027C" w:rsidRPr="002F03DF" w:rsidRDefault="0071027C" w:rsidP="00AA771C">
      <w:pPr>
        <w:pStyle w:val="ListParagraph"/>
        <w:numPr>
          <w:ilvl w:val="0"/>
          <w:numId w:val="23"/>
        </w:numPr>
        <w:autoSpaceDE w:val="0"/>
        <w:autoSpaceDN w:val="0"/>
        <w:adjustRightInd w:val="0"/>
        <w:spacing w:beforeLines="120" w:before="288" w:afterLines="120" w:after="288"/>
        <w:jc w:val="both"/>
        <w:rPr>
          <w:rFonts w:ascii="Arial" w:hAnsi="Arial" w:cs="Arial"/>
          <w:sz w:val="22"/>
          <w:szCs w:val="22"/>
        </w:rPr>
      </w:pPr>
      <w:r w:rsidRPr="002F03DF">
        <w:rPr>
          <w:rFonts w:ascii="Arial" w:hAnsi="Arial" w:cs="Arial"/>
          <w:sz w:val="22"/>
          <w:szCs w:val="22"/>
        </w:rPr>
        <w:t>Recommended test in patients with high risk of adverse events associated with TDF (underlying renal disease, older age group, low BMI, diabetes, hypertension and concomitant use of a boosted PI or nephrotoxic drugs).</w:t>
      </w:r>
    </w:p>
    <w:p w:rsidR="0071027C" w:rsidRPr="002F03DF" w:rsidRDefault="0071027C" w:rsidP="00AA771C">
      <w:pPr>
        <w:pStyle w:val="ListParagraph"/>
        <w:numPr>
          <w:ilvl w:val="0"/>
          <w:numId w:val="23"/>
        </w:numPr>
        <w:autoSpaceDE w:val="0"/>
        <w:autoSpaceDN w:val="0"/>
        <w:adjustRightInd w:val="0"/>
        <w:spacing w:beforeLines="120" w:before="288" w:afterLines="120" w:after="288"/>
        <w:jc w:val="both"/>
        <w:rPr>
          <w:rFonts w:ascii="Arial" w:hAnsi="Arial" w:cs="Arial"/>
          <w:sz w:val="22"/>
          <w:szCs w:val="22"/>
        </w:rPr>
      </w:pPr>
      <w:r w:rsidRPr="002F03DF">
        <w:rPr>
          <w:rFonts w:ascii="Arial" w:hAnsi="Arial" w:cs="Arial"/>
          <w:sz w:val="22"/>
          <w:szCs w:val="22"/>
        </w:rPr>
        <w:t>Recommended test in patients with high risk of adverse events associated with NVP (ART-naive HIV+ women with CD4 of &gt;250 cells/mm3, HCV co-infection).</w:t>
      </w:r>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hAnsi="Arial" w:cs="Arial"/>
        </w:rPr>
        <w:t>Patients who are not yet eligible for ART should have CD4 count measurement every six months and more frequently as they approach the threshold to initiate ART. If feasible, HBsAg should be performed in order to identify people with HIV/HBV co-infection and who, therefore, should initiate TDF-containing ART.</w:t>
      </w:r>
    </w:p>
    <w:p w:rsidR="0071027C" w:rsidRPr="00CA1CF7" w:rsidRDefault="0071027C" w:rsidP="0071027C">
      <w:pPr>
        <w:pStyle w:val="Heading3"/>
      </w:pPr>
      <w:bookmarkStart w:id="182" w:name="_Toc374957224"/>
      <w:bookmarkStart w:id="183" w:name="_Toc378258126"/>
      <w:bookmarkStart w:id="184" w:name="_Toc382213989"/>
      <w:r w:rsidRPr="00CA1CF7">
        <w:t>4.4.2 Tests for monitoring antiretroviral treatment safety (toxicity)</w:t>
      </w:r>
      <w:bookmarkEnd w:id="182"/>
      <w:bookmarkEnd w:id="183"/>
      <w:bookmarkEnd w:id="184"/>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hAnsi="Arial" w:cs="Arial"/>
        </w:rPr>
        <w:t>Antiretroviral drugs are known to produce short and long term side effects in some patients. Clinical follow up is crucial supported by laboratory investigations. Capacity for testing haematology indices and clinical biochemistry has been developed at all laboratories in facilities providing Care and Treatment in the country. The frequency of monitoring depends on the ART regimen used and is summarized in table 8.5 in chapter 8.</w:t>
      </w:r>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hAnsi="Arial" w:cs="Arial"/>
        </w:rPr>
        <w:t>Furthermore ART drug toxicity varies in severity which determines the clinical action to take. The following tables show the grading of adverse events as a result of ARV drugs</w:t>
      </w:r>
      <w:r>
        <w:rPr>
          <w:rFonts w:ascii="Arial" w:hAnsi="Arial" w:cs="Arial"/>
        </w:rPr>
        <w:t xml:space="preserve"> toxici</w:t>
      </w:r>
      <w:r w:rsidRPr="002F03DF">
        <w:rPr>
          <w:rFonts w:ascii="Arial" w:hAnsi="Arial" w:cs="Arial"/>
        </w:rPr>
        <w:t>ty for adults and children.</w:t>
      </w:r>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p>
    <w:p w:rsidR="0071027C" w:rsidRDefault="0071027C" w:rsidP="00AA771C">
      <w:pPr>
        <w:autoSpaceDE w:val="0"/>
        <w:autoSpaceDN w:val="0"/>
        <w:adjustRightInd w:val="0"/>
        <w:spacing w:beforeLines="120" w:before="288" w:afterLines="120" w:after="288" w:line="240" w:lineRule="auto"/>
        <w:jc w:val="both"/>
        <w:rPr>
          <w:rFonts w:ascii="Arial" w:hAnsi="Arial" w:cs="Arial"/>
          <w:b/>
        </w:rPr>
      </w:pPr>
    </w:p>
    <w:p w:rsidR="0071027C" w:rsidRDefault="0071027C" w:rsidP="00AA771C">
      <w:pPr>
        <w:autoSpaceDE w:val="0"/>
        <w:autoSpaceDN w:val="0"/>
        <w:adjustRightInd w:val="0"/>
        <w:spacing w:beforeLines="120" w:before="288" w:afterLines="120" w:after="288" w:line="240" w:lineRule="auto"/>
        <w:jc w:val="both"/>
        <w:rPr>
          <w:rFonts w:ascii="Arial" w:hAnsi="Arial" w:cs="Arial"/>
          <w:b/>
        </w:rPr>
      </w:pPr>
    </w:p>
    <w:p w:rsidR="0071027C" w:rsidRDefault="0071027C" w:rsidP="00AA771C">
      <w:pPr>
        <w:autoSpaceDE w:val="0"/>
        <w:autoSpaceDN w:val="0"/>
        <w:adjustRightInd w:val="0"/>
        <w:spacing w:beforeLines="120" w:before="288" w:afterLines="120" w:after="288" w:line="240" w:lineRule="auto"/>
        <w:jc w:val="both"/>
        <w:rPr>
          <w:rFonts w:ascii="Arial" w:hAnsi="Arial" w:cs="Arial"/>
          <w:b/>
        </w:rPr>
      </w:pPr>
    </w:p>
    <w:p w:rsidR="0071027C" w:rsidRDefault="0071027C" w:rsidP="00AA771C">
      <w:pPr>
        <w:autoSpaceDE w:val="0"/>
        <w:autoSpaceDN w:val="0"/>
        <w:adjustRightInd w:val="0"/>
        <w:spacing w:beforeLines="120" w:before="288" w:afterLines="120" w:after="288" w:line="240" w:lineRule="auto"/>
        <w:jc w:val="both"/>
        <w:rPr>
          <w:rFonts w:ascii="Arial" w:hAnsi="Arial" w:cs="Arial"/>
          <w:b/>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
        <w:gridCol w:w="1368"/>
        <w:gridCol w:w="475"/>
        <w:gridCol w:w="1526"/>
        <w:gridCol w:w="317"/>
        <w:gridCol w:w="1667"/>
        <w:gridCol w:w="65"/>
        <w:gridCol w:w="1890"/>
        <w:gridCol w:w="450"/>
        <w:gridCol w:w="1710"/>
      </w:tblGrid>
      <w:tr w:rsidR="0071027C" w:rsidRPr="002F03DF" w:rsidTr="0071027C">
        <w:trPr>
          <w:gridBefore w:val="1"/>
          <w:wBefore w:w="72" w:type="dxa"/>
          <w:trHeight w:val="710"/>
        </w:trPr>
        <w:tc>
          <w:tcPr>
            <w:tcW w:w="9468" w:type="dxa"/>
            <w:gridSpan w:val="9"/>
            <w:tcBorders>
              <w:top w:val="nil"/>
              <w:left w:val="nil"/>
              <w:bottom w:val="single" w:sz="4" w:space="0" w:color="auto"/>
              <w:right w:val="nil"/>
            </w:tcBorders>
            <w:hideMark/>
          </w:tcPr>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b/>
              </w:rPr>
            </w:pPr>
            <w:r w:rsidRPr="002F03DF">
              <w:rPr>
                <w:rFonts w:ascii="Arial" w:hAnsi="Arial" w:cs="Arial"/>
                <w:b/>
              </w:rPr>
              <w:t xml:space="preserve">Table 4.2: </w:t>
            </w:r>
            <w:r w:rsidRPr="002F03DF">
              <w:rPr>
                <w:rFonts w:ascii="Arial" w:eastAsia="HelveticaNeueLTStd-Cn" w:hAnsi="Arial" w:cs="Arial"/>
                <w:b/>
              </w:rPr>
              <w:t>Grading adverse reactions in adults</w:t>
            </w:r>
          </w:p>
        </w:tc>
      </w:tr>
      <w:tr w:rsidR="0071027C" w:rsidRPr="002F03DF" w:rsidTr="0071027C">
        <w:trPr>
          <w:gridBefore w:val="1"/>
          <w:wBefore w:w="72" w:type="dxa"/>
          <w:trHeight w:val="629"/>
        </w:trPr>
        <w:tc>
          <w:tcPr>
            <w:tcW w:w="9468" w:type="dxa"/>
            <w:gridSpan w:val="9"/>
            <w:tcBorders>
              <w:top w:val="single" w:sz="4" w:space="0" w:color="auto"/>
              <w:left w:val="single" w:sz="4" w:space="0" w:color="000000"/>
              <w:bottom w:val="single" w:sz="4" w:space="0" w:color="000000"/>
              <w:right w:val="single" w:sz="4" w:space="0" w:color="000000"/>
            </w:tcBorders>
            <w:hideMark/>
          </w:tcPr>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b/>
              </w:rPr>
            </w:pPr>
            <w:r w:rsidRPr="002F03DF">
              <w:rPr>
                <w:rFonts w:ascii="Arial" w:hAnsi="Arial" w:cs="Arial"/>
                <w:b/>
              </w:rPr>
              <w:t>LABORATORY TEST ABNORMALITIES</w:t>
            </w:r>
          </w:p>
        </w:tc>
      </w:tr>
      <w:tr w:rsidR="0071027C" w:rsidRPr="002F03DF" w:rsidTr="0071027C">
        <w:trPr>
          <w:gridBefore w:val="1"/>
          <w:wBefore w:w="72" w:type="dxa"/>
        </w:trPr>
        <w:tc>
          <w:tcPr>
            <w:tcW w:w="1843" w:type="dxa"/>
            <w:gridSpan w:val="2"/>
            <w:tcBorders>
              <w:top w:val="single" w:sz="4" w:space="0" w:color="000000"/>
              <w:left w:val="single" w:sz="4" w:space="0" w:color="000000"/>
              <w:bottom w:val="single" w:sz="4" w:space="0" w:color="000000"/>
              <w:right w:val="single" w:sz="4" w:space="0" w:color="FFFFFF" w:themeColor="background1"/>
            </w:tcBorders>
            <w:shd w:val="clear" w:color="auto" w:fill="000000" w:themeFill="text1"/>
            <w:hideMark/>
          </w:tcPr>
          <w:p w:rsidR="0071027C" w:rsidRPr="002F03DF" w:rsidRDefault="0071027C" w:rsidP="00AA771C">
            <w:pPr>
              <w:autoSpaceDE w:val="0"/>
              <w:autoSpaceDN w:val="0"/>
              <w:adjustRightInd w:val="0"/>
              <w:spacing w:beforeLines="120" w:before="288" w:afterLines="120" w:after="288" w:line="240" w:lineRule="auto"/>
              <w:jc w:val="center"/>
              <w:rPr>
                <w:rFonts w:ascii="Arial" w:hAnsi="Arial" w:cs="Arial"/>
                <w:b/>
              </w:rPr>
            </w:pPr>
            <w:r w:rsidRPr="002F03DF">
              <w:rPr>
                <w:rFonts w:ascii="Arial" w:hAnsi="Arial" w:cs="Arial"/>
                <w:b/>
              </w:rPr>
              <w:t>Item</w:t>
            </w:r>
          </w:p>
        </w:tc>
        <w:tc>
          <w:tcPr>
            <w:tcW w:w="1843" w:type="dxa"/>
            <w:gridSpan w:val="2"/>
            <w:tcBorders>
              <w:top w:val="single" w:sz="4" w:space="0" w:color="000000"/>
              <w:left w:val="single" w:sz="4" w:space="0" w:color="FFFFFF" w:themeColor="background1"/>
              <w:bottom w:val="single" w:sz="4" w:space="0" w:color="000000"/>
              <w:right w:val="single" w:sz="4" w:space="0" w:color="FFFFFF" w:themeColor="background1"/>
            </w:tcBorders>
            <w:shd w:val="clear" w:color="auto" w:fill="000000" w:themeFill="text1"/>
            <w:hideMark/>
          </w:tcPr>
          <w:p w:rsidR="0071027C" w:rsidRPr="002F03DF" w:rsidRDefault="0071027C" w:rsidP="00AA771C">
            <w:pPr>
              <w:autoSpaceDE w:val="0"/>
              <w:autoSpaceDN w:val="0"/>
              <w:adjustRightInd w:val="0"/>
              <w:spacing w:beforeLines="120" w:before="288" w:afterLines="120" w:after="288" w:line="240" w:lineRule="auto"/>
              <w:jc w:val="center"/>
              <w:rPr>
                <w:rFonts w:ascii="Arial" w:hAnsi="Arial" w:cs="Arial"/>
                <w:b/>
              </w:rPr>
            </w:pPr>
            <w:r w:rsidRPr="002F03DF">
              <w:rPr>
                <w:rFonts w:ascii="Arial" w:hAnsi="Arial" w:cs="Arial"/>
                <w:b/>
              </w:rPr>
              <w:t>Grade I</w:t>
            </w:r>
          </w:p>
          <w:p w:rsidR="0071027C" w:rsidRPr="002F03DF" w:rsidRDefault="0071027C" w:rsidP="00AA771C">
            <w:pPr>
              <w:autoSpaceDE w:val="0"/>
              <w:autoSpaceDN w:val="0"/>
              <w:adjustRightInd w:val="0"/>
              <w:spacing w:beforeLines="120" w:before="288" w:afterLines="120" w:after="288" w:line="240" w:lineRule="auto"/>
              <w:jc w:val="center"/>
              <w:rPr>
                <w:rFonts w:ascii="Arial" w:hAnsi="Arial" w:cs="Arial"/>
                <w:b/>
              </w:rPr>
            </w:pPr>
            <w:r w:rsidRPr="002F03DF">
              <w:rPr>
                <w:rFonts w:ascii="Arial" w:hAnsi="Arial" w:cs="Arial"/>
                <w:b/>
              </w:rPr>
              <w:t>Toxicity</w:t>
            </w:r>
          </w:p>
        </w:tc>
        <w:tc>
          <w:tcPr>
            <w:tcW w:w="1732" w:type="dxa"/>
            <w:gridSpan w:val="2"/>
            <w:tcBorders>
              <w:top w:val="single" w:sz="4" w:space="0" w:color="000000"/>
              <w:left w:val="single" w:sz="4" w:space="0" w:color="FFFFFF" w:themeColor="background1"/>
              <w:bottom w:val="single" w:sz="4" w:space="0" w:color="000000"/>
              <w:right w:val="single" w:sz="4" w:space="0" w:color="FFFFFF" w:themeColor="background1"/>
            </w:tcBorders>
            <w:shd w:val="clear" w:color="auto" w:fill="000000" w:themeFill="text1"/>
            <w:hideMark/>
          </w:tcPr>
          <w:p w:rsidR="0071027C" w:rsidRPr="002F03DF" w:rsidRDefault="0071027C" w:rsidP="00AA771C">
            <w:pPr>
              <w:autoSpaceDE w:val="0"/>
              <w:autoSpaceDN w:val="0"/>
              <w:adjustRightInd w:val="0"/>
              <w:spacing w:beforeLines="120" w:before="288" w:afterLines="120" w:after="288" w:line="240" w:lineRule="auto"/>
              <w:jc w:val="center"/>
              <w:rPr>
                <w:rFonts w:ascii="Arial" w:hAnsi="Arial" w:cs="Arial"/>
                <w:b/>
              </w:rPr>
            </w:pPr>
            <w:r w:rsidRPr="002F03DF">
              <w:rPr>
                <w:rFonts w:ascii="Arial" w:hAnsi="Arial" w:cs="Arial"/>
                <w:b/>
              </w:rPr>
              <w:t>Grade II</w:t>
            </w:r>
          </w:p>
          <w:p w:rsidR="0071027C" w:rsidRPr="002F03DF" w:rsidRDefault="0071027C" w:rsidP="00AA771C">
            <w:pPr>
              <w:autoSpaceDE w:val="0"/>
              <w:autoSpaceDN w:val="0"/>
              <w:adjustRightInd w:val="0"/>
              <w:spacing w:beforeLines="120" w:before="288" w:afterLines="120" w:after="288" w:line="240" w:lineRule="auto"/>
              <w:jc w:val="center"/>
              <w:rPr>
                <w:rFonts w:ascii="Arial" w:hAnsi="Arial" w:cs="Arial"/>
                <w:b/>
              </w:rPr>
            </w:pPr>
            <w:r w:rsidRPr="002F03DF">
              <w:rPr>
                <w:rFonts w:ascii="Arial" w:hAnsi="Arial" w:cs="Arial"/>
                <w:b/>
              </w:rPr>
              <w:t>Toxicity</w:t>
            </w:r>
          </w:p>
        </w:tc>
        <w:tc>
          <w:tcPr>
            <w:tcW w:w="2340" w:type="dxa"/>
            <w:gridSpan w:val="2"/>
            <w:tcBorders>
              <w:top w:val="single" w:sz="4" w:space="0" w:color="auto"/>
              <w:left w:val="single" w:sz="4" w:space="0" w:color="FFFFFF" w:themeColor="background1"/>
              <w:bottom w:val="single" w:sz="4" w:space="0" w:color="000000"/>
              <w:right w:val="single" w:sz="4" w:space="0" w:color="FFFFFF" w:themeColor="background1"/>
            </w:tcBorders>
            <w:shd w:val="clear" w:color="auto" w:fill="000000" w:themeFill="text1"/>
            <w:hideMark/>
          </w:tcPr>
          <w:p w:rsidR="0071027C" w:rsidRPr="002F03DF" w:rsidRDefault="0071027C" w:rsidP="00AA771C">
            <w:pPr>
              <w:autoSpaceDE w:val="0"/>
              <w:autoSpaceDN w:val="0"/>
              <w:adjustRightInd w:val="0"/>
              <w:spacing w:beforeLines="120" w:before="288" w:afterLines="120" w:after="288" w:line="240" w:lineRule="auto"/>
              <w:jc w:val="center"/>
              <w:rPr>
                <w:rFonts w:ascii="Arial" w:hAnsi="Arial" w:cs="Arial"/>
                <w:b/>
              </w:rPr>
            </w:pPr>
            <w:r w:rsidRPr="002F03DF">
              <w:rPr>
                <w:rFonts w:ascii="Arial" w:hAnsi="Arial" w:cs="Arial"/>
                <w:b/>
              </w:rPr>
              <w:t>Grade III</w:t>
            </w:r>
          </w:p>
          <w:p w:rsidR="0071027C" w:rsidRPr="002F03DF" w:rsidRDefault="0071027C" w:rsidP="00AA771C">
            <w:pPr>
              <w:autoSpaceDE w:val="0"/>
              <w:autoSpaceDN w:val="0"/>
              <w:adjustRightInd w:val="0"/>
              <w:spacing w:beforeLines="120" w:before="288" w:afterLines="120" w:after="288" w:line="240" w:lineRule="auto"/>
              <w:jc w:val="center"/>
              <w:rPr>
                <w:rFonts w:ascii="Arial" w:hAnsi="Arial" w:cs="Arial"/>
                <w:b/>
              </w:rPr>
            </w:pPr>
            <w:r w:rsidRPr="002F03DF">
              <w:rPr>
                <w:rFonts w:ascii="Arial" w:hAnsi="Arial" w:cs="Arial"/>
                <w:b/>
              </w:rPr>
              <w:t>Toxicity</w:t>
            </w:r>
          </w:p>
        </w:tc>
        <w:tc>
          <w:tcPr>
            <w:tcW w:w="1710" w:type="dxa"/>
            <w:tcBorders>
              <w:top w:val="single" w:sz="4" w:space="0" w:color="000000"/>
              <w:left w:val="single" w:sz="4" w:space="0" w:color="FFFFFF" w:themeColor="background1"/>
              <w:bottom w:val="single" w:sz="4" w:space="0" w:color="000000"/>
              <w:right w:val="single" w:sz="4" w:space="0" w:color="000000"/>
            </w:tcBorders>
            <w:shd w:val="clear" w:color="auto" w:fill="000000" w:themeFill="text1"/>
            <w:hideMark/>
          </w:tcPr>
          <w:p w:rsidR="0071027C" w:rsidRPr="002F03DF" w:rsidRDefault="0071027C" w:rsidP="00AA771C">
            <w:pPr>
              <w:autoSpaceDE w:val="0"/>
              <w:autoSpaceDN w:val="0"/>
              <w:adjustRightInd w:val="0"/>
              <w:spacing w:beforeLines="120" w:before="288" w:afterLines="120" w:after="288" w:line="240" w:lineRule="auto"/>
              <w:jc w:val="center"/>
              <w:rPr>
                <w:rFonts w:ascii="Arial" w:hAnsi="Arial" w:cs="Arial"/>
                <w:b/>
              </w:rPr>
            </w:pPr>
            <w:r w:rsidRPr="002F03DF">
              <w:rPr>
                <w:rFonts w:ascii="Arial" w:hAnsi="Arial" w:cs="Arial"/>
                <w:b/>
              </w:rPr>
              <w:t>Grade IV</w:t>
            </w:r>
          </w:p>
          <w:p w:rsidR="0071027C" w:rsidRPr="002F03DF" w:rsidRDefault="0071027C" w:rsidP="00AA771C">
            <w:pPr>
              <w:autoSpaceDE w:val="0"/>
              <w:autoSpaceDN w:val="0"/>
              <w:adjustRightInd w:val="0"/>
              <w:spacing w:beforeLines="120" w:before="288" w:afterLines="120" w:after="288" w:line="240" w:lineRule="auto"/>
              <w:jc w:val="center"/>
              <w:rPr>
                <w:rFonts w:ascii="Arial" w:hAnsi="Arial" w:cs="Arial"/>
                <w:b/>
              </w:rPr>
            </w:pPr>
            <w:r w:rsidRPr="002F03DF">
              <w:rPr>
                <w:rFonts w:ascii="Arial" w:hAnsi="Arial" w:cs="Arial"/>
                <w:b/>
              </w:rPr>
              <w:t>Toxicity</w:t>
            </w:r>
          </w:p>
        </w:tc>
      </w:tr>
      <w:tr w:rsidR="0071027C" w:rsidRPr="002F03DF" w:rsidTr="0071027C">
        <w:trPr>
          <w:gridBefore w:val="1"/>
          <w:wBefore w:w="72" w:type="dxa"/>
        </w:trPr>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eastAsia="HelveticaNeueLTStd-Cn" w:hAnsi="Arial" w:cs="Arial"/>
              </w:rPr>
              <w:t>Haemoglobin</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eastAsia="HelveticaNeueLTStd-Cn" w:hAnsi="Arial" w:cs="Arial"/>
              </w:rPr>
              <w:t>8.0-9.4 g/Dl</w:t>
            </w: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eastAsia="HelveticaNeueLTStd-Cn" w:hAnsi="Arial" w:cs="Arial"/>
              </w:rPr>
              <w:t>7.0-7.9 g/dL</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eastAsia="HelveticaNeueLTStd-Cn" w:hAnsi="Arial" w:cs="Arial"/>
              </w:rPr>
              <w:t>6.5-6.9 g/dL</w:t>
            </w:r>
          </w:p>
        </w:tc>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eastAsia="HelveticaNeueLTStd-Cn" w:hAnsi="Arial" w:cs="Arial"/>
              </w:rPr>
              <w:t>&lt;6.5 g/dL</w:t>
            </w:r>
          </w:p>
        </w:tc>
      </w:tr>
      <w:tr w:rsidR="0071027C" w:rsidRPr="002F03DF" w:rsidTr="0071027C">
        <w:trPr>
          <w:gridBefore w:val="1"/>
          <w:wBefore w:w="72" w:type="dxa"/>
        </w:trPr>
        <w:tc>
          <w:tcPr>
            <w:tcW w:w="1843" w:type="dxa"/>
            <w:gridSpan w:val="2"/>
            <w:tcBorders>
              <w:top w:val="single" w:sz="4" w:space="0" w:color="000000"/>
              <w:left w:val="single" w:sz="4" w:space="0" w:color="000000"/>
              <w:bottom w:val="single" w:sz="4" w:space="0" w:color="000000"/>
              <w:right w:val="single" w:sz="4" w:space="0" w:color="000000"/>
            </w:tcBorders>
            <w:hideMark/>
          </w:tcPr>
          <w:p w:rsidR="0071027C" w:rsidRPr="002F03DF" w:rsidRDefault="0071027C" w:rsidP="00AA771C">
            <w:pPr>
              <w:autoSpaceDE w:val="0"/>
              <w:autoSpaceDN w:val="0"/>
              <w:adjustRightInd w:val="0"/>
              <w:spacing w:beforeLines="120" w:before="288" w:afterLines="120" w:after="288" w:line="240" w:lineRule="auto"/>
              <w:jc w:val="both"/>
              <w:rPr>
                <w:rFonts w:ascii="Arial" w:eastAsia="HelveticaNeueLTStd-Cn" w:hAnsi="Arial" w:cs="Arial"/>
              </w:rPr>
            </w:pPr>
            <w:r w:rsidRPr="002F03DF">
              <w:rPr>
                <w:rFonts w:ascii="Arial" w:eastAsia="HelveticaNeueLTStd-Cn" w:hAnsi="Arial" w:cs="Arial"/>
              </w:rPr>
              <w:t>Absolute Neutrophil Count</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eastAsia="HelveticaNeueLTStd-Cn" w:hAnsi="Arial" w:cs="Arial"/>
              </w:rPr>
              <w:t>1-1.5 x 109/L</w:t>
            </w:r>
          </w:p>
        </w:tc>
        <w:tc>
          <w:tcPr>
            <w:tcW w:w="1732" w:type="dxa"/>
            <w:gridSpan w:val="2"/>
            <w:tcBorders>
              <w:top w:val="single" w:sz="4" w:space="0" w:color="000000"/>
              <w:left w:val="single" w:sz="4" w:space="0" w:color="000000"/>
              <w:bottom w:val="single" w:sz="4" w:space="0" w:color="000000"/>
              <w:right w:val="single" w:sz="4" w:space="0" w:color="000000"/>
            </w:tcBorders>
            <w:hideMark/>
          </w:tcPr>
          <w:p w:rsidR="0071027C" w:rsidRPr="002F03DF" w:rsidRDefault="0071027C" w:rsidP="00AA771C">
            <w:pPr>
              <w:autoSpaceDE w:val="0"/>
              <w:autoSpaceDN w:val="0"/>
              <w:adjustRightInd w:val="0"/>
              <w:spacing w:beforeLines="120" w:before="288" w:afterLines="120" w:after="288" w:line="240" w:lineRule="auto"/>
              <w:jc w:val="both"/>
              <w:rPr>
                <w:rFonts w:ascii="Arial" w:eastAsia="HelveticaNeueLTStd-Cn" w:hAnsi="Arial" w:cs="Arial"/>
              </w:rPr>
            </w:pPr>
            <w:r w:rsidRPr="002F03DF">
              <w:rPr>
                <w:rFonts w:ascii="Arial" w:eastAsia="HelveticaNeueLTStd-Cn" w:hAnsi="Arial" w:cs="Arial"/>
              </w:rPr>
              <w:t>0.75–0.99 x109 /L</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eastAsia="HelveticaNeueLTStd-Cn" w:hAnsi="Arial" w:cs="Arial"/>
              </w:rPr>
              <w:t>0.5-0.749 x 109/L</w:t>
            </w:r>
          </w:p>
        </w:tc>
        <w:tc>
          <w:tcPr>
            <w:tcW w:w="1710" w:type="dxa"/>
            <w:tcBorders>
              <w:top w:val="single" w:sz="4" w:space="0" w:color="000000"/>
              <w:left w:val="single" w:sz="4" w:space="0" w:color="000000"/>
              <w:bottom w:val="single" w:sz="4" w:space="0" w:color="000000"/>
              <w:right w:val="single" w:sz="4" w:space="0" w:color="000000"/>
            </w:tcBorders>
            <w:hideMark/>
          </w:tcPr>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eastAsia="HelveticaNeueLTStd-Cn" w:hAnsi="Arial" w:cs="Arial"/>
              </w:rPr>
              <w:t>&lt;0.5 x 109/L</w:t>
            </w:r>
          </w:p>
        </w:tc>
      </w:tr>
      <w:tr w:rsidR="0071027C" w:rsidRPr="002F03DF" w:rsidTr="0071027C">
        <w:trPr>
          <w:gridBefore w:val="1"/>
          <w:wBefore w:w="72" w:type="dxa"/>
        </w:trPr>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hAnsi="Arial" w:cs="Arial"/>
              </w:rPr>
              <w:t>ALT</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1027C" w:rsidRPr="002F03DF" w:rsidRDefault="0071027C" w:rsidP="00AA771C">
            <w:pPr>
              <w:autoSpaceDE w:val="0"/>
              <w:autoSpaceDN w:val="0"/>
              <w:adjustRightInd w:val="0"/>
              <w:spacing w:beforeLines="120" w:before="288" w:afterLines="120" w:after="288" w:line="240" w:lineRule="auto"/>
              <w:jc w:val="both"/>
              <w:rPr>
                <w:rFonts w:ascii="Arial" w:eastAsia="HelveticaNeueLTStd-Cn" w:hAnsi="Arial" w:cs="Arial"/>
              </w:rPr>
            </w:pPr>
            <w:r w:rsidRPr="002F03DF">
              <w:rPr>
                <w:rFonts w:ascii="Arial" w:eastAsia="HelveticaNeueLTStd-Cn" w:hAnsi="Arial" w:cs="Arial"/>
              </w:rPr>
              <w:t>1.25-2.5 IU/L</w:t>
            </w:r>
          </w:p>
          <w:p w:rsidR="0071027C" w:rsidRPr="002F03DF" w:rsidRDefault="0071027C" w:rsidP="00AA771C">
            <w:pPr>
              <w:autoSpaceDE w:val="0"/>
              <w:autoSpaceDN w:val="0"/>
              <w:adjustRightInd w:val="0"/>
              <w:spacing w:beforeLines="120" w:before="288" w:afterLines="120" w:after="288" w:line="240" w:lineRule="auto"/>
              <w:jc w:val="both"/>
              <w:rPr>
                <w:rFonts w:ascii="Arial" w:eastAsia="HelveticaNeueLTStd-Cn" w:hAnsi="Arial" w:cs="Arial"/>
              </w:rPr>
            </w:pPr>
            <w:r w:rsidRPr="002F03DF">
              <w:rPr>
                <w:rFonts w:ascii="Arial" w:eastAsia="HelveticaNeueLTStd-Cn" w:hAnsi="Arial" w:cs="Arial"/>
              </w:rPr>
              <w:t>upper normal limit</w:t>
            </w: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1027C" w:rsidRPr="002F03DF" w:rsidRDefault="0071027C" w:rsidP="00AA771C">
            <w:pPr>
              <w:autoSpaceDE w:val="0"/>
              <w:autoSpaceDN w:val="0"/>
              <w:adjustRightInd w:val="0"/>
              <w:spacing w:beforeLines="120" w:before="288" w:afterLines="120" w:after="288" w:line="240" w:lineRule="auto"/>
              <w:jc w:val="both"/>
              <w:rPr>
                <w:rFonts w:ascii="Arial" w:eastAsia="HelveticaNeueLTStd-Cn" w:hAnsi="Arial" w:cs="Arial"/>
              </w:rPr>
            </w:pPr>
            <w:r w:rsidRPr="002F03DF">
              <w:rPr>
                <w:rFonts w:ascii="Arial" w:eastAsia="HelveticaNeueLTStd-Cn" w:hAnsi="Arial" w:cs="Arial"/>
              </w:rPr>
              <w:t>&gt;2.5-5 IU/L</w:t>
            </w:r>
          </w:p>
          <w:p w:rsidR="0071027C" w:rsidRPr="002F03DF" w:rsidRDefault="0071027C" w:rsidP="00AA771C">
            <w:pPr>
              <w:autoSpaceDE w:val="0"/>
              <w:autoSpaceDN w:val="0"/>
              <w:adjustRightInd w:val="0"/>
              <w:spacing w:beforeLines="120" w:before="288" w:afterLines="120" w:after="288" w:line="240" w:lineRule="auto"/>
              <w:jc w:val="both"/>
              <w:rPr>
                <w:rFonts w:ascii="Arial" w:eastAsia="HelveticaNeueLTStd-Cn" w:hAnsi="Arial" w:cs="Arial"/>
              </w:rPr>
            </w:pPr>
            <w:r w:rsidRPr="002F03DF">
              <w:rPr>
                <w:rFonts w:ascii="Arial" w:eastAsia="HelveticaNeueLTStd-Cn" w:hAnsi="Arial" w:cs="Arial"/>
              </w:rPr>
              <w:t>upper normal limit</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1027C" w:rsidRPr="002F03DF" w:rsidRDefault="0071027C" w:rsidP="00AA771C">
            <w:pPr>
              <w:autoSpaceDE w:val="0"/>
              <w:autoSpaceDN w:val="0"/>
              <w:adjustRightInd w:val="0"/>
              <w:spacing w:beforeLines="120" w:before="288" w:afterLines="120" w:after="288" w:line="240" w:lineRule="auto"/>
              <w:jc w:val="both"/>
              <w:rPr>
                <w:rFonts w:ascii="Arial" w:eastAsia="HelveticaNeueLTStd-Cn" w:hAnsi="Arial" w:cs="Arial"/>
              </w:rPr>
            </w:pPr>
            <w:r w:rsidRPr="002F03DF">
              <w:rPr>
                <w:rFonts w:ascii="Arial" w:eastAsia="HelveticaNeueLTStd-Cn" w:hAnsi="Arial" w:cs="Arial"/>
              </w:rPr>
              <w:t>&gt;5.0-10 IU/L</w:t>
            </w:r>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eastAsia="HelveticaNeueLTStd-Cn" w:hAnsi="Arial" w:cs="Arial"/>
              </w:rPr>
              <w:t>upper normal limit</w:t>
            </w:r>
          </w:p>
        </w:tc>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1027C" w:rsidRPr="002F03DF" w:rsidRDefault="0071027C" w:rsidP="00AA771C">
            <w:pPr>
              <w:autoSpaceDE w:val="0"/>
              <w:autoSpaceDN w:val="0"/>
              <w:adjustRightInd w:val="0"/>
              <w:spacing w:beforeLines="120" w:before="288" w:afterLines="120" w:after="288" w:line="240" w:lineRule="auto"/>
              <w:jc w:val="both"/>
              <w:rPr>
                <w:rFonts w:ascii="Arial" w:eastAsia="HelveticaNeueLTStd-Cn" w:hAnsi="Arial" w:cs="Arial"/>
              </w:rPr>
            </w:pPr>
            <w:r w:rsidRPr="002F03DF">
              <w:rPr>
                <w:rFonts w:ascii="Arial" w:eastAsia="HelveticaNeueLTStd-Cn" w:hAnsi="Arial" w:cs="Arial"/>
              </w:rPr>
              <w:t>&gt;10 IU/L</w:t>
            </w:r>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eastAsia="HelveticaNeueLTStd-Cn" w:hAnsi="Arial" w:cs="Arial"/>
              </w:rPr>
              <w:t>upper normal limit</w:t>
            </w:r>
          </w:p>
        </w:tc>
      </w:tr>
      <w:tr w:rsidR="0071027C" w:rsidRPr="002F03DF" w:rsidTr="0071027C">
        <w:trPr>
          <w:gridBefore w:val="1"/>
          <w:wBefore w:w="72" w:type="dxa"/>
        </w:trPr>
        <w:tc>
          <w:tcPr>
            <w:tcW w:w="1843" w:type="dxa"/>
            <w:gridSpan w:val="2"/>
            <w:tcBorders>
              <w:top w:val="single" w:sz="4" w:space="0" w:color="000000"/>
              <w:left w:val="single" w:sz="4" w:space="0" w:color="000000"/>
              <w:bottom w:val="single" w:sz="4" w:space="0" w:color="000000"/>
              <w:right w:val="single" w:sz="4" w:space="0" w:color="000000"/>
            </w:tcBorders>
            <w:hideMark/>
          </w:tcPr>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eastAsia="HelveticaNeueLTStd-Cn" w:hAnsi="Arial" w:cs="Arial"/>
              </w:rPr>
              <w:t>Triglycerides</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eastAsia="HelveticaNeueLTStd-Cn" w:hAnsi="Arial" w:cs="Arial"/>
              </w:rPr>
              <w:t>3-4.51 mmol/L</w:t>
            </w:r>
          </w:p>
        </w:tc>
        <w:tc>
          <w:tcPr>
            <w:tcW w:w="1732" w:type="dxa"/>
            <w:gridSpan w:val="2"/>
            <w:tcBorders>
              <w:top w:val="single" w:sz="4" w:space="0" w:color="000000"/>
              <w:left w:val="single" w:sz="4" w:space="0" w:color="000000"/>
              <w:bottom w:val="single" w:sz="4" w:space="0" w:color="000000"/>
              <w:right w:val="single" w:sz="4" w:space="0" w:color="000000"/>
            </w:tcBorders>
            <w:hideMark/>
          </w:tcPr>
          <w:p w:rsidR="0071027C" w:rsidRPr="002F03DF" w:rsidRDefault="0071027C" w:rsidP="00AA771C">
            <w:pPr>
              <w:autoSpaceDE w:val="0"/>
              <w:autoSpaceDN w:val="0"/>
              <w:adjustRightInd w:val="0"/>
              <w:spacing w:beforeLines="120" w:before="288" w:afterLines="120" w:after="288" w:line="240" w:lineRule="auto"/>
              <w:jc w:val="both"/>
              <w:rPr>
                <w:rFonts w:ascii="Arial" w:eastAsia="HelveticaNeueLTStd-Cn" w:hAnsi="Arial" w:cs="Arial"/>
              </w:rPr>
            </w:pPr>
            <w:r w:rsidRPr="002F03DF">
              <w:rPr>
                <w:rFonts w:ascii="Arial" w:eastAsia="HelveticaNeueLTStd-Cn" w:hAnsi="Arial" w:cs="Arial"/>
              </w:rPr>
              <w:t>4.52-8.48 mmol/L</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eastAsia="HelveticaNeueLTStd-Cn" w:hAnsi="Arial" w:cs="Arial"/>
              </w:rPr>
              <w:t>8.49-13.56 mmol/L</w:t>
            </w:r>
          </w:p>
        </w:tc>
        <w:tc>
          <w:tcPr>
            <w:tcW w:w="1710" w:type="dxa"/>
            <w:tcBorders>
              <w:top w:val="single" w:sz="4" w:space="0" w:color="000000"/>
              <w:left w:val="single" w:sz="4" w:space="0" w:color="000000"/>
              <w:bottom w:val="single" w:sz="4" w:space="0" w:color="000000"/>
              <w:right w:val="single" w:sz="4" w:space="0" w:color="000000"/>
            </w:tcBorders>
            <w:hideMark/>
          </w:tcPr>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eastAsia="HelveticaNeueLTStd-Cn" w:hAnsi="Arial" w:cs="Arial"/>
              </w:rPr>
              <w:t>&gt;13.56 mmol/L</w:t>
            </w:r>
          </w:p>
        </w:tc>
      </w:tr>
      <w:tr w:rsidR="0071027C" w:rsidRPr="002F03DF" w:rsidTr="0071027C">
        <w:trPr>
          <w:gridBefore w:val="1"/>
          <w:wBefore w:w="72" w:type="dxa"/>
        </w:trPr>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eastAsia="HelveticaNeueLTStd-Cn" w:hAnsi="Arial" w:cs="Arial"/>
              </w:rPr>
              <w:t>Cholesterol</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1027C" w:rsidRPr="002F03DF" w:rsidRDefault="0071027C" w:rsidP="00AA771C">
            <w:pPr>
              <w:autoSpaceDE w:val="0"/>
              <w:autoSpaceDN w:val="0"/>
              <w:adjustRightInd w:val="0"/>
              <w:spacing w:beforeLines="120" w:before="288" w:afterLines="120" w:after="288" w:line="240" w:lineRule="auto"/>
              <w:jc w:val="both"/>
              <w:rPr>
                <w:rFonts w:ascii="Arial" w:eastAsia="HelveticaNeueLTStd-Cn" w:hAnsi="Arial" w:cs="Arial"/>
              </w:rPr>
            </w:pPr>
            <w:r w:rsidRPr="002F03DF">
              <w:rPr>
                <w:rFonts w:ascii="Arial" w:eastAsia="HelveticaNeueLTStd-Cn" w:hAnsi="Arial" w:cs="Arial"/>
              </w:rPr>
              <w:t>&gt;1.0-1.3 mmo/L</w:t>
            </w:r>
          </w:p>
          <w:p w:rsidR="0071027C" w:rsidRPr="002F03DF" w:rsidRDefault="0071027C" w:rsidP="00AA771C">
            <w:pPr>
              <w:autoSpaceDE w:val="0"/>
              <w:autoSpaceDN w:val="0"/>
              <w:adjustRightInd w:val="0"/>
              <w:spacing w:beforeLines="120" w:before="288" w:afterLines="120" w:after="288" w:line="240" w:lineRule="auto"/>
              <w:jc w:val="both"/>
              <w:rPr>
                <w:rFonts w:ascii="Arial" w:eastAsia="HelveticaNeueLTStd-Cn" w:hAnsi="Arial" w:cs="Arial"/>
              </w:rPr>
            </w:pPr>
            <w:r w:rsidRPr="002F03DF">
              <w:rPr>
                <w:rFonts w:ascii="Arial" w:eastAsia="HelveticaNeueLTStd-Cn" w:hAnsi="Arial" w:cs="Arial"/>
              </w:rPr>
              <w:t>upper</w:t>
            </w:r>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eastAsia="HelveticaNeueLTStd-Cn" w:hAnsi="Arial" w:cs="Arial"/>
              </w:rPr>
              <w:t>normal limit</w:t>
            </w:r>
          </w:p>
        </w:tc>
        <w:tc>
          <w:tcPr>
            <w:tcW w:w="173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1027C" w:rsidRPr="002F03DF" w:rsidRDefault="0071027C" w:rsidP="00AA771C">
            <w:pPr>
              <w:autoSpaceDE w:val="0"/>
              <w:autoSpaceDN w:val="0"/>
              <w:adjustRightInd w:val="0"/>
              <w:spacing w:beforeLines="120" w:before="288" w:afterLines="120" w:after="288" w:line="240" w:lineRule="auto"/>
              <w:jc w:val="both"/>
              <w:rPr>
                <w:rFonts w:ascii="Arial" w:eastAsia="HelveticaNeueLTStd-Cn" w:hAnsi="Arial" w:cs="Arial"/>
              </w:rPr>
            </w:pPr>
            <w:r w:rsidRPr="002F03DF">
              <w:rPr>
                <w:rFonts w:ascii="Arial" w:eastAsia="HelveticaNeueLTStd-Cn" w:hAnsi="Arial" w:cs="Arial"/>
              </w:rPr>
              <w:t>&gt;1.3-1.6mmol/L</w:t>
            </w:r>
          </w:p>
          <w:p w:rsidR="0071027C" w:rsidRPr="002F03DF" w:rsidRDefault="0071027C" w:rsidP="00AA771C">
            <w:pPr>
              <w:autoSpaceDE w:val="0"/>
              <w:autoSpaceDN w:val="0"/>
              <w:adjustRightInd w:val="0"/>
              <w:spacing w:beforeLines="120" w:before="288" w:afterLines="120" w:after="288" w:line="240" w:lineRule="auto"/>
              <w:jc w:val="both"/>
              <w:rPr>
                <w:rFonts w:ascii="Arial" w:eastAsia="HelveticaNeueLTStd-Cn" w:hAnsi="Arial" w:cs="Arial"/>
              </w:rPr>
            </w:pPr>
            <w:r w:rsidRPr="002F03DF">
              <w:rPr>
                <w:rFonts w:ascii="Arial" w:eastAsia="HelveticaNeueLTStd-Cn" w:hAnsi="Arial" w:cs="Arial"/>
              </w:rPr>
              <w:t>upper normal limit</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1027C" w:rsidRPr="002F03DF" w:rsidRDefault="0071027C" w:rsidP="00AA771C">
            <w:pPr>
              <w:autoSpaceDE w:val="0"/>
              <w:autoSpaceDN w:val="0"/>
              <w:adjustRightInd w:val="0"/>
              <w:spacing w:beforeLines="120" w:before="288" w:afterLines="120" w:after="288" w:line="240" w:lineRule="auto"/>
              <w:jc w:val="both"/>
              <w:rPr>
                <w:rFonts w:ascii="Arial" w:eastAsia="HelveticaNeueLTStd-Cn" w:hAnsi="Arial" w:cs="Arial"/>
              </w:rPr>
            </w:pPr>
            <w:r w:rsidRPr="002F03DF">
              <w:rPr>
                <w:rFonts w:ascii="Arial" w:eastAsia="HelveticaNeueLTStd-Cn" w:hAnsi="Arial" w:cs="Arial"/>
              </w:rPr>
              <w:t>&gt;1.6-2.0mmol/L</w:t>
            </w:r>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eastAsia="HelveticaNeueLTStd-Cn" w:hAnsi="Arial" w:cs="Arial"/>
              </w:rPr>
              <w:t>upper normal limit</w:t>
            </w:r>
          </w:p>
        </w:tc>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1027C" w:rsidRPr="002F03DF" w:rsidRDefault="0071027C" w:rsidP="00AA771C">
            <w:pPr>
              <w:autoSpaceDE w:val="0"/>
              <w:autoSpaceDN w:val="0"/>
              <w:adjustRightInd w:val="0"/>
              <w:spacing w:beforeLines="120" w:before="288" w:afterLines="120" w:after="288" w:line="240" w:lineRule="auto"/>
              <w:jc w:val="both"/>
              <w:rPr>
                <w:rFonts w:ascii="Arial" w:eastAsia="HelveticaNeueLTStd-Cn" w:hAnsi="Arial" w:cs="Arial"/>
              </w:rPr>
            </w:pPr>
            <w:r w:rsidRPr="002F03DF">
              <w:rPr>
                <w:rFonts w:ascii="Arial" w:eastAsia="HelveticaNeueLTStd-Cn" w:hAnsi="Arial" w:cs="Arial"/>
              </w:rPr>
              <w:t>&gt;2.0mmol/L</w:t>
            </w:r>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eastAsia="HelveticaNeueLTStd-Cn" w:hAnsi="Arial" w:cs="Arial"/>
              </w:rPr>
              <w:t>upper normal limit</w:t>
            </w:r>
          </w:p>
        </w:tc>
      </w:tr>
      <w:tr w:rsidR="0071027C" w:rsidRPr="002F03DF" w:rsidTr="0071027C">
        <w:trPr>
          <w:gridBefore w:val="1"/>
          <w:wBefore w:w="72" w:type="dxa"/>
        </w:trPr>
        <w:tc>
          <w:tcPr>
            <w:tcW w:w="1843" w:type="dxa"/>
            <w:gridSpan w:val="2"/>
            <w:tcBorders>
              <w:top w:val="single" w:sz="4" w:space="0" w:color="000000"/>
              <w:left w:val="single" w:sz="4" w:space="0" w:color="000000"/>
              <w:bottom w:val="single" w:sz="4" w:space="0" w:color="000000"/>
              <w:right w:val="single" w:sz="4" w:space="0" w:color="000000"/>
            </w:tcBorders>
            <w:hideMark/>
          </w:tcPr>
          <w:p w:rsidR="0071027C" w:rsidRPr="002F03DF" w:rsidRDefault="0071027C" w:rsidP="00AA771C">
            <w:pPr>
              <w:autoSpaceDE w:val="0"/>
              <w:autoSpaceDN w:val="0"/>
              <w:adjustRightInd w:val="0"/>
              <w:spacing w:beforeLines="120" w:before="288" w:afterLines="120" w:after="288" w:line="240" w:lineRule="auto"/>
              <w:jc w:val="both"/>
              <w:rPr>
                <w:rFonts w:ascii="Arial" w:eastAsia="HelveticaNeueLTStd-Cn" w:hAnsi="Arial" w:cs="Arial"/>
              </w:rPr>
            </w:pPr>
            <w:r w:rsidRPr="002F03DF">
              <w:rPr>
                <w:rFonts w:ascii="Arial" w:eastAsia="HelveticaNeueLTStd-Cn" w:hAnsi="Arial" w:cs="Arial"/>
              </w:rPr>
              <w:t>Management</w:t>
            </w:r>
          </w:p>
        </w:tc>
        <w:tc>
          <w:tcPr>
            <w:tcW w:w="3575" w:type="dxa"/>
            <w:gridSpan w:val="4"/>
            <w:tcBorders>
              <w:top w:val="single" w:sz="4" w:space="0" w:color="000000"/>
              <w:left w:val="single" w:sz="4" w:space="0" w:color="000000"/>
              <w:bottom w:val="single" w:sz="4" w:space="0" w:color="000000"/>
              <w:right w:val="single" w:sz="4" w:space="0" w:color="000000"/>
            </w:tcBorders>
            <w:hideMark/>
          </w:tcPr>
          <w:p w:rsidR="0071027C" w:rsidRPr="002F03DF" w:rsidRDefault="0071027C" w:rsidP="00AA771C">
            <w:pPr>
              <w:autoSpaceDE w:val="0"/>
              <w:autoSpaceDN w:val="0"/>
              <w:adjustRightInd w:val="0"/>
              <w:spacing w:beforeLines="120" w:before="288" w:afterLines="120" w:after="288" w:line="240" w:lineRule="auto"/>
              <w:jc w:val="both"/>
              <w:rPr>
                <w:rFonts w:ascii="Arial" w:eastAsia="HelveticaNeueLTStd-Cn" w:hAnsi="Arial" w:cs="Arial"/>
              </w:rPr>
            </w:pPr>
            <w:r w:rsidRPr="002F03DF">
              <w:rPr>
                <w:rFonts w:ascii="Arial" w:eastAsia="HelveticaNeueLTStd-Cn" w:hAnsi="Arial" w:cs="Arial"/>
              </w:rPr>
              <w:t>Continue ART</w:t>
            </w:r>
          </w:p>
          <w:p w:rsidR="0071027C" w:rsidRPr="002F03DF" w:rsidRDefault="0071027C" w:rsidP="00AA771C">
            <w:pPr>
              <w:autoSpaceDE w:val="0"/>
              <w:autoSpaceDN w:val="0"/>
              <w:adjustRightInd w:val="0"/>
              <w:spacing w:beforeLines="120" w:before="288" w:afterLines="120" w:after="288" w:line="240" w:lineRule="auto"/>
              <w:jc w:val="both"/>
              <w:rPr>
                <w:rFonts w:ascii="Arial" w:eastAsia="HelveticaNeueLTStd-Cn" w:hAnsi="Arial" w:cs="Arial"/>
              </w:rPr>
            </w:pPr>
            <w:r w:rsidRPr="002F03DF">
              <w:rPr>
                <w:rFonts w:ascii="Arial" w:eastAsia="HelveticaNeueLTStd-Cn" w:hAnsi="Arial" w:cs="Arial"/>
              </w:rPr>
              <w:t>Repeat test 2 weeks after the</w:t>
            </w:r>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eastAsia="HelveticaNeueLTStd-Cn" w:hAnsi="Arial" w:cs="Arial"/>
              </w:rPr>
              <w:t>initial test and re-assess</w:t>
            </w:r>
          </w:p>
        </w:tc>
        <w:tc>
          <w:tcPr>
            <w:tcW w:w="2340" w:type="dxa"/>
            <w:gridSpan w:val="2"/>
            <w:tcBorders>
              <w:top w:val="single" w:sz="4" w:space="0" w:color="000000"/>
              <w:left w:val="single" w:sz="4" w:space="0" w:color="000000"/>
              <w:bottom w:val="single" w:sz="4" w:space="0" w:color="000000"/>
              <w:right w:val="single" w:sz="4" w:space="0" w:color="000000"/>
            </w:tcBorders>
            <w:hideMark/>
          </w:tcPr>
          <w:p w:rsidR="0071027C" w:rsidRPr="002F03DF" w:rsidRDefault="0071027C" w:rsidP="00AA771C">
            <w:pPr>
              <w:autoSpaceDE w:val="0"/>
              <w:autoSpaceDN w:val="0"/>
              <w:adjustRightInd w:val="0"/>
              <w:spacing w:beforeLines="120" w:before="288" w:afterLines="120" w:after="288" w:line="240" w:lineRule="auto"/>
              <w:jc w:val="both"/>
              <w:rPr>
                <w:rFonts w:ascii="Arial" w:eastAsia="HelveticaNeueLTStd-Cn" w:hAnsi="Arial" w:cs="Arial"/>
              </w:rPr>
            </w:pPr>
            <w:r w:rsidRPr="002F03DF">
              <w:rPr>
                <w:rFonts w:ascii="Arial" w:eastAsia="HelveticaNeueLTStd-Cn" w:hAnsi="Arial" w:cs="Arial"/>
              </w:rPr>
              <w:t>Continue ART</w:t>
            </w:r>
          </w:p>
          <w:p w:rsidR="0071027C" w:rsidRPr="002F03DF" w:rsidRDefault="0071027C" w:rsidP="00AA771C">
            <w:pPr>
              <w:autoSpaceDE w:val="0"/>
              <w:autoSpaceDN w:val="0"/>
              <w:adjustRightInd w:val="0"/>
              <w:spacing w:beforeLines="120" w:before="288" w:afterLines="120" w:after="288" w:line="240" w:lineRule="auto"/>
              <w:jc w:val="both"/>
              <w:rPr>
                <w:rFonts w:ascii="Arial" w:eastAsia="HelveticaNeueLTStd-Cn" w:hAnsi="Arial" w:cs="Arial"/>
              </w:rPr>
            </w:pPr>
            <w:r w:rsidRPr="002F03DF">
              <w:rPr>
                <w:rFonts w:ascii="Arial" w:eastAsia="HelveticaNeueLTStd-Cn" w:hAnsi="Arial" w:cs="Arial"/>
              </w:rPr>
              <w:t>Repeat test 1 week after initial test and reassess; if ALT still grade 3 consult expert  about stopping ART</w:t>
            </w:r>
          </w:p>
        </w:tc>
        <w:tc>
          <w:tcPr>
            <w:tcW w:w="1710" w:type="dxa"/>
            <w:tcBorders>
              <w:top w:val="single" w:sz="4" w:space="0" w:color="000000"/>
              <w:left w:val="single" w:sz="4" w:space="0" w:color="000000"/>
              <w:bottom w:val="single" w:sz="4" w:space="0" w:color="000000"/>
              <w:right w:val="single" w:sz="4" w:space="0" w:color="000000"/>
            </w:tcBorders>
            <w:hideMark/>
          </w:tcPr>
          <w:p w:rsidR="0071027C" w:rsidRPr="002F03DF" w:rsidRDefault="0071027C" w:rsidP="00AA771C">
            <w:pPr>
              <w:autoSpaceDE w:val="0"/>
              <w:autoSpaceDN w:val="0"/>
              <w:adjustRightInd w:val="0"/>
              <w:spacing w:beforeLines="120" w:before="288" w:afterLines="120" w:after="288" w:line="240" w:lineRule="auto"/>
              <w:jc w:val="both"/>
              <w:rPr>
                <w:rFonts w:ascii="Arial" w:eastAsia="HelveticaNeueLTStd-Cn" w:hAnsi="Arial" w:cs="Arial"/>
              </w:rPr>
            </w:pPr>
            <w:r w:rsidRPr="002F03DF">
              <w:rPr>
                <w:rFonts w:ascii="Arial" w:eastAsia="HelveticaNeueLTStd-Cn" w:hAnsi="Arial" w:cs="Arial"/>
              </w:rPr>
              <w:t>Consult expert Immediately before stopping ART</w:t>
            </w:r>
          </w:p>
        </w:tc>
      </w:tr>
      <w:tr w:rsidR="0071027C" w:rsidRPr="002F03DF" w:rsidTr="007102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0" w:type="dxa"/>
            <w:right w:w="60" w:type="dxa"/>
          </w:tblCellMar>
        </w:tblPrEx>
        <w:trPr>
          <w:cantSplit/>
          <w:trHeight w:val="454"/>
          <w:tblHeader/>
        </w:trPr>
        <w:tc>
          <w:tcPr>
            <w:tcW w:w="9540" w:type="dxa"/>
            <w:gridSpan w:val="10"/>
            <w:tcBorders>
              <w:bottom w:val="single" w:sz="4" w:space="0" w:color="auto"/>
            </w:tcBorders>
            <w:vAlign w:val="center"/>
            <w:hideMark/>
          </w:tcPr>
          <w:p w:rsidR="0071027C" w:rsidRPr="002F03DF" w:rsidRDefault="0071027C" w:rsidP="00AA771C">
            <w:pPr>
              <w:spacing w:beforeLines="120" w:before="288" w:afterLines="120" w:after="288" w:line="240" w:lineRule="auto"/>
              <w:jc w:val="both"/>
              <w:rPr>
                <w:rFonts w:ascii="Arial" w:hAnsi="Arial" w:cs="Arial"/>
                <w:b/>
              </w:rPr>
            </w:pPr>
            <w:r w:rsidRPr="002F03DF">
              <w:rPr>
                <w:rFonts w:ascii="Arial" w:hAnsi="Arial" w:cs="Arial"/>
                <w:b/>
              </w:rPr>
              <w:t>Table 4.3: Grading the severity of adverse reactions in children</w:t>
            </w:r>
          </w:p>
        </w:tc>
      </w:tr>
      <w:tr w:rsidR="0071027C" w:rsidRPr="002F03DF" w:rsidTr="007102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0" w:type="dxa"/>
            <w:right w:w="60" w:type="dxa"/>
          </w:tblCellMar>
        </w:tblPrEx>
        <w:trPr>
          <w:cantSplit/>
          <w:trHeight w:val="454"/>
          <w:tblHeader/>
        </w:trPr>
        <w:tc>
          <w:tcPr>
            <w:tcW w:w="9540" w:type="dxa"/>
            <w:gridSpan w:val="10"/>
            <w:tcBorders>
              <w:top w:val="single" w:sz="4" w:space="0" w:color="auto"/>
              <w:left w:val="single" w:sz="6" w:space="0" w:color="auto"/>
              <w:bottom w:val="single" w:sz="6" w:space="0" w:color="auto"/>
              <w:right w:val="single" w:sz="6" w:space="0" w:color="auto"/>
            </w:tcBorders>
            <w:shd w:val="clear" w:color="auto" w:fill="auto"/>
            <w:vAlign w:val="center"/>
            <w:hideMark/>
          </w:tcPr>
          <w:p w:rsidR="0071027C" w:rsidRPr="004A1EA1" w:rsidRDefault="0071027C" w:rsidP="00AA771C">
            <w:pPr>
              <w:spacing w:beforeLines="120" w:before="288" w:afterLines="120" w:after="288" w:line="240" w:lineRule="auto"/>
              <w:jc w:val="both"/>
              <w:rPr>
                <w:rFonts w:ascii="Arial" w:hAnsi="Arial" w:cs="Arial"/>
                <w:b/>
              </w:rPr>
            </w:pPr>
            <w:r w:rsidRPr="004A1EA1">
              <w:rPr>
                <w:rFonts w:ascii="Arial" w:hAnsi="Arial" w:cs="Arial"/>
                <w:b/>
              </w:rPr>
              <w:t>LABORATORY TEST ABNORMALITIES</w:t>
            </w:r>
          </w:p>
        </w:tc>
      </w:tr>
      <w:tr w:rsidR="0071027C" w:rsidRPr="002F03DF" w:rsidTr="007102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0" w:type="dxa"/>
            <w:right w:w="60" w:type="dxa"/>
          </w:tblCellMar>
        </w:tblPrEx>
        <w:trPr>
          <w:tblHeader/>
        </w:trPr>
        <w:tc>
          <w:tcPr>
            <w:tcW w:w="1440" w:type="dxa"/>
            <w:gridSpan w:val="2"/>
            <w:tcBorders>
              <w:top w:val="single" w:sz="4" w:space="0" w:color="FFFFFF" w:themeColor="background1"/>
              <w:left w:val="single" w:sz="6" w:space="0" w:color="auto"/>
              <w:bottom w:val="single" w:sz="6" w:space="0" w:color="auto"/>
              <w:right w:val="single" w:sz="4" w:space="0" w:color="FFFFFF" w:themeColor="background1"/>
            </w:tcBorders>
            <w:shd w:val="clear" w:color="auto" w:fill="000000" w:themeFill="text1"/>
            <w:hideMark/>
          </w:tcPr>
          <w:p w:rsidR="0071027C" w:rsidRPr="002F03DF" w:rsidRDefault="0071027C" w:rsidP="00AA771C">
            <w:pPr>
              <w:pStyle w:val="tabletextNS"/>
              <w:keepNext/>
              <w:tabs>
                <w:tab w:val="left" w:pos="4365"/>
              </w:tabs>
              <w:spacing w:beforeLines="120" w:before="288" w:afterLines="120" w:after="288"/>
              <w:jc w:val="center"/>
              <w:rPr>
                <w:rFonts w:ascii="Arial" w:hAnsi="Arial" w:cs="Arial"/>
                <w:b/>
                <w:sz w:val="22"/>
                <w:szCs w:val="22"/>
              </w:rPr>
            </w:pPr>
            <w:r w:rsidRPr="002F03DF">
              <w:rPr>
                <w:rFonts w:ascii="Arial" w:hAnsi="Arial" w:cs="Arial"/>
                <w:b/>
                <w:sz w:val="22"/>
                <w:szCs w:val="22"/>
              </w:rPr>
              <w:t>ITEM</w:t>
            </w:r>
          </w:p>
        </w:tc>
        <w:tc>
          <w:tcPr>
            <w:tcW w:w="2001" w:type="dxa"/>
            <w:gridSpan w:val="2"/>
            <w:tcBorders>
              <w:top w:val="single" w:sz="4" w:space="0" w:color="FFFFFF" w:themeColor="background1"/>
              <w:left w:val="single" w:sz="4" w:space="0" w:color="FFFFFF" w:themeColor="background1"/>
              <w:bottom w:val="single" w:sz="6" w:space="0" w:color="auto"/>
              <w:right w:val="single" w:sz="4" w:space="0" w:color="FFFFFF" w:themeColor="background1"/>
            </w:tcBorders>
            <w:shd w:val="clear" w:color="auto" w:fill="000000" w:themeFill="text1"/>
            <w:hideMark/>
          </w:tcPr>
          <w:p w:rsidR="0071027C" w:rsidRPr="002F03DF" w:rsidRDefault="0071027C" w:rsidP="00AA771C">
            <w:pPr>
              <w:pStyle w:val="tabletextNS"/>
              <w:keepNext/>
              <w:tabs>
                <w:tab w:val="left" w:pos="4365"/>
              </w:tabs>
              <w:spacing w:beforeLines="120" w:before="288" w:afterLines="120" w:after="288"/>
              <w:jc w:val="center"/>
              <w:rPr>
                <w:rFonts w:ascii="Arial" w:hAnsi="Arial" w:cs="Arial"/>
                <w:b/>
                <w:sz w:val="22"/>
                <w:szCs w:val="22"/>
              </w:rPr>
            </w:pPr>
            <w:r w:rsidRPr="002F03DF">
              <w:rPr>
                <w:rFonts w:ascii="Arial" w:hAnsi="Arial" w:cs="Arial"/>
                <w:b/>
                <w:sz w:val="22"/>
                <w:szCs w:val="22"/>
              </w:rPr>
              <w:t>GRADE I TOXICITY</w:t>
            </w:r>
          </w:p>
        </w:tc>
        <w:tc>
          <w:tcPr>
            <w:tcW w:w="1984" w:type="dxa"/>
            <w:gridSpan w:val="2"/>
            <w:tcBorders>
              <w:top w:val="single" w:sz="6" w:space="0" w:color="auto"/>
              <w:left w:val="single" w:sz="4" w:space="0" w:color="FFFFFF" w:themeColor="background1"/>
              <w:bottom w:val="single" w:sz="6" w:space="0" w:color="auto"/>
              <w:right w:val="single" w:sz="4" w:space="0" w:color="FFFFFF" w:themeColor="background1"/>
            </w:tcBorders>
            <w:shd w:val="clear" w:color="auto" w:fill="000000" w:themeFill="text1"/>
            <w:hideMark/>
          </w:tcPr>
          <w:p w:rsidR="0071027C" w:rsidRPr="002F03DF" w:rsidRDefault="0071027C" w:rsidP="00AA771C">
            <w:pPr>
              <w:pStyle w:val="tabletextNS"/>
              <w:keepNext/>
              <w:tabs>
                <w:tab w:val="left" w:pos="4365"/>
              </w:tabs>
              <w:spacing w:beforeLines="120" w:before="288" w:afterLines="120" w:after="288"/>
              <w:jc w:val="center"/>
              <w:rPr>
                <w:rFonts w:ascii="Arial" w:hAnsi="Arial" w:cs="Arial"/>
                <w:b/>
                <w:sz w:val="22"/>
                <w:szCs w:val="22"/>
              </w:rPr>
            </w:pPr>
            <w:r w:rsidRPr="002F03DF">
              <w:rPr>
                <w:rFonts w:ascii="Arial" w:hAnsi="Arial" w:cs="Arial"/>
                <w:b/>
                <w:sz w:val="22"/>
                <w:szCs w:val="22"/>
              </w:rPr>
              <w:t>GRADE II TOXICITY</w:t>
            </w:r>
          </w:p>
        </w:tc>
        <w:tc>
          <w:tcPr>
            <w:tcW w:w="1955" w:type="dxa"/>
            <w:gridSpan w:val="2"/>
            <w:tcBorders>
              <w:top w:val="single" w:sz="4" w:space="0" w:color="FFFFFF" w:themeColor="background1"/>
              <w:left w:val="single" w:sz="4" w:space="0" w:color="FFFFFF" w:themeColor="background1"/>
              <w:bottom w:val="single" w:sz="6" w:space="0" w:color="auto"/>
              <w:right w:val="single" w:sz="4" w:space="0" w:color="FFFFFF" w:themeColor="background1"/>
            </w:tcBorders>
            <w:shd w:val="clear" w:color="auto" w:fill="000000" w:themeFill="text1"/>
            <w:hideMark/>
          </w:tcPr>
          <w:p w:rsidR="0071027C" w:rsidRPr="002F03DF" w:rsidRDefault="0071027C" w:rsidP="00AA771C">
            <w:pPr>
              <w:pStyle w:val="tabletextNS"/>
              <w:keepNext/>
              <w:tabs>
                <w:tab w:val="left" w:pos="4365"/>
              </w:tabs>
              <w:spacing w:beforeLines="120" w:before="288" w:afterLines="120" w:after="288"/>
              <w:jc w:val="center"/>
              <w:rPr>
                <w:rFonts w:ascii="Arial" w:hAnsi="Arial" w:cs="Arial"/>
                <w:b/>
                <w:sz w:val="22"/>
                <w:szCs w:val="22"/>
              </w:rPr>
            </w:pPr>
            <w:r w:rsidRPr="002F03DF">
              <w:rPr>
                <w:rFonts w:ascii="Arial" w:hAnsi="Arial" w:cs="Arial"/>
                <w:b/>
                <w:sz w:val="22"/>
                <w:szCs w:val="22"/>
              </w:rPr>
              <w:t>GRADE III TOXICITY</w:t>
            </w:r>
          </w:p>
        </w:tc>
        <w:tc>
          <w:tcPr>
            <w:tcW w:w="2160" w:type="dxa"/>
            <w:gridSpan w:val="2"/>
            <w:tcBorders>
              <w:top w:val="single" w:sz="4" w:space="0" w:color="FFFFFF" w:themeColor="background1"/>
              <w:left w:val="single" w:sz="4" w:space="0" w:color="FFFFFF" w:themeColor="background1"/>
              <w:bottom w:val="single" w:sz="6" w:space="0" w:color="auto"/>
              <w:right w:val="single" w:sz="6" w:space="0" w:color="auto"/>
            </w:tcBorders>
            <w:shd w:val="clear" w:color="auto" w:fill="000000" w:themeFill="text1"/>
            <w:hideMark/>
          </w:tcPr>
          <w:p w:rsidR="0071027C" w:rsidRPr="002F03DF" w:rsidRDefault="0071027C" w:rsidP="00AA771C">
            <w:pPr>
              <w:pStyle w:val="tabletextNS"/>
              <w:keepNext/>
              <w:tabs>
                <w:tab w:val="left" w:pos="4365"/>
              </w:tabs>
              <w:spacing w:beforeLines="120" w:before="288" w:afterLines="120" w:after="288"/>
              <w:jc w:val="center"/>
              <w:rPr>
                <w:rFonts w:ascii="Arial" w:hAnsi="Arial" w:cs="Arial"/>
                <w:b/>
                <w:sz w:val="22"/>
                <w:szCs w:val="22"/>
              </w:rPr>
            </w:pPr>
            <w:r w:rsidRPr="002F03DF">
              <w:rPr>
                <w:rFonts w:ascii="Arial" w:hAnsi="Arial" w:cs="Arial"/>
                <w:b/>
                <w:sz w:val="22"/>
                <w:szCs w:val="22"/>
              </w:rPr>
              <w:t>GRADE IV TOXICITY</w:t>
            </w:r>
          </w:p>
        </w:tc>
      </w:tr>
      <w:tr w:rsidR="0071027C" w:rsidRPr="002F03DF" w:rsidTr="007102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0" w:type="dxa"/>
            <w:right w:w="60" w:type="dxa"/>
          </w:tblCellMar>
        </w:tblPrEx>
        <w:tc>
          <w:tcPr>
            <w:tcW w:w="144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Haemoglobin</w:t>
            </w:r>
          </w:p>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&gt;3 month - &lt; 2 yrs old</w:t>
            </w:r>
          </w:p>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rPr>
            </w:pPr>
          </w:p>
        </w:tc>
        <w:tc>
          <w:tcPr>
            <w:tcW w:w="2001"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9.0-9.9 g/dL</w:t>
            </w:r>
          </w:p>
        </w:tc>
        <w:tc>
          <w:tcPr>
            <w:tcW w:w="198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7.0-8.9 g/dL</w:t>
            </w:r>
          </w:p>
        </w:tc>
        <w:tc>
          <w:tcPr>
            <w:tcW w:w="1955"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&lt;7.0 g/dL</w:t>
            </w:r>
          </w:p>
        </w:tc>
        <w:tc>
          <w:tcPr>
            <w:tcW w:w="216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Cardiac failure secondary to anaemia</w:t>
            </w:r>
          </w:p>
        </w:tc>
      </w:tr>
      <w:tr w:rsidR="0071027C" w:rsidRPr="002F03DF" w:rsidTr="007102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0" w:type="dxa"/>
            <w:right w:w="60" w:type="dxa"/>
          </w:tblCellMar>
        </w:tblPrEx>
        <w:tc>
          <w:tcPr>
            <w:tcW w:w="1440" w:type="dxa"/>
            <w:gridSpan w:val="2"/>
            <w:tcBorders>
              <w:top w:val="single" w:sz="6" w:space="0" w:color="auto"/>
              <w:left w:val="single" w:sz="6" w:space="0" w:color="auto"/>
              <w:bottom w:val="single" w:sz="6" w:space="0" w:color="auto"/>
              <w:right w:val="single" w:sz="6" w:space="0" w:color="auto"/>
            </w:tcBorders>
            <w:hideMark/>
          </w:tcPr>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Haemoglobin</w:t>
            </w:r>
          </w:p>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sym w:font="Symbol" w:char="00B3"/>
            </w:r>
            <w:r w:rsidRPr="002F03DF">
              <w:rPr>
                <w:rFonts w:ascii="Arial" w:hAnsi="Arial" w:cs="Arial"/>
                <w:sz w:val="22"/>
                <w:szCs w:val="22"/>
              </w:rPr>
              <w:t xml:space="preserve"> 2 yrs old</w:t>
            </w:r>
          </w:p>
        </w:tc>
        <w:tc>
          <w:tcPr>
            <w:tcW w:w="2001" w:type="dxa"/>
            <w:gridSpan w:val="2"/>
            <w:tcBorders>
              <w:top w:val="single" w:sz="6" w:space="0" w:color="auto"/>
              <w:left w:val="single" w:sz="6" w:space="0" w:color="auto"/>
              <w:bottom w:val="single" w:sz="6" w:space="0" w:color="auto"/>
              <w:right w:val="single" w:sz="6" w:space="0" w:color="auto"/>
            </w:tcBorders>
            <w:hideMark/>
          </w:tcPr>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10-10.9 g/dL</w:t>
            </w:r>
          </w:p>
        </w:tc>
        <w:tc>
          <w:tcPr>
            <w:tcW w:w="1984" w:type="dxa"/>
            <w:gridSpan w:val="2"/>
            <w:tcBorders>
              <w:top w:val="single" w:sz="6" w:space="0" w:color="auto"/>
              <w:left w:val="single" w:sz="6" w:space="0" w:color="auto"/>
              <w:bottom w:val="single" w:sz="6" w:space="0" w:color="auto"/>
              <w:right w:val="single" w:sz="6" w:space="0" w:color="auto"/>
            </w:tcBorders>
            <w:hideMark/>
          </w:tcPr>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7.0-9.9 g/dL</w:t>
            </w:r>
          </w:p>
        </w:tc>
        <w:tc>
          <w:tcPr>
            <w:tcW w:w="1955" w:type="dxa"/>
            <w:gridSpan w:val="2"/>
            <w:tcBorders>
              <w:top w:val="single" w:sz="6" w:space="0" w:color="auto"/>
              <w:left w:val="single" w:sz="6" w:space="0" w:color="auto"/>
              <w:bottom w:val="single" w:sz="6" w:space="0" w:color="auto"/>
              <w:right w:val="single" w:sz="6" w:space="0" w:color="auto"/>
            </w:tcBorders>
            <w:hideMark/>
          </w:tcPr>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&lt;7.0 g/dL</w:t>
            </w:r>
          </w:p>
        </w:tc>
        <w:tc>
          <w:tcPr>
            <w:tcW w:w="2160" w:type="dxa"/>
            <w:gridSpan w:val="2"/>
            <w:tcBorders>
              <w:top w:val="single" w:sz="6" w:space="0" w:color="auto"/>
              <w:left w:val="single" w:sz="6" w:space="0" w:color="auto"/>
              <w:bottom w:val="single" w:sz="6" w:space="0" w:color="auto"/>
              <w:right w:val="single" w:sz="6" w:space="0" w:color="auto"/>
            </w:tcBorders>
            <w:hideMark/>
          </w:tcPr>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Cardiac failure secondary to anaemia</w:t>
            </w:r>
          </w:p>
        </w:tc>
      </w:tr>
      <w:tr w:rsidR="0071027C" w:rsidRPr="002F03DF" w:rsidTr="007102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0" w:type="dxa"/>
            <w:right w:w="60" w:type="dxa"/>
          </w:tblCellMar>
        </w:tblPrEx>
        <w:tc>
          <w:tcPr>
            <w:tcW w:w="144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Absolute Neutrophil Count</w:t>
            </w:r>
          </w:p>
        </w:tc>
        <w:tc>
          <w:tcPr>
            <w:tcW w:w="2001"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0.75-1.2 x 10</w:t>
            </w:r>
            <w:r w:rsidRPr="002F03DF">
              <w:rPr>
                <w:rFonts w:ascii="Arial" w:hAnsi="Arial" w:cs="Arial"/>
                <w:sz w:val="22"/>
                <w:szCs w:val="22"/>
                <w:vertAlign w:val="superscript"/>
              </w:rPr>
              <w:t>9</w:t>
            </w:r>
            <w:r w:rsidRPr="002F03DF">
              <w:rPr>
                <w:rFonts w:ascii="Arial" w:hAnsi="Arial" w:cs="Arial"/>
                <w:sz w:val="22"/>
                <w:szCs w:val="22"/>
              </w:rPr>
              <w:t>/L</w:t>
            </w:r>
          </w:p>
        </w:tc>
        <w:tc>
          <w:tcPr>
            <w:tcW w:w="198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0.4-0.749 x 10</w:t>
            </w:r>
            <w:r w:rsidRPr="002F03DF">
              <w:rPr>
                <w:rFonts w:ascii="Arial" w:hAnsi="Arial" w:cs="Arial"/>
                <w:sz w:val="22"/>
                <w:szCs w:val="22"/>
                <w:vertAlign w:val="superscript"/>
              </w:rPr>
              <w:t>9</w:t>
            </w:r>
            <w:r w:rsidRPr="002F03DF">
              <w:rPr>
                <w:rFonts w:ascii="Arial" w:hAnsi="Arial" w:cs="Arial"/>
                <w:sz w:val="22"/>
                <w:szCs w:val="22"/>
              </w:rPr>
              <w:t>/L</w:t>
            </w:r>
          </w:p>
        </w:tc>
        <w:tc>
          <w:tcPr>
            <w:tcW w:w="1955"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0.25-0.399 x 10</w:t>
            </w:r>
            <w:r w:rsidRPr="002F03DF">
              <w:rPr>
                <w:rFonts w:ascii="Arial" w:hAnsi="Arial" w:cs="Arial"/>
                <w:sz w:val="22"/>
                <w:szCs w:val="22"/>
                <w:vertAlign w:val="superscript"/>
              </w:rPr>
              <w:t>9</w:t>
            </w:r>
            <w:r w:rsidRPr="002F03DF">
              <w:rPr>
                <w:rFonts w:ascii="Arial" w:hAnsi="Arial" w:cs="Arial"/>
                <w:sz w:val="22"/>
                <w:szCs w:val="22"/>
              </w:rPr>
              <w:t>/L</w:t>
            </w:r>
          </w:p>
        </w:tc>
        <w:tc>
          <w:tcPr>
            <w:tcW w:w="216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&lt;0.25 x 10</w:t>
            </w:r>
            <w:r w:rsidRPr="002F03DF">
              <w:rPr>
                <w:rFonts w:ascii="Arial" w:hAnsi="Arial" w:cs="Arial"/>
                <w:sz w:val="22"/>
                <w:szCs w:val="22"/>
                <w:vertAlign w:val="superscript"/>
              </w:rPr>
              <w:t>9</w:t>
            </w:r>
            <w:r w:rsidRPr="002F03DF">
              <w:rPr>
                <w:rFonts w:ascii="Arial" w:hAnsi="Arial" w:cs="Arial"/>
                <w:sz w:val="22"/>
                <w:szCs w:val="22"/>
              </w:rPr>
              <w:t xml:space="preserve">/L </w:t>
            </w:r>
          </w:p>
        </w:tc>
      </w:tr>
      <w:tr w:rsidR="0071027C" w:rsidRPr="002F03DF" w:rsidTr="007102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0" w:type="dxa"/>
            <w:right w:w="60" w:type="dxa"/>
          </w:tblCellMar>
        </w:tblPrEx>
        <w:tc>
          <w:tcPr>
            <w:tcW w:w="1440" w:type="dxa"/>
            <w:gridSpan w:val="2"/>
            <w:tcBorders>
              <w:top w:val="single" w:sz="6" w:space="0" w:color="auto"/>
              <w:left w:val="single" w:sz="6" w:space="0" w:color="auto"/>
              <w:bottom w:val="single" w:sz="6" w:space="0" w:color="auto"/>
              <w:right w:val="single" w:sz="6" w:space="0" w:color="auto"/>
            </w:tcBorders>
            <w:hideMark/>
          </w:tcPr>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ALT (SGPT)</w:t>
            </w:r>
          </w:p>
        </w:tc>
        <w:tc>
          <w:tcPr>
            <w:tcW w:w="2001" w:type="dxa"/>
            <w:gridSpan w:val="2"/>
            <w:tcBorders>
              <w:top w:val="single" w:sz="6" w:space="0" w:color="auto"/>
              <w:left w:val="single" w:sz="6" w:space="0" w:color="auto"/>
              <w:bottom w:val="single" w:sz="6" w:space="0" w:color="auto"/>
              <w:right w:val="single" w:sz="6" w:space="0" w:color="auto"/>
            </w:tcBorders>
            <w:hideMark/>
          </w:tcPr>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lang w:val="sv-SE"/>
              </w:rPr>
            </w:pPr>
            <w:r w:rsidRPr="002F03DF">
              <w:rPr>
                <w:rFonts w:ascii="Arial" w:hAnsi="Arial" w:cs="Arial"/>
                <w:sz w:val="22"/>
                <w:szCs w:val="22"/>
                <w:lang w:val="sv-SE"/>
              </w:rPr>
              <w:t>1.1-4.9IU/L</w:t>
            </w:r>
          </w:p>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lang w:val="sv-SE" w:eastAsia="af-ZA"/>
              </w:rPr>
            </w:pPr>
            <w:r w:rsidRPr="002F03DF">
              <w:rPr>
                <w:rFonts w:ascii="Arial" w:hAnsi="Arial" w:cs="Arial"/>
                <w:sz w:val="22"/>
                <w:szCs w:val="22"/>
                <w:lang w:val="sv-SE"/>
              </w:rPr>
              <w:t>upper normal limit</w:t>
            </w:r>
          </w:p>
        </w:tc>
        <w:tc>
          <w:tcPr>
            <w:tcW w:w="1984" w:type="dxa"/>
            <w:gridSpan w:val="2"/>
            <w:tcBorders>
              <w:top w:val="single" w:sz="6" w:space="0" w:color="auto"/>
              <w:left w:val="single" w:sz="6" w:space="0" w:color="auto"/>
              <w:bottom w:val="single" w:sz="6" w:space="0" w:color="auto"/>
              <w:right w:val="single" w:sz="6" w:space="0" w:color="auto"/>
            </w:tcBorders>
            <w:hideMark/>
          </w:tcPr>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lang w:val="sv-SE" w:eastAsia="af-ZA"/>
              </w:rPr>
            </w:pPr>
            <w:r w:rsidRPr="002F03DF">
              <w:rPr>
                <w:rFonts w:ascii="Arial" w:hAnsi="Arial" w:cs="Arial"/>
                <w:sz w:val="22"/>
                <w:szCs w:val="22"/>
                <w:lang w:val="sv-SE"/>
              </w:rPr>
              <w:t>5.0-9.9IU/L</w:t>
            </w:r>
          </w:p>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lang w:val="sv-SE" w:eastAsia="af-ZA"/>
              </w:rPr>
            </w:pPr>
            <w:r w:rsidRPr="002F03DF">
              <w:rPr>
                <w:rFonts w:ascii="Arial" w:hAnsi="Arial" w:cs="Arial"/>
                <w:sz w:val="22"/>
                <w:szCs w:val="22"/>
                <w:lang w:val="sv-SE"/>
              </w:rPr>
              <w:t>upper normal limit</w:t>
            </w:r>
          </w:p>
        </w:tc>
        <w:tc>
          <w:tcPr>
            <w:tcW w:w="1955" w:type="dxa"/>
            <w:gridSpan w:val="2"/>
            <w:tcBorders>
              <w:top w:val="single" w:sz="6" w:space="0" w:color="auto"/>
              <w:left w:val="single" w:sz="6" w:space="0" w:color="auto"/>
              <w:bottom w:val="single" w:sz="6" w:space="0" w:color="auto"/>
              <w:right w:val="single" w:sz="6" w:space="0" w:color="auto"/>
            </w:tcBorders>
            <w:hideMark/>
          </w:tcPr>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lang w:val="sv-SE" w:eastAsia="af-ZA"/>
              </w:rPr>
            </w:pPr>
            <w:r w:rsidRPr="002F03DF">
              <w:rPr>
                <w:rFonts w:ascii="Arial" w:hAnsi="Arial" w:cs="Arial"/>
                <w:sz w:val="22"/>
                <w:szCs w:val="22"/>
                <w:lang w:val="sv-SE"/>
              </w:rPr>
              <w:t>10.0-15.0IU/L</w:t>
            </w:r>
          </w:p>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lang w:val="sv-SE" w:eastAsia="af-ZA"/>
              </w:rPr>
            </w:pPr>
            <w:r w:rsidRPr="002F03DF">
              <w:rPr>
                <w:rFonts w:ascii="Arial" w:hAnsi="Arial" w:cs="Arial"/>
                <w:sz w:val="22"/>
                <w:szCs w:val="22"/>
                <w:lang w:val="sv-SE"/>
              </w:rPr>
              <w:t>upper normal limit</w:t>
            </w:r>
          </w:p>
        </w:tc>
        <w:tc>
          <w:tcPr>
            <w:tcW w:w="2160" w:type="dxa"/>
            <w:gridSpan w:val="2"/>
            <w:tcBorders>
              <w:top w:val="single" w:sz="6" w:space="0" w:color="auto"/>
              <w:left w:val="single" w:sz="6" w:space="0" w:color="auto"/>
              <w:bottom w:val="single" w:sz="6" w:space="0" w:color="auto"/>
              <w:right w:val="single" w:sz="6" w:space="0" w:color="auto"/>
            </w:tcBorders>
            <w:hideMark/>
          </w:tcPr>
          <w:p w:rsidR="0071027C" w:rsidRPr="002F03DF" w:rsidRDefault="0071027C" w:rsidP="00AA771C">
            <w:pPr>
              <w:pStyle w:val="tabletextNS"/>
              <w:keepNext/>
              <w:tabs>
                <w:tab w:val="left" w:pos="4365"/>
              </w:tabs>
              <w:spacing w:beforeLines="120" w:before="288" w:afterLines="120" w:after="288"/>
              <w:jc w:val="both"/>
              <w:rPr>
                <w:rFonts w:ascii="Arial" w:hAnsi="Arial" w:cs="Arial"/>
                <w:b/>
                <w:sz w:val="22"/>
                <w:szCs w:val="22"/>
                <w:lang w:val="sv-SE" w:eastAsia="af-ZA"/>
              </w:rPr>
            </w:pPr>
            <w:r w:rsidRPr="002F03DF">
              <w:rPr>
                <w:rFonts w:ascii="Arial" w:hAnsi="Arial" w:cs="Arial"/>
                <w:sz w:val="22"/>
                <w:szCs w:val="22"/>
                <w:lang w:val="sv-SE"/>
              </w:rPr>
              <w:t>&gt;15IU/L</w:t>
            </w:r>
          </w:p>
          <w:p w:rsidR="0071027C" w:rsidRPr="002F03DF" w:rsidRDefault="0071027C" w:rsidP="00AA771C">
            <w:pPr>
              <w:pStyle w:val="tabletextNS"/>
              <w:keepNext/>
              <w:tabs>
                <w:tab w:val="left" w:pos="4365"/>
              </w:tabs>
              <w:spacing w:beforeLines="120" w:before="288" w:afterLines="120" w:after="288"/>
              <w:jc w:val="both"/>
              <w:rPr>
                <w:rFonts w:ascii="Arial" w:hAnsi="Arial" w:cs="Arial"/>
                <w:sz w:val="22"/>
                <w:szCs w:val="22"/>
                <w:lang w:val="sv-SE" w:eastAsia="af-ZA"/>
              </w:rPr>
            </w:pPr>
            <w:r w:rsidRPr="002F03DF">
              <w:rPr>
                <w:rFonts w:ascii="Arial" w:hAnsi="Arial" w:cs="Arial"/>
                <w:sz w:val="22"/>
                <w:szCs w:val="22"/>
                <w:lang w:val="sv-SE"/>
              </w:rPr>
              <w:t>upper normal limit</w:t>
            </w:r>
          </w:p>
        </w:tc>
      </w:tr>
      <w:tr w:rsidR="0071027C" w:rsidRPr="002F03DF" w:rsidTr="007102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0" w:type="dxa"/>
            <w:right w:w="60" w:type="dxa"/>
          </w:tblCellMar>
        </w:tblPrEx>
        <w:tc>
          <w:tcPr>
            <w:tcW w:w="144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1027C" w:rsidRPr="002F03DF" w:rsidRDefault="0071027C" w:rsidP="00AA771C">
            <w:pPr>
              <w:pStyle w:val="tabletextNS"/>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Triglycerides</w:t>
            </w:r>
          </w:p>
        </w:tc>
        <w:tc>
          <w:tcPr>
            <w:tcW w:w="2001"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1027C" w:rsidRPr="002F03DF" w:rsidRDefault="0071027C" w:rsidP="00AA771C">
            <w:pPr>
              <w:pStyle w:val="tabletextNS"/>
              <w:tabs>
                <w:tab w:val="left" w:pos="4365"/>
              </w:tabs>
              <w:spacing w:beforeLines="120" w:before="288" w:afterLines="120" w:after="288"/>
              <w:jc w:val="both"/>
              <w:rPr>
                <w:rFonts w:ascii="Arial" w:hAnsi="Arial" w:cs="Arial"/>
                <w:sz w:val="22"/>
                <w:szCs w:val="22"/>
                <w:lang w:eastAsia="af-ZA"/>
              </w:rPr>
            </w:pPr>
            <w:r w:rsidRPr="002F03DF">
              <w:rPr>
                <w:rFonts w:ascii="Arial" w:hAnsi="Arial" w:cs="Arial"/>
                <w:sz w:val="22"/>
                <w:szCs w:val="22"/>
              </w:rPr>
              <w:t>-</w:t>
            </w:r>
          </w:p>
        </w:tc>
        <w:tc>
          <w:tcPr>
            <w:tcW w:w="198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1027C" w:rsidRPr="002F03DF" w:rsidRDefault="0071027C" w:rsidP="00AA771C">
            <w:pPr>
              <w:pStyle w:val="tabletextNS"/>
              <w:tabs>
                <w:tab w:val="left" w:pos="4365"/>
              </w:tabs>
              <w:spacing w:beforeLines="120" w:before="288" w:afterLines="120" w:after="288"/>
              <w:jc w:val="both"/>
              <w:rPr>
                <w:rFonts w:ascii="Arial" w:hAnsi="Arial" w:cs="Arial"/>
                <w:sz w:val="22"/>
                <w:szCs w:val="22"/>
                <w:lang w:eastAsia="af-ZA"/>
              </w:rPr>
            </w:pPr>
            <w:r w:rsidRPr="002F03DF">
              <w:rPr>
                <w:rFonts w:ascii="Arial" w:hAnsi="Arial" w:cs="Arial"/>
                <w:sz w:val="22"/>
                <w:szCs w:val="22"/>
              </w:rPr>
              <w:t>1.54-8.46 mmol/L</w:t>
            </w:r>
          </w:p>
        </w:tc>
        <w:tc>
          <w:tcPr>
            <w:tcW w:w="1955"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1027C" w:rsidRPr="002F03DF" w:rsidRDefault="0071027C" w:rsidP="00AA771C">
            <w:pPr>
              <w:pStyle w:val="tabletextNS"/>
              <w:tabs>
                <w:tab w:val="left" w:pos="4365"/>
              </w:tabs>
              <w:spacing w:beforeLines="120" w:before="288" w:afterLines="120" w:after="288"/>
              <w:jc w:val="both"/>
              <w:rPr>
                <w:rFonts w:ascii="Arial" w:hAnsi="Arial" w:cs="Arial"/>
                <w:sz w:val="22"/>
                <w:szCs w:val="22"/>
                <w:lang w:eastAsia="af-ZA"/>
              </w:rPr>
            </w:pPr>
            <w:r w:rsidRPr="002F03DF">
              <w:rPr>
                <w:rFonts w:ascii="Arial" w:hAnsi="Arial" w:cs="Arial"/>
                <w:sz w:val="22"/>
                <w:szCs w:val="22"/>
              </w:rPr>
              <w:t>8.47-13.55 mmol/L</w:t>
            </w:r>
          </w:p>
        </w:tc>
        <w:tc>
          <w:tcPr>
            <w:tcW w:w="216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rsidR="0071027C" w:rsidRPr="002F03DF" w:rsidRDefault="0071027C" w:rsidP="00AA771C">
            <w:pPr>
              <w:pStyle w:val="tabletextNS"/>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&gt;13.56 mmol//L</w:t>
            </w:r>
          </w:p>
        </w:tc>
      </w:tr>
      <w:tr w:rsidR="0071027C" w:rsidRPr="002F03DF" w:rsidTr="007102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0" w:type="dxa"/>
            <w:right w:w="60" w:type="dxa"/>
          </w:tblCellMar>
        </w:tblPrEx>
        <w:trPr>
          <w:trHeight w:val="381"/>
        </w:trPr>
        <w:tc>
          <w:tcPr>
            <w:tcW w:w="1440" w:type="dxa"/>
            <w:gridSpan w:val="2"/>
            <w:tcBorders>
              <w:top w:val="single" w:sz="6" w:space="0" w:color="auto"/>
              <w:left w:val="single" w:sz="6" w:space="0" w:color="auto"/>
              <w:bottom w:val="single" w:sz="6" w:space="0" w:color="auto"/>
              <w:right w:val="single" w:sz="6" w:space="0" w:color="auto"/>
            </w:tcBorders>
            <w:hideMark/>
          </w:tcPr>
          <w:p w:rsidR="0071027C" w:rsidRPr="002F03DF" w:rsidRDefault="0071027C" w:rsidP="00AA771C">
            <w:pPr>
              <w:pStyle w:val="tabletextNS"/>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Cholesterol</w:t>
            </w:r>
          </w:p>
        </w:tc>
        <w:tc>
          <w:tcPr>
            <w:tcW w:w="2001" w:type="dxa"/>
            <w:gridSpan w:val="2"/>
            <w:tcBorders>
              <w:top w:val="single" w:sz="6" w:space="0" w:color="auto"/>
              <w:left w:val="single" w:sz="6" w:space="0" w:color="auto"/>
              <w:bottom w:val="single" w:sz="6" w:space="0" w:color="auto"/>
              <w:right w:val="single" w:sz="6" w:space="0" w:color="auto"/>
            </w:tcBorders>
            <w:hideMark/>
          </w:tcPr>
          <w:p w:rsidR="0071027C" w:rsidRPr="002F03DF" w:rsidRDefault="0071027C" w:rsidP="00AA771C">
            <w:pPr>
              <w:pStyle w:val="tabletextNS"/>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w:t>
            </w:r>
          </w:p>
        </w:tc>
        <w:tc>
          <w:tcPr>
            <w:tcW w:w="1984" w:type="dxa"/>
            <w:gridSpan w:val="2"/>
            <w:tcBorders>
              <w:top w:val="single" w:sz="6" w:space="0" w:color="auto"/>
              <w:left w:val="single" w:sz="6" w:space="0" w:color="auto"/>
              <w:bottom w:val="single" w:sz="6" w:space="0" w:color="auto"/>
              <w:right w:val="single" w:sz="6" w:space="0" w:color="auto"/>
            </w:tcBorders>
            <w:hideMark/>
          </w:tcPr>
          <w:p w:rsidR="0071027C" w:rsidRPr="002F03DF" w:rsidRDefault="0071027C" w:rsidP="00AA771C">
            <w:pPr>
              <w:pStyle w:val="tabletextNS"/>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4.43-12.92 mmol/L</w:t>
            </w:r>
          </w:p>
        </w:tc>
        <w:tc>
          <w:tcPr>
            <w:tcW w:w="1955" w:type="dxa"/>
            <w:gridSpan w:val="2"/>
            <w:tcBorders>
              <w:top w:val="single" w:sz="6" w:space="0" w:color="auto"/>
              <w:left w:val="single" w:sz="6" w:space="0" w:color="auto"/>
              <w:bottom w:val="single" w:sz="6" w:space="0" w:color="auto"/>
              <w:right w:val="single" w:sz="6" w:space="0" w:color="auto"/>
            </w:tcBorders>
            <w:hideMark/>
          </w:tcPr>
          <w:p w:rsidR="0071027C" w:rsidRPr="002F03DF" w:rsidRDefault="0071027C" w:rsidP="00AA771C">
            <w:pPr>
              <w:pStyle w:val="tabletextNS"/>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12.93-19.4 mmol/L</w:t>
            </w:r>
          </w:p>
        </w:tc>
        <w:tc>
          <w:tcPr>
            <w:tcW w:w="2160" w:type="dxa"/>
            <w:gridSpan w:val="2"/>
            <w:tcBorders>
              <w:top w:val="single" w:sz="6" w:space="0" w:color="auto"/>
              <w:left w:val="single" w:sz="6" w:space="0" w:color="auto"/>
              <w:bottom w:val="single" w:sz="6" w:space="0" w:color="auto"/>
              <w:right w:val="single" w:sz="6" w:space="0" w:color="auto"/>
            </w:tcBorders>
            <w:hideMark/>
          </w:tcPr>
          <w:p w:rsidR="0071027C" w:rsidRPr="002F03DF" w:rsidRDefault="0071027C" w:rsidP="00AA771C">
            <w:pPr>
              <w:pStyle w:val="tabletextNS"/>
              <w:tabs>
                <w:tab w:val="left" w:pos="4365"/>
              </w:tabs>
              <w:spacing w:beforeLines="120" w:before="288" w:afterLines="120" w:after="288"/>
              <w:jc w:val="both"/>
              <w:rPr>
                <w:rFonts w:ascii="Arial" w:hAnsi="Arial" w:cs="Arial"/>
                <w:sz w:val="22"/>
                <w:szCs w:val="22"/>
              </w:rPr>
            </w:pPr>
            <w:r w:rsidRPr="002F03DF">
              <w:rPr>
                <w:rFonts w:ascii="Arial" w:hAnsi="Arial" w:cs="Arial"/>
                <w:sz w:val="22"/>
                <w:szCs w:val="22"/>
              </w:rPr>
              <w:t>&gt;19.4 mmol/L</w:t>
            </w:r>
          </w:p>
        </w:tc>
      </w:tr>
    </w:tbl>
    <w:p w:rsidR="0071027C" w:rsidRPr="002F03DF" w:rsidRDefault="0071027C" w:rsidP="00AA771C">
      <w:pPr>
        <w:spacing w:beforeLines="120" w:before="288" w:afterLines="120" w:after="288" w:line="240" w:lineRule="auto"/>
        <w:jc w:val="both"/>
        <w:rPr>
          <w:rFonts w:ascii="Arial" w:hAnsi="Arial" w:cs="Arial"/>
        </w:rPr>
      </w:pPr>
    </w:p>
    <w:p w:rsidR="0071027C" w:rsidRDefault="0071027C" w:rsidP="00AA771C">
      <w:pPr>
        <w:autoSpaceDE w:val="0"/>
        <w:autoSpaceDN w:val="0"/>
        <w:adjustRightInd w:val="0"/>
        <w:spacing w:beforeLines="120" w:before="288" w:afterLines="120" w:after="288" w:line="240" w:lineRule="auto"/>
        <w:jc w:val="both"/>
        <w:rPr>
          <w:rFonts w:ascii="Arial" w:hAnsi="Arial" w:cs="Arial"/>
          <w:b/>
          <w:bCs/>
          <w:color w:val="006999"/>
        </w:rPr>
      </w:pPr>
    </w:p>
    <w:p w:rsidR="0071027C" w:rsidRDefault="0071027C" w:rsidP="00AA771C">
      <w:pPr>
        <w:autoSpaceDE w:val="0"/>
        <w:autoSpaceDN w:val="0"/>
        <w:adjustRightInd w:val="0"/>
        <w:spacing w:beforeLines="120" w:before="288" w:afterLines="120" w:after="288" w:line="240" w:lineRule="auto"/>
        <w:jc w:val="both"/>
        <w:rPr>
          <w:rFonts w:ascii="Arial" w:hAnsi="Arial" w:cs="Arial"/>
          <w:b/>
          <w:bCs/>
          <w:color w:val="006999"/>
        </w:rPr>
      </w:pPr>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b/>
          <w:bCs/>
          <w:color w:val="006999"/>
        </w:rPr>
      </w:pPr>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b/>
          <w:bCs/>
          <w:color w:val="006999"/>
        </w:rPr>
      </w:pPr>
      <w:r w:rsidRPr="002F03DF">
        <w:rPr>
          <w:rFonts w:ascii="Arial" w:hAnsi="Arial" w:cs="Arial"/>
          <w:b/>
          <w:bCs/>
          <w:color w:val="006999"/>
        </w:rPr>
        <w:t xml:space="preserve">Figure 4.3: Viral load testing strategies to detect or confirm treatment failure and switch ART regimen in adults, adolescents and children </w:t>
      </w:r>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b/>
          <w:bCs/>
          <w:color w:val="006999"/>
        </w:rPr>
      </w:pPr>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b/>
          <w:bCs/>
          <w:color w:val="006999"/>
        </w:rPr>
      </w:pPr>
      <w:r w:rsidRPr="002F03DF">
        <w:rPr>
          <w:rFonts w:ascii="Arial" w:hAnsi="Arial" w:cs="Arial"/>
          <w:b/>
          <w:noProof/>
        </w:rPr>
        <w:drawing>
          <wp:inline distT="0" distB="0" distL="0" distR="0">
            <wp:extent cx="5727700" cy="4333875"/>
            <wp:effectExtent l="25400" t="25400" r="38100" b="349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4333875"/>
                    </a:xfrm>
                    <a:prstGeom prst="rect">
                      <a:avLst/>
                    </a:prstGeom>
                    <a:noFill/>
                    <a:ln>
                      <a:solidFill>
                        <a:schemeClr val="tx1"/>
                      </a:solidFill>
                    </a:ln>
                  </pic:spPr>
                </pic:pic>
              </a:graphicData>
            </a:graphic>
          </wp:inline>
        </w:drawing>
      </w:r>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b/>
          <w:bCs/>
          <w:color w:val="006999"/>
        </w:rPr>
      </w:pPr>
    </w:p>
    <w:p w:rsidR="0071027C" w:rsidRPr="00CA1CF7" w:rsidRDefault="0071027C" w:rsidP="0071027C">
      <w:pPr>
        <w:pStyle w:val="Heading2"/>
      </w:pPr>
      <w:bookmarkStart w:id="185" w:name="_Toc374957225"/>
      <w:bookmarkStart w:id="186" w:name="_Toc378258127"/>
      <w:bookmarkStart w:id="187" w:name="_Toc382213990"/>
      <w:r w:rsidRPr="00CA1CF7">
        <w:t>4.5 Tests for diagnosing Opportunistic Infections</w:t>
      </w:r>
      <w:bookmarkEnd w:id="185"/>
      <w:bookmarkEnd w:id="186"/>
      <w:bookmarkEnd w:id="187"/>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hAnsi="Arial" w:cs="Arial"/>
        </w:rPr>
        <w:t>Common Opportunistic Infections including the laboratory investigations is used to confirm diagnosis, as discussed in chapter 6. For laboratory diagnosis of common OIs such as TB, upper respiratory tract infections, meningitis, diarrhoeas and septicaemia, diagnostic protocols are available as standard operating procedures and should be used. Laboratory capacity for TB diagnosis (sputum for AFB) and general microscopy examination exists at all hospitals and health centers. Culture for bacterial infections can be performed at all zonal and regional hospitals.</w:t>
      </w:r>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hAnsi="Arial" w:cs="Arial"/>
        </w:rPr>
        <w:t>Close team work between laboratory and clinical staff at the CTC is required to optimize diagnostic capacities.</w:t>
      </w:r>
    </w:p>
    <w:p w:rsidR="0071027C" w:rsidRPr="00CA1CF7" w:rsidRDefault="0071027C" w:rsidP="0071027C">
      <w:pPr>
        <w:pStyle w:val="Heading2"/>
      </w:pPr>
      <w:bookmarkStart w:id="188" w:name="_Toc374957226"/>
      <w:bookmarkStart w:id="189" w:name="_Toc378258128"/>
      <w:bookmarkStart w:id="190" w:name="_Toc382213991"/>
      <w:r w:rsidRPr="00CA1CF7">
        <w:t xml:space="preserve">4.6 Laboratory </w:t>
      </w:r>
      <w:bookmarkEnd w:id="188"/>
      <w:bookmarkEnd w:id="189"/>
      <w:r w:rsidRPr="00CA1CF7">
        <w:t>Safety Precaution</w:t>
      </w:r>
      <w:bookmarkEnd w:id="190"/>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hAnsi="Arial" w:cs="Arial"/>
        </w:rPr>
        <w:t>Adherence to safety precautions in the laboratory should be done at all steps starting from specimen collection, storage, transportation, processing and disposal of biohazard wastes to minimize occupational risks. The risk of transmission of HIV, hepatitis B virus (HBV) and other blood-borne disease agents can be minimized if laboratory workers observe safety precautions at all times. All specimens should be treated as infectious. For more details, see Chapter 4.</w:t>
      </w:r>
    </w:p>
    <w:p w:rsidR="0071027C" w:rsidRPr="00CA1CF7" w:rsidRDefault="0071027C" w:rsidP="0071027C">
      <w:pPr>
        <w:pStyle w:val="Heading3"/>
      </w:pPr>
      <w:bookmarkStart w:id="191" w:name="_Toc382213992"/>
      <w:bookmarkStart w:id="192" w:name="_Toc374957227"/>
      <w:bookmarkStart w:id="193" w:name="_Toc378258129"/>
      <w:r w:rsidRPr="00CA1CF7">
        <w:t>4.6.1 Sample Storage</w:t>
      </w:r>
      <w:bookmarkEnd w:id="191"/>
      <w:r w:rsidRPr="00CA1CF7">
        <w:t xml:space="preserve"> </w:t>
      </w:r>
      <w:bookmarkEnd w:id="192"/>
      <w:bookmarkEnd w:id="193"/>
    </w:p>
    <w:p w:rsidR="0071027C" w:rsidRPr="002F03DF" w:rsidRDefault="0071027C" w:rsidP="00AA771C">
      <w:pPr>
        <w:autoSpaceDE w:val="0"/>
        <w:autoSpaceDN w:val="0"/>
        <w:adjustRightInd w:val="0"/>
        <w:spacing w:beforeLines="120" w:before="288" w:afterLines="120" w:after="288" w:line="240" w:lineRule="auto"/>
        <w:jc w:val="both"/>
        <w:rPr>
          <w:rFonts w:ascii="Arial" w:hAnsi="Arial" w:cs="Arial"/>
        </w:rPr>
      </w:pPr>
      <w:r w:rsidRPr="002F03DF">
        <w:rPr>
          <w:rFonts w:ascii="Arial" w:hAnsi="Arial" w:cs="Arial"/>
        </w:rPr>
        <w:t>All samples should be stored in tightly closed and well labeled tubes/ containers and kept in an upright position during storage. Temperature should be monitored and recorded in a temperature chart provided in each equipment used for storage of specimen. Always dispose used or old specimens timely by autoclaving and incineration.</w:t>
      </w:r>
    </w:p>
    <w:p w:rsidR="0071027C" w:rsidRPr="00CA1CF7" w:rsidRDefault="0071027C" w:rsidP="0071027C">
      <w:pPr>
        <w:pStyle w:val="Heading3"/>
      </w:pPr>
      <w:bookmarkStart w:id="194" w:name="_Toc382213993"/>
      <w:bookmarkStart w:id="195" w:name="_Toc374957228"/>
      <w:bookmarkStart w:id="196" w:name="_Toc378258130"/>
      <w:r w:rsidRPr="00CA1CF7">
        <w:t>4.6.2 Sample Transportation</w:t>
      </w:r>
      <w:bookmarkEnd w:id="194"/>
      <w:r w:rsidRPr="00CA1CF7">
        <w:t xml:space="preserve"> </w:t>
      </w:r>
      <w:bookmarkEnd w:id="195"/>
      <w:bookmarkEnd w:id="196"/>
    </w:p>
    <w:p w:rsidR="0071027C" w:rsidRPr="004A1EA1" w:rsidRDefault="0071027C" w:rsidP="00AA771C">
      <w:pPr>
        <w:autoSpaceDE w:val="0"/>
        <w:autoSpaceDN w:val="0"/>
        <w:adjustRightInd w:val="0"/>
        <w:spacing w:beforeLines="120" w:before="288" w:afterLines="120" w:after="288" w:line="240" w:lineRule="auto"/>
        <w:jc w:val="both"/>
        <w:rPr>
          <w:rFonts w:ascii="Arial" w:hAnsi="Arial" w:cs="Arial"/>
        </w:rPr>
      </w:pPr>
      <w:r w:rsidRPr="004A1EA1">
        <w:rPr>
          <w:rFonts w:ascii="Arial" w:hAnsi="Arial" w:cs="Arial"/>
        </w:rPr>
        <w:t>Patients’ specimens should be referred to the nearest laboratory if a CTC does not have diagnostic capacity. Laboratory protocols and Standard Operating Procedures (SOPs) should be followed when transporting samples from one facility to another:</w:t>
      </w:r>
    </w:p>
    <w:p w:rsidR="0071027C" w:rsidRPr="004A1EA1" w:rsidRDefault="0071027C" w:rsidP="00274941">
      <w:pPr>
        <w:pStyle w:val="ListParagraph"/>
        <w:numPr>
          <w:ilvl w:val="0"/>
          <w:numId w:val="24"/>
        </w:numPr>
        <w:autoSpaceDE w:val="0"/>
        <w:autoSpaceDN w:val="0"/>
        <w:adjustRightInd w:val="0"/>
        <w:spacing w:before="100" w:beforeAutospacing="1" w:after="100" w:afterAutospacing="1"/>
        <w:contextualSpacing w:val="0"/>
        <w:jc w:val="both"/>
        <w:rPr>
          <w:rFonts w:ascii="Arial" w:hAnsi="Arial" w:cs="Arial"/>
          <w:sz w:val="22"/>
          <w:szCs w:val="22"/>
        </w:rPr>
      </w:pPr>
      <w:r w:rsidRPr="004A1EA1">
        <w:rPr>
          <w:rFonts w:ascii="Arial" w:hAnsi="Arial" w:cs="Arial"/>
          <w:sz w:val="22"/>
          <w:szCs w:val="22"/>
        </w:rPr>
        <w:t>A specimen delivery checklist should be used to verify that there is a requisition form for all samples transported.</w:t>
      </w:r>
    </w:p>
    <w:p w:rsidR="0071027C" w:rsidRPr="004A1EA1" w:rsidRDefault="0071027C" w:rsidP="00274941">
      <w:pPr>
        <w:pStyle w:val="ListParagraph"/>
        <w:numPr>
          <w:ilvl w:val="0"/>
          <w:numId w:val="24"/>
        </w:numPr>
        <w:autoSpaceDE w:val="0"/>
        <w:autoSpaceDN w:val="0"/>
        <w:adjustRightInd w:val="0"/>
        <w:spacing w:before="100" w:beforeAutospacing="1" w:after="100" w:afterAutospacing="1"/>
        <w:contextualSpacing w:val="0"/>
        <w:jc w:val="both"/>
        <w:rPr>
          <w:rFonts w:ascii="Arial" w:hAnsi="Arial" w:cs="Arial"/>
          <w:sz w:val="22"/>
          <w:szCs w:val="22"/>
        </w:rPr>
      </w:pPr>
      <w:r w:rsidRPr="004A1EA1">
        <w:rPr>
          <w:rFonts w:ascii="Arial" w:hAnsi="Arial" w:cs="Arial"/>
          <w:sz w:val="22"/>
          <w:szCs w:val="22"/>
        </w:rPr>
        <w:t>Specimens should be packed appropriately according to the Standard Operating Procedures (SOPs) and put in appropriate and safe containers before transporting them by road (bus or vehicle) or air</w:t>
      </w:r>
    </w:p>
    <w:p w:rsidR="0071027C" w:rsidRPr="004A1EA1" w:rsidRDefault="0071027C" w:rsidP="00274941">
      <w:pPr>
        <w:pStyle w:val="ListParagraph"/>
        <w:numPr>
          <w:ilvl w:val="0"/>
          <w:numId w:val="24"/>
        </w:numPr>
        <w:autoSpaceDE w:val="0"/>
        <w:autoSpaceDN w:val="0"/>
        <w:adjustRightInd w:val="0"/>
        <w:spacing w:before="100" w:beforeAutospacing="1" w:after="100" w:afterAutospacing="1"/>
        <w:contextualSpacing w:val="0"/>
        <w:jc w:val="both"/>
        <w:rPr>
          <w:rFonts w:ascii="Arial" w:hAnsi="Arial" w:cs="Arial"/>
          <w:sz w:val="22"/>
          <w:szCs w:val="22"/>
        </w:rPr>
      </w:pPr>
      <w:r w:rsidRPr="004A1EA1">
        <w:rPr>
          <w:rFonts w:ascii="Arial" w:hAnsi="Arial" w:cs="Arial"/>
          <w:sz w:val="22"/>
          <w:szCs w:val="22"/>
        </w:rPr>
        <w:t>Dried blood spots samples (DBS) on blotting paper are considered to be non-infectious and can be put in a letter envelope and transported by mail or courier. Consult courier and receiving laboratory for tracking the sample receiving status and feedback report. procedures and timing.</w:t>
      </w:r>
    </w:p>
    <w:p w:rsidR="0071027C" w:rsidRPr="004A1EA1" w:rsidRDefault="0071027C" w:rsidP="00274941">
      <w:pPr>
        <w:pStyle w:val="ListParagraph"/>
        <w:numPr>
          <w:ilvl w:val="0"/>
          <w:numId w:val="24"/>
        </w:numPr>
        <w:autoSpaceDE w:val="0"/>
        <w:autoSpaceDN w:val="0"/>
        <w:adjustRightInd w:val="0"/>
        <w:spacing w:before="100" w:beforeAutospacing="1" w:after="100" w:afterAutospacing="1"/>
        <w:contextualSpacing w:val="0"/>
        <w:jc w:val="both"/>
        <w:rPr>
          <w:rFonts w:ascii="Arial" w:hAnsi="Arial" w:cs="Arial"/>
          <w:sz w:val="22"/>
          <w:szCs w:val="22"/>
        </w:rPr>
      </w:pPr>
      <w:r w:rsidRPr="004A1EA1">
        <w:rPr>
          <w:rFonts w:ascii="Arial" w:hAnsi="Arial" w:cs="Arial"/>
          <w:sz w:val="22"/>
          <w:szCs w:val="22"/>
        </w:rPr>
        <w:t>Dispatch and receipt records of transported samples should be maintained.</w:t>
      </w:r>
    </w:p>
    <w:p w:rsidR="0071027C" w:rsidRPr="002F03DF" w:rsidRDefault="0071027C" w:rsidP="00AA771C">
      <w:pPr>
        <w:spacing w:beforeLines="120" w:before="288" w:afterLines="120" w:after="288" w:line="240" w:lineRule="auto"/>
        <w:jc w:val="both"/>
        <w:rPr>
          <w:rFonts w:ascii="Arial" w:hAnsi="Arial" w:cs="Arial"/>
        </w:rPr>
      </w:pPr>
    </w:p>
    <w:p w:rsidR="0071027C" w:rsidRPr="002F03DF" w:rsidRDefault="0071027C" w:rsidP="0071027C">
      <w:pPr>
        <w:spacing w:before="120" w:after="120" w:line="240" w:lineRule="auto"/>
        <w:rPr>
          <w:rFonts w:ascii="Arial" w:hAnsi="Arial" w:cs="Arial"/>
        </w:rPr>
      </w:pPr>
    </w:p>
    <w:p w:rsidR="0071027C" w:rsidRPr="002F03DF" w:rsidRDefault="0071027C" w:rsidP="0071027C">
      <w:pPr>
        <w:spacing w:before="120" w:after="120" w:line="240" w:lineRule="auto"/>
        <w:rPr>
          <w:rFonts w:ascii="Arial" w:hAnsi="Arial" w:cs="Arial"/>
        </w:rPr>
      </w:pPr>
    </w:p>
    <w:p w:rsidR="0071027C" w:rsidRDefault="0071027C"/>
    <w:p w:rsidR="0071027C" w:rsidRDefault="0071027C"/>
    <w:p w:rsidR="0071027C" w:rsidRDefault="0071027C"/>
    <w:p w:rsidR="0071027C" w:rsidRDefault="0071027C"/>
    <w:p w:rsidR="0071027C" w:rsidRDefault="0071027C"/>
    <w:p w:rsidR="0071027C" w:rsidRDefault="0071027C"/>
    <w:p w:rsidR="0071027C" w:rsidRPr="007C518F" w:rsidRDefault="0071027C" w:rsidP="0071027C">
      <w:pPr>
        <w:pStyle w:val="Heading1"/>
      </w:pPr>
      <w:bookmarkStart w:id="197" w:name="_Toc374952302"/>
      <w:bookmarkStart w:id="198" w:name="_Toc378258131"/>
      <w:bookmarkStart w:id="199" w:name="_Toc382213994"/>
      <w:r w:rsidRPr="007C518F">
        <w:t xml:space="preserve">CHAPTER 5: HIV </w:t>
      </w:r>
      <w:r>
        <w:t>AND</w:t>
      </w:r>
      <w:r w:rsidRPr="007C518F">
        <w:t xml:space="preserve"> AIDS PREVENTION</w:t>
      </w:r>
      <w:bookmarkEnd w:id="197"/>
      <w:bookmarkEnd w:id="198"/>
      <w:bookmarkEnd w:id="199"/>
    </w:p>
    <w:p w:rsidR="0071027C" w:rsidRPr="007C518F" w:rsidRDefault="0071027C" w:rsidP="0071027C">
      <w:pPr>
        <w:pStyle w:val="Heading2"/>
        <w:rPr>
          <w:szCs w:val="24"/>
        </w:rPr>
      </w:pPr>
      <w:bookmarkStart w:id="200" w:name="_Toc374952303"/>
      <w:bookmarkStart w:id="201" w:name="_Toc378258132"/>
      <w:bookmarkStart w:id="202" w:name="_Toc382213995"/>
      <w:r w:rsidRPr="007C518F">
        <w:t>5.1 Behavioral HIV Prevention and Special Circumstances</w:t>
      </w:r>
      <w:bookmarkEnd w:id="200"/>
      <w:bookmarkEnd w:id="201"/>
      <w:bookmarkEnd w:id="202"/>
      <w:r w:rsidRPr="007C518F">
        <w:t xml:space="preserve"> </w:t>
      </w:r>
    </w:p>
    <w:p w:rsidR="0071027C" w:rsidRPr="007C518F" w:rsidRDefault="0071027C" w:rsidP="0071027C">
      <w:pPr>
        <w:pStyle w:val="Heading3"/>
      </w:pPr>
      <w:bookmarkStart w:id="203" w:name="_Toc374952304"/>
      <w:bookmarkStart w:id="204" w:name="_Toc378258133"/>
      <w:bookmarkStart w:id="205" w:name="_Toc382213996"/>
      <w:r w:rsidRPr="007C518F">
        <w:t>5.1.1 Introduction</w:t>
      </w:r>
      <w:bookmarkEnd w:id="203"/>
      <w:bookmarkEnd w:id="204"/>
      <w:bookmarkEnd w:id="205"/>
    </w:p>
    <w:p w:rsidR="0071027C" w:rsidRPr="00C12E5C" w:rsidRDefault="0071027C" w:rsidP="0071027C">
      <w:pPr>
        <w:spacing w:before="120" w:after="120" w:line="240" w:lineRule="auto"/>
        <w:ind w:right="216"/>
        <w:jc w:val="both"/>
        <w:rPr>
          <w:rFonts w:ascii="Arial" w:eastAsia="Times New Roman" w:hAnsi="Arial" w:cs="Arial"/>
        </w:rPr>
      </w:pPr>
      <w:r w:rsidRPr="00C12E5C">
        <w:rPr>
          <w:rFonts w:ascii="Arial" w:eastAsia="Times New Roman" w:hAnsi="Arial" w:cs="Arial"/>
        </w:rPr>
        <w:t>HIV prevention through behavior change is an important component to be reinforced across health facility and community settings. This chapter addresses behavioral prevention as it relates to the continuum of HIV prevention, care and treatment. Good examples of such interventions are those incorporated as positive health, dignity and prevention (PHDP); promotion and supply of male and female condoms and compatible lubricant; Social Behavioral Change Communication (SBCC), HIV testing and counseling activities.</w:t>
      </w:r>
    </w:p>
    <w:p w:rsidR="0071027C" w:rsidRPr="007C518F" w:rsidRDefault="0071027C" w:rsidP="0071027C">
      <w:pPr>
        <w:pStyle w:val="Heading3"/>
      </w:pPr>
      <w:bookmarkStart w:id="206" w:name="_Toc374952305"/>
      <w:bookmarkStart w:id="207" w:name="_Toc378258134"/>
      <w:bookmarkStart w:id="208" w:name="_Toc382213997"/>
      <w:r w:rsidRPr="007C518F">
        <w:t>5.1.2 Positive Health, Dignity and Prevention (PHDP)</w:t>
      </w:r>
      <w:bookmarkEnd w:id="206"/>
      <w:bookmarkEnd w:id="207"/>
      <w:bookmarkEnd w:id="208"/>
    </w:p>
    <w:p w:rsidR="0071027C" w:rsidRPr="00C12E5C" w:rsidRDefault="0071027C" w:rsidP="0071027C">
      <w:pPr>
        <w:spacing w:before="120" w:after="120" w:line="240" w:lineRule="auto"/>
        <w:ind w:right="216"/>
        <w:jc w:val="both"/>
        <w:rPr>
          <w:rFonts w:ascii="Arial" w:eastAsia="Times New Roman" w:hAnsi="Arial" w:cs="Arial"/>
        </w:rPr>
      </w:pPr>
      <w:r w:rsidRPr="00C12E5C">
        <w:rPr>
          <w:rFonts w:ascii="Arial" w:eastAsia="Times New Roman" w:hAnsi="Arial" w:cs="Arial"/>
        </w:rPr>
        <w:t>Positive Health, Dignity and Prevention focus on improving and maintaining the health and well-being of PLHIV, which, in turn, contributes to the health and well-being of sexual partners, families and communities. This is indirect contrast to previous approaches to ‘positive prevention’, which could be construed as treating people living with HIV as vectors of transmission. By focusing on the journey experienced by people living with HIV from testing to support, care and treatment, ‘Positive Health, Dignity and Prevention’ positions the health and social needs and experiences of PLHIV within a human rights framework.</w:t>
      </w:r>
    </w:p>
    <w:p w:rsidR="0071027C" w:rsidRPr="00C12E5C" w:rsidRDefault="0071027C" w:rsidP="0071027C">
      <w:pPr>
        <w:spacing w:before="120" w:after="120" w:line="240" w:lineRule="auto"/>
        <w:ind w:right="216"/>
        <w:jc w:val="both"/>
        <w:rPr>
          <w:rFonts w:ascii="Arial" w:eastAsia="Times New Roman" w:hAnsi="Arial" w:cs="Arial"/>
        </w:rPr>
      </w:pPr>
      <w:r w:rsidRPr="00C12E5C">
        <w:rPr>
          <w:rFonts w:ascii="Arial" w:eastAsia="Times New Roman" w:hAnsi="Arial" w:cs="Arial"/>
        </w:rPr>
        <w:t>PHDP also advocates for programs and services to be available, accessible and relevant to the diverse populations of PLHIV.  The majority of new HIV infections in Tanzania (80%) are from sexual transmission, and all infections from sexual transmission are the result of the sexual union between an individual with HIV and an uninfected individual.  Therefore it makes sense to focus prevention efforts on those who have the virus, as we do with other communicable diseases such as tuberculosis (For more details please refer National PHDP guideline).</w:t>
      </w:r>
    </w:p>
    <w:p w:rsidR="0071027C" w:rsidRPr="00C12E5C" w:rsidRDefault="0071027C" w:rsidP="0071027C">
      <w:pPr>
        <w:spacing w:before="120" w:after="120" w:line="240" w:lineRule="auto"/>
        <w:ind w:right="216"/>
        <w:jc w:val="both"/>
        <w:rPr>
          <w:rFonts w:ascii="Arial" w:eastAsia="Times New Roman" w:hAnsi="Arial" w:cs="Arial"/>
        </w:rPr>
      </w:pPr>
      <w:r w:rsidRPr="00C12E5C">
        <w:rPr>
          <w:rFonts w:ascii="Arial" w:eastAsia="Times New Roman" w:hAnsi="Arial" w:cs="Arial"/>
        </w:rPr>
        <w:t>For PHDP programming to be successful, it must include a synergistic combination of three types of interventions.</w:t>
      </w:r>
    </w:p>
    <w:p w:rsidR="0071027C" w:rsidRPr="00C12E5C" w:rsidRDefault="0071027C" w:rsidP="00274941">
      <w:pPr>
        <w:widowControl/>
        <w:numPr>
          <w:ilvl w:val="0"/>
          <w:numId w:val="25"/>
        </w:numPr>
        <w:spacing w:before="120" w:after="120" w:line="240" w:lineRule="auto"/>
        <w:jc w:val="both"/>
        <w:rPr>
          <w:rFonts w:ascii="Arial" w:hAnsi="Arial" w:cs="Arial"/>
          <w:b/>
        </w:rPr>
      </w:pPr>
      <w:r w:rsidRPr="00C12E5C">
        <w:rPr>
          <w:rFonts w:ascii="Arial" w:hAnsi="Arial" w:cs="Arial"/>
          <w:b/>
        </w:rPr>
        <w:t>Central level interventions</w:t>
      </w:r>
    </w:p>
    <w:p w:rsidR="0071027C" w:rsidRPr="00C12E5C" w:rsidRDefault="0071027C" w:rsidP="0071027C">
      <w:pPr>
        <w:spacing w:before="120" w:after="120" w:line="240" w:lineRule="auto"/>
        <w:jc w:val="both"/>
        <w:rPr>
          <w:rFonts w:ascii="Arial" w:hAnsi="Arial" w:cs="Arial"/>
          <w:i/>
        </w:rPr>
      </w:pPr>
      <w:r w:rsidRPr="00C12E5C">
        <w:rPr>
          <w:rFonts w:ascii="Arial" w:hAnsi="Arial" w:cs="Arial"/>
        </w:rPr>
        <w:t>These mainly focus on changes in the policy and legal framework to alter the environment in ways that promote and support implementation of PHDP activities and services</w:t>
      </w:r>
      <w:r w:rsidRPr="00C12E5C">
        <w:rPr>
          <w:rFonts w:ascii="Arial" w:hAnsi="Arial" w:cs="Arial"/>
          <w:b/>
          <w:i/>
        </w:rPr>
        <w:t xml:space="preserve">.   </w:t>
      </w:r>
    </w:p>
    <w:p w:rsidR="0071027C" w:rsidRPr="00C12E5C" w:rsidRDefault="0071027C" w:rsidP="0071027C">
      <w:pPr>
        <w:widowControl/>
        <w:spacing w:before="120" w:after="120" w:line="240" w:lineRule="auto"/>
        <w:jc w:val="both"/>
        <w:rPr>
          <w:rFonts w:ascii="Arial" w:hAnsi="Arial" w:cs="Arial"/>
        </w:rPr>
      </w:pPr>
      <w:r w:rsidRPr="00C12E5C">
        <w:rPr>
          <w:rFonts w:ascii="Arial" w:hAnsi="Arial" w:cs="Arial"/>
        </w:rPr>
        <w:t xml:space="preserve">To date, HIV prevention has largely focused on providing information, counseling and testing for those who are HIV-negative. While this is an important strategy, people living with HIV have often been left out of prevention.  </w:t>
      </w:r>
      <w:r w:rsidRPr="00C12E5C">
        <w:rPr>
          <w:rFonts w:ascii="Arial" w:hAnsi="Arial" w:cs="Arial"/>
          <w:lang w:val="en-GB"/>
        </w:rPr>
        <w:t xml:space="preserve">More recently, consensus has formed around the benefits of targeted HIV prevention among individuals who know that they are HIV-positive.  </w:t>
      </w:r>
      <w:r w:rsidRPr="00C12E5C">
        <w:rPr>
          <w:rFonts w:ascii="Arial" w:hAnsi="Arial" w:cs="Arial"/>
        </w:rPr>
        <w:t>The additional strategy of providing prevention recommendations and strategies to those who are already HIV-positive aim to prevent the spread of HIV to sex partners and infants born to HIV-infected mothers, as well as to protect the health of HIV-infected individuals.</w:t>
      </w:r>
    </w:p>
    <w:p w:rsidR="0071027C" w:rsidRPr="00C12E5C" w:rsidRDefault="0071027C" w:rsidP="00274941">
      <w:pPr>
        <w:widowControl/>
        <w:numPr>
          <w:ilvl w:val="0"/>
          <w:numId w:val="25"/>
        </w:numPr>
        <w:spacing w:before="120" w:after="120" w:line="240" w:lineRule="auto"/>
        <w:jc w:val="both"/>
        <w:rPr>
          <w:rFonts w:ascii="Arial" w:hAnsi="Arial" w:cs="Arial"/>
          <w:b/>
        </w:rPr>
      </w:pPr>
      <w:r w:rsidRPr="00C12E5C">
        <w:rPr>
          <w:rFonts w:ascii="Arial" w:hAnsi="Arial" w:cs="Arial"/>
          <w:b/>
        </w:rPr>
        <w:t>Health Facility Interventions</w:t>
      </w:r>
    </w:p>
    <w:p w:rsidR="0071027C" w:rsidRPr="00C12E5C" w:rsidRDefault="0071027C" w:rsidP="0071027C">
      <w:pPr>
        <w:pStyle w:val="NormalWeb"/>
        <w:spacing w:before="120" w:beforeAutospacing="0" w:after="120" w:afterAutospacing="0"/>
        <w:jc w:val="both"/>
        <w:rPr>
          <w:rFonts w:ascii="Arial" w:hAnsi="Arial" w:cs="Arial"/>
          <w:sz w:val="22"/>
          <w:szCs w:val="22"/>
        </w:rPr>
      </w:pPr>
      <w:r w:rsidRPr="00C12E5C">
        <w:rPr>
          <w:rFonts w:ascii="Arial" w:hAnsi="Arial" w:cs="Arial"/>
          <w:sz w:val="22"/>
          <w:szCs w:val="22"/>
          <w:lang w:val="en-GB"/>
        </w:rPr>
        <w:t xml:space="preserve">Changes in the risk behaviours of HIV infected individuals are likely to have larger effects on the spread of HIV than comparable changes in the risk behaviours of HIV-negative individuals.  </w:t>
      </w:r>
      <w:r w:rsidRPr="00C12E5C">
        <w:rPr>
          <w:rFonts w:ascii="Arial" w:hAnsi="Arial" w:cs="Arial"/>
          <w:sz w:val="22"/>
          <w:szCs w:val="22"/>
        </w:rPr>
        <w:t>By addressing prevention with HIV-positive patients in care and treatment, providers can impact the HIV epidemic in their communities.</w:t>
      </w:r>
    </w:p>
    <w:p w:rsidR="0071027C" w:rsidRPr="00C12E5C" w:rsidRDefault="0071027C" w:rsidP="0071027C">
      <w:pPr>
        <w:spacing w:before="120" w:after="120" w:line="240" w:lineRule="auto"/>
        <w:jc w:val="both"/>
        <w:rPr>
          <w:rFonts w:ascii="Arial" w:hAnsi="Arial" w:cs="Arial"/>
        </w:rPr>
      </w:pPr>
      <w:r w:rsidRPr="00C12E5C">
        <w:rPr>
          <w:rFonts w:ascii="Arial" w:hAnsi="Arial" w:cs="Arial"/>
          <w:lang w:val="en-GB"/>
        </w:rPr>
        <w:t>T</w:t>
      </w:r>
      <w:r w:rsidRPr="00C12E5C">
        <w:rPr>
          <w:rFonts w:ascii="Arial" w:hAnsi="Arial" w:cs="Arial"/>
        </w:rPr>
        <w:t>he important HIV prevention components of a comprehensive package for the clinical setting are:</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Condom promotion and provision</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Messaging and counselling support for health behaviours including: sexual risk reduction; retention in care, adherence to medications, and partner HIV testing and counselling</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Screening and treatment of STI</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Safer pregnancy counselling and family planning service integration</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Identification of social needs and referral for community- based services</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Cervical cancer screening with urinal inspection with acetic acid (VIA)</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There are several reasons why HIV care and treatment clinics provide such an important setting for HIV prevention. Clinics reach a large number of HIV-positive persons who attend regularly. Secondly, integrating prevention strategies into the HIV clinic ensures comprehensive and consistent quality of care. Finally, Prevention messages can be reinforced at every visit.</w:t>
      </w:r>
    </w:p>
    <w:p w:rsidR="0071027C" w:rsidRPr="00C203F3" w:rsidRDefault="0071027C" w:rsidP="0071027C">
      <w:pPr>
        <w:pStyle w:val="Heading4"/>
      </w:pPr>
      <w:r>
        <w:rPr>
          <w:lang w:val="en-GB"/>
        </w:rPr>
        <w:t>5.1.2.1</w:t>
      </w:r>
      <w:r w:rsidRPr="00C203F3">
        <w:t xml:space="preserve"> Condom promotion and provision</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Both male and female condoms are highly efficacious in preventing sexual transmission of HIV and other STIs.  The key elements to successful condom programming include:</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Easy access to condoms for those who need them within the health care setting</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Provision of sufficient quantities of condoms to be used with every sexual encounter until the next visit</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Provision of education and demonstrations on consistent and proper condom use</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Choice options between male and female condoms</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Education on the strengths and weakness of condoms as a method of contraception, and recommendations of dual method use to avoid pregnancy and protect against HIV/STIs</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Mass media marketing and promotion of condoms in order to increase availability,</w:t>
      </w:r>
      <w:r>
        <w:rPr>
          <w:rFonts w:ascii="Arial" w:hAnsi="Arial" w:cs="Arial"/>
          <w:sz w:val="22"/>
          <w:szCs w:val="22"/>
          <w:lang w:val="en-GB"/>
        </w:rPr>
        <w:t xml:space="preserve"> </w:t>
      </w:r>
      <w:r w:rsidRPr="00C12E5C">
        <w:rPr>
          <w:rFonts w:ascii="Arial" w:hAnsi="Arial" w:cs="Arial"/>
          <w:sz w:val="22"/>
          <w:szCs w:val="22"/>
          <w:lang w:val="en-GB"/>
        </w:rPr>
        <w:t>accessibility and establish social norms.</w:t>
      </w:r>
    </w:p>
    <w:p w:rsidR="0071027C" w:rsidRPr="00C203F3" w:rsidRDefault="0071027C" w:rsidP="0071027C">
      <w:pPr>
        <w:pStyle w:val="Heading4"/>
      </w:pPr>
      <w:r>
        <w:rPr>
          <w:lang w:val="en-GB"/>
        </w:rPr>
        <w:t>5.1.2.2</w:t>
      </w:r>
      <w:r w:rsidRPr="00C203F3">
        <w:t xml:space="preserve"> Messages and counseling to support healthy behaviors</w:t>
      </w:r>
    </w:p>
    <w:p w:rsidR="0071027C" w:rsidRPr="00C12E5C" w:rsidRDefault="0071027C" w:rsidP="00AA771C">
      <w:pPr>
        <w:autoSpaceDE w:val="0"/>
        <w:autoSpaceDN w:val="0"/>
        <w:adjustRightInd w:val="0"/>
        <w:spacing w:beforeLines="120" w:before="288" w:afterLines="120" w:after="288" w:line="288" w:lineRule="auto"/>
        <w:jc w:val="both"/>
        <w:rPr>
          <w:rFonts w:ascii="Arial" w:hAnsi="Arial" w:cs="Arial"/>
          <w:b/>
        </w:rPr>
      </w:pPr>
      <w:r w:rsidRPr="00C12E5C">
        <w:rPr>
          <w:rFonts w:ascii="Arial" w:hAnsi="Arial" w:cs="Arial"/>
          <w:b/>
        </w:rPr>
        <w:t>Sexual risk behavior</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Many persons living with HIV who are not ill remain sexually active and desire a healthy sex life. One of the first steps toward providers taking a PHDP approach in the clinical setting is to recognize that PLHIV have a human right to be sexually active and need ongoing education and support from their health care providers on how to protect themselves and their sexual partners.</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Many people find it difficult to change their behaviors, especially around sexual practices.  Changes surrounding sexual behavior are particularly challenging, as the issues are considered private, often require the participation of both partners, and are typically shaped by gender dynamics.  Women, in particular, are vulnerable within their partnership(s) with regard to their level of control over their partner’s sexual practices and risk of becoming infected with HIV.  PLHIV and their partners may not feel comfortable discussing sexual risk reduction with one-another, their social support networks, or health care providers.  The stigmatization of HIV remains a real issue and even admitting sexual activity can be difficult for PLHIV.</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PLHIV may not be ready to adopt new practices immediately, and sustaining safer sexual behaviors can be difficult.  Adopting and maintaining provider-recommended practices can be a slow and challenging process that requires continual reminders and support from providers.  However, studies have shown that PLHIV will adopt many recommendations on risk reduction when health care providers are committed to deliver prevention messages and counseling at every visit.  Specific risk reduction messages that providers can promote include partner reduction, condom use, disclosure and knowing your partner’s status and reduced alcohol consumption.</w:t>
      </w:r>
    </w:p>
    <w:p w:rsidR="0071027C" w:rsidRPr="00C12E5C" w:rsidRDefault="0071027C" w:rsidP="00AA771C">
      <w:pPr>
        <w:autoSpaceDE w:val="0"/>
        <w:autoSpaceDN w:val="0"/>
        <w:adjustRightInd w:val="0"/>
        <w:spacing w:beforeLines="120" w:before="288" w:afterLines="120" w:after="288" w:line="288" w:lineRule="auto"/>
        <w:jc w:val="both"/>
        <w:rPr>
          <w:rFonts w:ascii="Arial" w:hAnsi="Arial" w:cs="Arial"/>
          <w:b/>
        </w:rPr>
      </w:pPr>
      <w:r w:rsidRPr="00C12E5C">
        <w:rPr>
          <w:rFonts w:ascii="Arial" w:hAnsi="Arial" w:cs="Arial"/>
          <w:b/>
        </w:rPr>
        <w:t xml:space="preserve">Retention in care and adherence to medications </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Recent studies provide strong evidence for the prevention benefits of ART.  PLHIV who are adherent to ART and successfully maintain low or undetectable viral load are far less likely to transmit HIV to their sexual partner(s).  Therefore, early enrollment into care, retention, and adherence to ART is a key component of HIV prevention.</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PLHIV who are just recently infected and/or are not yet eligible for ARVs, usually look healthy and clinically well, and continue with their routine lifestyle (including sexual behavior).  However, it is known that HIV-positive persons who are not on ARVs and who are having unprotected sex may have high viral loads and may be at high risk for transmitting HIV to their sexual partners.</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 xml:space="preserve">PLHIV who had once been very ill but are now on ART generally enjoy better health and longer, more active lives, which may lead to a renewed interest in sexual activity, and new partnerships.  Thus, adherence to medication and retention in care is critical to ensuring that patients continue to receive life-saving medicines, and risk reduction message reinforcement. </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Another important benefit of treating HIV is that viral load decreases.  This has been shown to decrease patient’s likelihood of transmitting HIV.  However, even PLHIV on ARVs can still transmit HIV, including drug resistant strains of the virus. So again, it is important for health care providers to help PLHIVs understand that they can still transmit HIV and recommend that they take precautions, even when they are on treatment.</w:t>
      </w:r>
    </w:p>
    <w:p w:rsidR="0071027C" w:rsidRDefault="0071027C" w:rsidP="0071027C">
      <w:pPr>
        <w:autoSpaceDE w:val="0"/>
        <w:autoSpaceDN w:val="0"/>
        <w:adjustRightInd w:val="0"/>
        <w:spacing w:before="120" w:after="120" w:line="240" w:lineRule="auto"/>
        <w:jc w:val="both"/>
        <w:rPr>
          <w:rFonts w:ascii="Arial" w:hAnsi="Arial" w:cs="Arial"/>
          <w:b/>
        </w:rPr>
      </w:pPr>
    </w:p>
    <w:p w:rsidR="0071027C" w:rsidRPr="00C12E5C" w:rsidRDefault="0071027C" w:rsidP="0071027C">
      <w:pPr>
        <w:autoSpaceDE w:val="0"/>
        <w:autoSpaceDN w:val="0"/>
        <w:adjustRightInd w:val="0"/>
        <w:spacing w:before="120" w:after="120" w:line="240" w:lineRule="auto"/>
        <w:jc w:val="both"/>
        <w:rPr>
          <w:rFonts w:ascii="Arial" w:hAnsi="Arial" w:cs="Arial"/>
          <w:b/>
        </w:rPr>
      </w:pPr>
      <w:r w:rsidRPr="00C12E5C">
        <w:rPr>
          <w:rFonts w:ascii="Arial" w:hAnsi="Arial" w:cs="Arial"/>
          <w:b/>
        </w:rPr>
        <w:t>Couple HIV Testing and Counselling</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 xml:space="preserve">Health care providers should encourage PLHIVs to bring in their partners for HIV testing and counseling.  This provides an opportunity to counsel couples together, and helps to identify discordant couples. </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For the discordant couple, health care providers should give prevention messages to help patients reduce the risk of transmission to HIV-negative sex partners.  By encouraging partners in a discordant relationship to adopt safer sex behaviors, providers play an important role in helping discordant couples protect the negative partner from becoming HIV-infected. Additionally,</w:t>
      </w:r>
      <w:r>
        <w:rPr>
          <w:rFonts w:ascii="Arial" w:hAnsi="Arial" w:cs="Arial"/>
        </w:rPr>
        <w:t xml:space="preserve"> </w:t>
      </w:r>
      <w:r w:rsidRPr="00C12E5C">
        <w:rPr>
          <w:rFonts w:ascii="Arial" w:hAnsi="Arial" w:cs="Arial"/>
        </w:rPr>
        <w:t>HIV-negative partners, should get tested regularly. Recent evidence shows that, early initiation of ART to the infected partner reduces the chances of infecting his/her partner.</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 xml:space="preserve">In concordant relationships where both partners are HIV-positive, there is a potential consequence of unprotected sex to the HIV-infected partner is that he or she may become “re-infected” with a different strain of HIV (including even virus resistant to some ARVs), or STIs.  There is still much that is not known about re-infection, for example, how often it occurs and how it affects disease progression.  Re-infection is only a risk to partners who have unprotected sex with HIV-positive partners.  </w:t>
      </w:r>
    </w:p>
    <w:p w:rsidR="0071027C" w:rsidRPr="00C203F3" w:rsidRDefault="0071027C" w:rsidP="0071027C">
      <w:pPr>
        <w:pStyle w:val="Heading4"/>
      </w:pPr>
      <w:r>
        <w:rPr>
          <w:lang w:val="en-GB"/>
        </w:rPr>
        <w:t>5.1.2.3</w:t>
      </w:r>
      <w:r w:rsidRPr="00C203F3">
        <w:t xml:space="preserve"> Screening and Treatment of STI </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 xml:space="preserve">Sexually Transmitted Infections (STIs) are a group of infections that are predominantly transmitted through unprotected sexual contact with an infected person.  Some STIs can increase the risk of transmission or acquisition of HIV infection.  To ensure that PLHIV have access to comprehensive disease prevention and treatment services, STI screening and treatment should be integrated into routine CTC services. </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 xml:space="preserve">Integration of STI screening and treatment within the CTC is important for many reasons.  </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First, some STIs may be more severe in people who are HIV-positive requiring close follow-up and treatment in the context of their overall HIV care.  Second, an STI infection can be a marker for unprotected sex.  This is especially true for new or incident cases of STIs but may be less true for recurrent incurable STIs like Herpes Simpex Virus (HSV).  Health care providers should counsel patients with an STI on the importance of using condoms to prevent spread of HIV and/or other STIs</w:t>
      </w:r>
      <w:r>
        <w:rPr>
          <w:rFonts w:ascii="Arial" w:hAnsi="Arial" w:cs="Arial"/>
        </w:rPr>
        <w:t xml:space="preserve"> </w:t>
      </w:r>
      <w:r w:rsidRPr="00C12E5C">
        <w:rPr>
          <w:rFonts w:ascii="Arial" w:hAnsi="Arial" w:cs="Arial"/>
        </w:rPr>
        <w:t>to their partner(s).   It is also important to treat the STI in both the patient and his/her partner(s) to prevent further transmission and re-infection of the STI between the couple members.</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 xml:space="preserve">Third, many STIs can have harmful effects on pregnant women and/or their unborn children.  The presence of some STIs during pregnancy may have permanent neurologic and developmental effects on the baby.  Moreover, current or past STIs in men and women can cause decreased fertility.  Thus, women and their partners should be assessed and treated for STIs before becoming pregnant.  </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 xml:space="preserve">It is highly recommended that all clinicians working at CTC should be trained on STI management so as to offer these services as a “one-stop shop”.  HCW should ensure provision of quality STI services for PLHIV at CTC through the use of the simple diagnostic procedures and the syndromic approach according to the National Guidelines for Management of Sexually Transmitted and Reproductive Tract Infections.  </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CTC counselors and clinicians should work hand-in-hand in providing support to STI patients for notifying their partner(s) about the need for treatment.</w:t>
      </w:r>
    </w:p>
    <w:p w:rsidR="0071027C" w:rsidRPr="00C12E5C" w:rsidRDefault="0071027C" w:rsidP="0071027C">
      <w:pPr>
        <w:pStyle w:val="Heading4"/>
      </w:pPr>
      <w:r w:rsidRPr="00C12E5C">
        <w:t>5.1.2.4 Family Planning and Safer Pregnancy Counselling Services Integration</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Family planning refers to the practice of individuals or couples deciding when and whether to have children and how to safely prevent unintended pregnancy. Safer pregnancy refers to ways that couples can get pregnant while limiting HIV transmission risk, or ways that PLHIV can plan safer pregnancies according to their health status and current medications.</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Because PLHIV often have healthy and normal sexual desires, and PLHIV have the right to bear children, they need support from health care providers to safely plan for wanted pregnancies and to safely avoid unwanted pregnancies.  Since many PLHIV attending CTCs do not make visits with their partner, provider assessment of fertility desires to both male and female CTC clients is essential.  Typically, family planning and pregnancy services are directed toward women only, while within the partnership, men’s fertility desires and expectations are equally important.  HIV clinical care settings provide an opportunity to reach out to male members of couples and emphasize shared decision-making and open communication about pregnancy and contraception.  This is particularly important for couples with HIV (concordant or discordant), because safer pregnancy planning and contraceptive method choice affect sexual and perinatal HIV transmission risk.</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One of the key strategies for ensuring that infected HIV positive couples have access to contraception and advice about pregnancy is to provide family planning and safer pregnancy counseling within the CTC following an integrated model of service provision.  To ensure that PLHIV receive these vital services, HIV care and treatment providers need to assess fertility desires and unmet need for contraception at every visit and provide advice and services as appropriate.</w:t>
      </w:r>
    </w:p>
    <w:p w:rsidR="0071027C" w:rsidRDefault="0071027C" w:rsidP="0071027C">
      <w:pPr>
        <w:autoSpaceDE w:val="0"/>
        <w:autoSpaceDN w:val="0"/>
        <w:adjustRightInd w:val="0"/>
        <w:spacing w:before="120" w:after="120" w:line="240" w:lineRule="auto"/>
        <w:jc w:val="both"/>
        <w:rPr>
          <w:rFonts w:ascii="Arial" w:hAnsi="Arial" w:cs="Arial"/>
          <w:b/>
        </w:rPr>
      </w:pPr>
    </w:p>
    <w:p w:rsidR="0071027C" w:rsidRPr="00C12E5C" w:rsidRDefault="0071027C" w:rsidP="0071027C">
      <w:pPr>
        <w:autoSpaceDE w:val="0"/>
        <w:autoSpaceDN w:val="0"/>
        <w:adjustRightInd w:val="0"/>
        <w:spacing w:before="120" w:after="120" w:line="240" w:lineRule="auto"/>
        <w:jc w:val="both"/>
        <w:rPr>
          <w:rFonts w:ascii="Arial" w:hAnsi="Arial" w:cs="Arial"/>
          <w:b/>
        </w:rPr>
      </w:pPr>
      <w:r w:rsidRPr="00C12E5C">
        <w:rPr>
          <w:rFonts w:ascii="Arial" w:hAnsi="Arial" w:cs="Arial"/>
          <w:b/>
        </w:rPr>
        <w:t>Safer pregnancy</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It is essential that HIV infected couple’s desires for childbearing are frequently assessed so that they can receive the appropriate information, counselling support and services needed for making informed decisions that protect their own health, their partner’s health, and ensure the highest likelihood of a healthy pregnancy and uninfected child.  For example, before pregnancy, couples should consider:</w:t>
      </w:r>
    </w:p>
    <w:p w:rsidR="0071027C" w:rsidRPr="00C12E5C" w:rsidRDefault="0071027C" w:rsidP="00274941">
      <w:pPr>
        <w:widowControl/>
        <w:numPr>
          <w:ilvl w:val="0"/>
          <w:numId w:val="27"/>
        </w:numPr>
        <w:spacing w:before="120" w:after="120" w:line="240" w:lineRule="auto"/>
        <w:jc w:val="both"/>
        <w:rPr>
          <w:rFonts w:ascii="Arial" w:hAnsi="Arial" w:cs="Arial"/>
        </w:rPr>
      </w:pPr>
      <w:r w:rsidRPr="00C12E5C">
        <w:rPr>
          <w:rFonts w:ascii="Arial" w:hAnsi="Arial" w:cs="Arial"/>
          <w:b/>
        </w:rPr>
        <w:t>The health of each partner.</w:t>
      </w:r>
      <w:r w:rsidRPr="00C12E5C">
        <w:rPr>
          <w:rFonts w:ascii="Arial" w:hAnsi="Arial" w:cs="Arial"/>
        </w:rPr>
        <w:t xml:space="preserve">  For example, if the woman’s own illness is advanced, she is at higher risk for transmitting HIV to her child. If the woman, man, or both are ill, caring for a child could be more burdensome.  Encourage the woman to continue using </w:t>
      </w:r>
      <w:r w:rsidRPr="00C12E5C">
        <w:rPr>
          <w:rFonts w:ascii="Arial" w:hAnsi="Arial" w:cs="Arial"/>
          <w:u w:val="single"/>
        </w:rPr>
        <w:t>contraceptives and condoms</w:t>
      </w:r>
      <w:r w:rsidRPr="00C12E5C">
        <w:rPr>
          <w:rFonts w:ascii="Arial" w:hAnsi="Arial" w:cs="Arial"/>
        </w:rPr>
        <w:t xml:space="preserve"> until she is healthy enough to become pregnant.</w:t>
      </w:r>
    </w:p>
    <w:p w:rsidR="0071027C" w:rsidRPr="00C12E5C" w:rsidRDefault="0071027C" w:rsidP="00274941">
      <w:pPr>
        <w:widowControl/>
        <w:numPr>
          <w:ilvl w:val="0"/>
          <w:numId w:val="27"/>
        </w:numPr>
        <w:spacing w:before="120" w:after="120" w:line="240" w:lineRule="auto"/>
        <w:jc w:val="both"/>
        <w:rPr>
          <w:rFonts w:ascii="Arial" w:hAnsi="Arial" w:cs="Arial"/>
        </w:rPr>
      </w:pPr>
      <w:r w:rsidRPr="00C12E5C">
        <w:rPr>
          <w:rFonts w:ascii="Arial" w:hAnsi="Arial" w:cs="Arial"/>
          <w:b/>
        </w:rPr>
        <w:t>The feelings of each partner.</w:t>
      </w:r>
      <w:r w:rsidRPr="00C12E5C">
        <w:rPr>
          <w:rFonts w:ascii="Arial" w:hAnsi="Arial" w:cs="Arial"/>
        </w:rPr>
        <w:t xml:space="preserve">  Many people have strong feelings about whether or not they want to have a child.  When possible, a couple should think through these feelings together before making a decision. </w:t>
      </w:r>
    </w:p>
    <w:p w:rsidR="0071027C" w:rsidRPr="00C12E5C" w:rsidRDefault="0071027C" w:rsidP="00274941">
      <w:pPr>
        <w:widowControl/>
        <w:numPr>
          <w:ilvl w:val="0"/>
          <w:numId w:val="27"/>
        </w:numPr>
        <w:spacing w:before="120" w:after="120" w:line="240" w:lineRule="auto"/>
        <w:jc w:val="both"/>
        <w:rPr>
          <w:rFonts w:ascii="Arial" w:hAnsi="Arial" w:cs="Arial"/>
        </w:rPr>
      </w:pPr>
      <w:r w:rsidRPr="00C12E5C">
        <w:rPr>
          <w:rFonts w:ascii="Arial" w:hAnsi="Arial" w:cs="Arial"/>
          <w:b/>
        </w:rPr>
        <w:t>The long-term well-being of a child.</w:t>
      </w:r>
      <w:r w:rsidRPr="00C12E5C">
        <w:rPr>
          <w:rFonts w:ascii="Arial" w:hAnsi="Arial" w:cs="Arial"/>
        </w:rPr>
        <w:t xml:space="preserve">  It is important for couples to make a plan for who will care for their children, in case they are unable to care for them.</w:t>
      </w:r>
    </w:p>
    <w:p w:rsidR="0071027C" w:rsidRPr="00C12E5C" w:rsidRDefault="0071027C" w:rsidP="00274941">
      <w:pPr>
        <w:widowControl/>
        <w:numPr>
          <w:ilvl w:val="0"/>
          <w:numId w:val="27"/>
        </w:numPr>
        <w:spacing w:before="120" w:after="120" w:line="240" w:lineRule="auto"/>
        <w:jc w:val="both"/>
        <w:rPr>
          <w:rFonts w:ascii="Arial" w:hAnsi="Arial" w:cs="Arial"/>
        </w:rPr>
      </w:pPr>
      <w:r w:rsidRPr="00C12E5C">
        <w:rPr>
          <w:rFonts w:ascii="Arial" w:hAnsi="Arial" w:cs="Arial"/>
        </w:rPr>
        <w:t xml:space="preserve">If a pregnant woman is on </w:t>
      </w:r>
      <w:r w:rsidRPr="00C12E5C">
        <w:rPr>
          <w:rFonts w:ascii="Arial" w:hAnsi="Arial" w:cs="Arial"/>
          <w:b/>
        </w:rPr>
        <w:t>ARVs or other medications</w:t>
      </w:r>
      <w:r w:rsidRPr="00C12E5C">
        <w:rPr>
          <w:rFonts w:ascii="Arial" w:hAnsi="Arial" w:cs="Arial"/>
        </w:rPr>
        <w:t>, providers should assess her drug regimen and adjust it as needed to ensure that the medications will not harm the fetus. For example, EFV</w:t>
      </w:r>
      <w:r>
        <w:rPr>
          <w:rFonts w:ascii="Arial" w:hAnsi="Arial" w:cs="Arial"/>
        </w:rPr>
        <w:t xml:space="preserve"> </w:t>
      </w:r>
      <w:r w:rsidRPr="00C12E5C">
        <w:rPr>
          <w:rFonts w:ascii="Arial" w:hAnsi="Arial" w:cs="Arial"/>
        </w:rPr>
        <w:t>(Efevirenz) based regimen is not recommended in the first trimester.</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For the mother and baby, the safest time for having a child is when the woman’s CD4 count is not low (&lt;200) or viral load is low; there are no signs of TB; and the woman is on ART or prophylaxis according to guidelines</w:t>
      </w:r>
      <w:r>
        <w:rPr>
          <w:rFonts w:ascii="Arial" w:hAnsi="Arial" w:cs="Arial"/>
        </w:rPr>
        <w:t>.</w:t>
      </w:r>
    </w:p>
    <w:p w:rsidR="0071027C" w:rsidRDefault="0071027C" w:rsidP="0071027C">
      <w:pPr>
        <w:autoSpaceDE w:val="0"/>
        <w:autoSpaceDN w:val="0"/>
        <w:adjustRightInd w:val="0"/>
        <w:spacing w:before="120" w:after="120" w:line="240" w:lineRule="auto"/>
        <w:jc w:val="both"/>
        <w:rPr>
          <w:rFonts w:ascii="Arial" w:hAnsi="Arial" w:cs="Arial"/>
          <w:b/>
        </w:rPr>
      </w:pPr>
    </w:p>
    <w:p w:rsidR="0071027C" w:rsidRPr="00C12E5C" w:rsidRDefault="0071027C" w:rsidP="0071027C">
      <w:pPr>
        <w:autoSpaceDE w:val="0"/>
        <w:autoSpaceDN w:val="0"/>
        <w:adjustRightInd w:val="0"/>
        <w:spacing w:before="120" w:after="120" w:line="240" w:lineRule="auto"/>
        <w:jc w:val="both"/>
        <w:rPr>
          <w:rFonts w:ascii="Arial" w:hAnsi="Arial" w:cs="Arial"/>
          <w:b/>
        </w:rPr>
      </w:pPr>
      <w:r w:rsidRPr="00C12E5C">
        <w:rPr>
          <w:rFonts w:ascii="Arial" w:hAnsi="Arial" w:cs="Arial"/>
          <w:b/>
        </w:rPr>
        <w:t>Contraception to avoid unwanted pregnancies</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Even though many couples do not want to become pregnant, they may not be using any contraception, or may report using methods that leave them at risk of unintended pregnancy or STIs.</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 xml:space="preserve">For HIV-infected women who are sexually active but do not want to become pregnant, there are many contraceptive methods that are safe and effective.  These include the common contraceptive methods such as oral contraceptives, injectables, intrauterine devices (IUDs), implants, and permanent methods.  Although condoms also prevent pregnancy they are not as effective in practice as hormonal contraception or IUDs.  </w:t>
      </w:r>
    </w:p>
    <w:p w:rsidR="0071027C" w:rsidRPr="00C12E5C" w:rsidRDefault="0071027C" w:rsidP="0071027C">
      <w:pPr>
        <w:spacing w:before="120" w:after="120" w:line="240" w:lineRule="auto"/>
        <w:jc w:val="both"/>
        <w:rPr>
          <w:rFonts w:ascii="Arial" w:hAnsi="Arial" w:cs="Arial"/>
        </w:rPr>
      </w:pPr>
      <w:r w:rsidRPr="00C12E5C">
        <w:rPr>
          <w:rFonts w:ascii="Arial" w:hAnsi="Arial" w:cs="Arial"/>
        </w:rPr>
        <w:t>Therefore, it is recommended that HIV infected couples who wish to avoid pregnancy use a highly effective form of contraception plus condoms.  This is often referred to as dual method use.  Using condoms and another form of contraception is the most effective way of preventing pregnancy, HIV and STI transmission.</w:t>
      </w:r>
    </w:p>
    <w:p w:rsidR="0071027C" w:rsidRDefault="0071027C" w:rsidP="00AA771C">
      <w:pPr>
        <w:widowControl/>
        <w:spacing w:beforeLines="120" w:before="288" w:afterLines="120" w:after="288" w:line="288" w:lineRule="auto"/>
        <w:jc w:val="both"/>
        <w:rPr>
          <w:rFonts w:ascii="Arial Narrow" w:hAnsi="Arial Narrow" w:cs="Times New Roman"/>
          <w:sz w:val="24"/>
          <w:szCs w:val="24"/>
        </w:rPr>
      </w:pPr>
    </w:p>
    <w:p w:rsidR="0071027C" w:rsidRPr="00C12E5C" w:rsidRDefault="0071027C" w:rsidP="0071027C">
      <w:pPr>
        <w:pStyle w:val="Heading3"/>
      </w:pPr>
      <w:bookmarkStart w:id="209" w:name="_Toc374952307"/>
      <w:bookmarkStart w:id="210" w:name="_Toc378258136"/>
      <w:bookmarkStart w:id="211" w:name="_Toc382213998"/>
      <w:r w:rsidRPr="00C12E5C">
        <w:t>5.1.</w:t>
      </w:r>
      <w:r>
        <w:t>3</w:t>
      </w:r>
      <w:r w:rsidRPr="00C12E5C">
        <w:t>Key Population</w:t>
      </w:r>
      <w:bookmarkEnd w:id="209"/>
      <w:bookmarkEnd w:id="210"/>
      <w:bookmarkEnd w:id="211"/>
    </w:p>
    <w:p w:rsidR="0071027C" w:rsidRPr="00C12E5C" w:rsidRDefault="0071027C" w:rsidP="0071027C">
      <w:pPr>
        <w:spacing w:before="120" w:after="120" w:line="240" w:lineRule="auto"/>
        <w:jc w:val="both"/>
        <w:rPr>
          <w:rFonts w:ascii="Arial" w:hAnsi="Arial" w:cs="Arial"/>
        </w:rPr>
      </w:pPr>
      <w:r w:rsidRPr="00C12E5C">
        <w:rPr>
          <w:rFonts w:ascii="Arial" w:hAnsi="Arial" w:cs="Arial"/>
        </w:rPr>
        <w:t>Key populations (KP) are identified sub-populations that play an important role in the HIV epidemic due to relatively high HIV prevalence, frequent high risk behavior, and social and structural barriers to conventional health services that render them at higher risk of acquiring and transmitting HIV. Health care workers (HCWs) need to provide non-judgmental, non-discriminatory services to be able to identify and address the special needs of key populations within and beyond the health care setting. Focus key populations include persons who inject drug (PWID), including those who inject, men who have sex with men, sex workers, and prisoners.</w:t>
      </w:r>
    </w:p>
    <w:p w:rsidR="0071027C" w:rsidRPr="00C12E5C" w:rsidRDefault="0071027C" w:rsidP="0071027C">
      <w:pPr>
        <w:pStyle w:val="Heading4"/>
        <w:rPr>
          <w:rFonts w:eastAsia="Times New Roman"/>
        </w:rPr>
      </w:pPr>
      <w:r>
        <w:rPr>
          <w:rFonts w:eastAsia="Times New Roman"/>
        </w:rPr>
        <w:t xml:space="preserve">5.1.3.1 </w:t>
      </w:r>
      <w:r w:rsidRPr="00C12E5C">
        <w:rPr>
          <w:rFonts w:eastAsia="Times New Roman"/>
        </w:rPr>
        <w:t>Persons who inject drugs (PWID)</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Provide medication-assisted treatment (MAT) and other drug dependence treatments in line with the national guidelines.</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Provide HIV testing and counselling in health facilities and through community-based outreach in line with national HTC guidelines.</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Provide ART to HIV infected PWID.</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Screen and manage STIs and cervical cancer.</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Promote and provide male and female condoms and compatible lubricant.</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Provide information, education and communication for HIV prevention and care.</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Screen for Hepatitis B and C and provide vaccination for Hepatitis B as appropriate.</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Screen for tuberculosis and manage accordingly.</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Link with complementary facility and community-based</w:t>
      </w:r>
      <w:r>
        <w:rPr>
          <w:rFonts w:ascii="Arial" w:hAnsi="Arial" w:cs="Arial"/>
          <w:sz w:val="22"/>
          <w:szCs w:val="22"/>
          <w:lang w:val="en-GB"/>
        </w:rPr>
        <w:t xml:space="preserve"> </w:t>
      </w:r>
      <w:r w:rsidRPr="00C12E5C">
        <w:rPr>
          <w:rFonts w:ascii="Arial" w:hAnsi="Arial" w:cs="Arial"/>
          <w:sz w:val="22"/>
          <w:szCs w:val="22"/>
          <w:lang w:val="en-GB"/>
        </w:rPr>
        <w:t>services for PWUD.</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Screen for sexual violence and provide post-exposure prophylaxis (PEP) along with other interventions for gender-based violence in line with national guidelines.</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Persons who inject drugs (PWID) should additionally be provided access to sterile injection equipment. through needle syringe programs (NSP)</w:t>
      </w:r>
    </w:p>
    <w:p w:rsidR="0071027C" w:rsidRPr="00C12E5C" w:rsidRDefault="0071027C" w:rsidP="0071027C">
      <w:pPr>
        <w:pStyle w:val="Heading4"/>
        <w:rPr>
          <w:rFonts w:eastAsia="Times New Roman"/>
        </w:rPr>
      </w:pPr>
      <w:r>
        <w:rPr>
          <w:rFonts w:eastAsia="Times New Roman"/>
        </w:rPr>
        <w:t xml:space="preserve">5.1.3.2 </w:t>
      </w:r>
      <w:r w:rsidRPr="00C12E5C">
        <w:rPr>
          <w:rFonts w:eastAsia="Times New Roman"/>
        </w:rPr>
        <w:t xml:space="preserve">Sex </w:t>
      </w:r>
      <w:r w:rsidRPr="00C12E5C">
        <w:rPr>
          <w:rFonts w:eastAsia="Times New Roman"/>
          <w:spacing w:val="-12"/>
        </w:rPr>
        <w:t>W</w:t>
      </w:r>
      <w:r w:rsidRPr="00C12E5C">
        <w:rPr>
          <w:rFonts w:eastAsia="Times New Roman"/>
        </w:rPr>
        <w:t>orkers</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Provide HIV testing and counselling in health facilities and through community-based outreach in line with national HTC guidelines.</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Provide ART to HIV infected sex workers.</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Screen and manage STIs and cervical cancer.</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Promote and provide male and female condoms and compatible lubricant.</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Provide information, education and communication for HIV prevention and care</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Screen for Hepatitis B and C and provide vaccination for Hepatitis B as appropriate.</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Screen for tuberculosis and manage accordingly.</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Link with complementary facility and community-based services for sex workers</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Provide integrated reproductive health services, including family planning and PMTCT.</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Screen for sexual violence and provide post-exposure prophylaxis (PEP) along with other interventions for gender-based violence in line with national guidelines.</w:t>
      </w:r>
    </w:p>
    <w:p w:rsidR="0071027C" w:rsidRPr="00C12E5C" w:rsidRDefault="0071027C" w:rsidP="0071027C">
      <w:pPr>
        <w:pStyle w:val="Heading4"/>
        <w:rPr>
          <w:rFonts w:eastAsia="Times New Roman"/>
        </w:rPr>
      </w:pPr>
      <w:r>
        <w:rPr>
          <w:rFonts w:eastAsia="Times New Roman"/>
        </w:rPr>
        <w:t xml:space="preserve">5.1.3.3 </w:t>
      </w:r>
      <w:r w:rsidRPr="00C12E5C">
        <w:rPr>
          <w:rFonts w:eastAsia="Times New Roman"/>
        </w:rPr>
        <w:t>Men who have Sex with Men (MSM)</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Provide HIV testing and counselling in health facilities and through community-based outreach in line with national HTC guidelines.</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Provide ART to HIV infected MSM.</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Screen and manage STIs.</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Promote and provide male and female condoms and compatible lubricant.</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Provide information, education and communication for HIV prevention and care</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Screen for Hepatitis B and C and provide vaccination for Hepatitis B as appropriate.</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Screen for tuberculosis and manage accordingly.</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Link with complementary facility and community-based services for MSM.</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 xml:space="preserve">Screen for sexual violence and provide post-exposure prophylaxis (PEP) along with other interventions for gender-based violence in line with national guidelines. </w:t>
      </w:r>
    </w:p>
    <w:p w:rsidR="0071027C" w:rsidRPr="00C12E5C" w:rsidRDefault="0071027C" w:rsidP="0071027C">
      <w:pPr>
        <w:pStyle w:val="Heading4"/>
        <w:rPr>
          <w:rFonts w:eastAsia="Times New Roman"/>
        </w:rPr>
      </w:pPr>
      <w:r>
        <w:rPr>
          <w:rFonts w:eastAsia="Times New Roman"/>
        </w:rPr>
        <w:t xml:space="preserve">5.1.3.4 </w:t>
      </w:r>
      <w:r w:rsidRPr="00C12E5C">
        <w:rPr>
          <w:rFonts w:eastAsia="Times New Roman"/>
        </w:rPr>
        <w:t>Prisoners</w:t>
      </w:r>
    </w:p>
    <w:p w:rsidR="0071027C" w:rsidRPr="00C12E5C" w:rsidRDefault="00AA771C" w:rsidP="00274941">
      <w:pPr>
        <w:pStyle w:val="NormalWeb"/>
        <w:numPr>
          <w:ilvl w:val="0"/>
          <w:numId w:val="26"/>
        </w:numPr>
        <w:spacing w:before="0" w:beforeAutospacing="0" w:after="0" w:afterAutospacing="0"/>
        <w:jc w:val="both"/>
        <w:rPr>
          <w:rFonts w:ascii="Arial" w:hAnsi="Arial" w:cs="Arial"/>
          <w:sz w:val="22"/>
          <w:szCs w:val="22"/>
          <w:lang w:val="en-GB"/>
        </w:rPr>
      </w:pPr>
      <w:r>
        <w:rPr>
          <w:rFonts w:ascii="Arial" w:hAnsi="Arial" w:cs="Arial"/>
          <w:noProof/>
          <w:sz w:val="22"/>
          <w:szCs w:val="22"/>
        </w:rPr>
        <mc:AlternateContent>
          <mc:Choice Requires="wpg">
            <w:drawing>
              <wp:anchor distT="0" distB="0" distL="114300" distR="114300" simplePos="0" relativeHeight="251685888" behindDoc="1" locked="0" layoutInCell="1" allowOverlap="1">
                <wp:simplePos x="0" y="0"/>
                <wp:positionH relativeFrom="page">
                  <wp:posOffset>266700</wp:posOffset>
                </wp:positionH>
                <wp:positionV relativeFrom="page">
                  <wp:posOffset>7903210</wp:posOffset>
                </wp:positionV>
                <wp:extent cx="1270" cy="190500"/>
                <wp:effectExtent l="0" t="0" r="17780" b="19050"/>
                <wp:wrapNone/>
                <wp:docPr id="9234" name="Group 8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420" y="12446"/>
                          <a:chExt cx="2" cy="300"/>
                        </a:xfrm>
                      </wpg:grpSpPr>
                      <wps:wsp>
                        <wps:cNvPr id="9235" name="Freeform 8900"/>
                        <wps:cNvSpPr>
                          <a:spLocks/>
                        </wps:cNvSpPr>
                        <wps:spPr bwMode="auto">
                          <a:xfrm>
                            <a:off x="420" y="12446"/>
                            <a:ext cx="2" cy="300"/>
                          </a:xfrm>
                          <a:custGeom>
                            <a:avLst/>
                            <a:gdLst>
                              <a:gd name="T0" fmla="+- 0 12446 12446"/>
                              <a:gd name="T1" fmla="*/ 12446 h 300"/>
                              <a:gd name="T2" fmla="+- 0 12746 12446"/>
                              <a:gd name="T3" fmla="*/ 12746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99" o:spid="_x0000_s1026" style="position:absolute;margin-left:21pt;margin-top:622.3pt;width:.1pt;height:15pt;z-index:-251630592;mso-position-horizontal-relative:page;mso-position-vertical-relative:page" coordorigin="420,12446"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">
                <v:shape id="Freeform 8900" o:spid="_x0000_s1027" style="position:absolute;left:420;top:12446;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mF8YA&#10;AADdAAAADwAAAGRycy9kb3ducmV2LnhtbESPwWrDMBBE74X+g9hCLiWR49KSulFCKA304IvtQq6L&#10;tbFMrJWxFNv5+6hQ6HGYmTfMdj/bTow0+NaxgvUqAUFcO91yo+CnOi43IHxA1tg5JgU38rDfPT5s&#10;MdNu4oLGMjQiQthnqMCE0GdS+tqQRb9yPXH0zm6wGKIcGqkHnCLcdjJNkjdpseW4YLCnT0P1pbxa&#10;BYWc8+fK9PZrDNOpqDdJfr5elFo8zYcPEIHm8B/+a39rBe/pyyv8volP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cmF8YAAADdAAAADwAAAAAAAAAAAAAAAACYAgAAZHJz&#10;L2Rvd25yZXYueG1sUEsFBgAAAAAEAAQA9QAAAIsDAAAAAA==&#10;" path="m,l,300e" filled="f" strokeweight=".25pt">
                  <v:path arrowok="t" o:connecttype="custom" o:connectlocs="0,12446;0,12746" o:connectangles="0,0"/>
                </v:shape>
                <w10:wrap anchorx="page" anchory="page"/>
              </v:group>
            </w:pict>
          </mc:Fallback>
        </mc:AlternateContent>
      </w:r>
      <w:r w:rsidR="0071027C" w:rsidRPr="00C12E5C">
        <w:rPr>
          <w:rFonts w:ascii="Arial" w:hAnsi="Arial" w:cs="Arial"/>
          <w:sz w:val="22"/>
          <w:szCs w:val="22"/>
          <w:lang w:val="en-GB"/>
        </w:rPr>
        <w:t>Provide HIV testing and counselling in health facilities and through community-based outreach in line with national HTC guidelines.</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Provide ART to HIV infected prisoners.</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Screen and manage STIs.</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Provide information, education and communication for HIV prevention and care</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Screen for Hepatitis B and C and provide vaccination for Hepatitis B as appropriate.</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Screen for tuberculosis and manage accordingly.</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Link with complementary facility and community-based services for upon release from prison.</w:t>
      </w:r>
    </w:p>
    <w:p w:rsidR="0071027C" w:rsidRPr="00C12E5C"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C12E5C">
        <w:rPr>
          <w:rFonts w:ascii="Arial" w:hAnsi="Arial" w:cs="Arial"/>
          <w:sz w:val="22"/>
          <w:szCs w:val="22"/>
          <w:lang w:val="en-GB"/>
        </w:rPr>
        <w:t>Screen for sexual violence and provide post-exposure prophylaxis (PEP) along with other interventions for gender-based violence in line with national guidelines.</w:t>
      </w:r>
    </w:p>
    <w:p w:rsidR="0071027C" w:rsidRDefault="0071027C" w:rsidP="0071027C">
      <w:pPr>
        <w:pStyle w:val="Heading3"/>
      </w:pPr>
      <w:bookmarkStart w:id="212" w:name="_Toc374952308"/>
      <w:bookmarkStart w:id="213" w:name="_Toc378258137"/>
      <w:bookmarkStart w:id="214" w:name="_Toc382213999"/>
      <w:r w:rsidRPr="00C12E5C">
        <w:t>5.1.</w:t>
      </w:r>
      <w:r>
        <w:t>4</w:t>
      </w:r>
      <w:r w:rsidRPr="00C12E5C">
        <w:t xml:space="preserve"> Community HIV Prevention Interventions</w:t>
      </w:r>
      <w:bookmarkEnd w:id="212"/>
      <w:bookmarkEnd w:id="213"/>
      <w:bookmarkEnd w:id="214"/>
    </w:p>
    <w:p w:rsidR="0071027C" w:rsidRPr="00C12E5C" w:rsidRDefault="0071027C" w:rsidP="0071027C">
      <w:pPr>
        <w:spacing w:before="120" w:after="120" w:line="240" w:lineRule="auto"/>
        <w:jc w:val="both"/>
        <w:rPr>
          <w:rFonts w:ascii="Arial" w:hAnsi="Arial" w:cs="Arial"/>
        </w:rPr>
      </w:pPr>
      <w:r w:rsidRPr="00C12E5C">
        <w:rPr>
          <w:rFonts w:ascii="Arial" w:hAnsi="Arial" w:cs="Arial"/>
        </w:rPr>
        <w:t>Community involvement in HIV prevention includes community-based programs such as home-based care; community mobilization for participation in HIV related activities such as testing and counseling campaigns; PLHIV support organizations; community and local level interpretation and implementation of centrally managed structural reforms, and mass media campaigns to increase knowledge of HIV and change attitudes toward PLHIV.</w:t>
      </w:r>
    </w:p>
    <w:p w:rsidR="0071027C" w:rsidRPr="00C12E5C" w:rsidRDefault="0071027C" w:rsidP="0071027C">
      <w:pPr>
        <w:pStyle w:val="Heading4"/>
      </w:pPr>
      <w:r w:rsidRPr="00C12E5C">
        <w:t>5.1.</w:t>
      </w:r>
      <w:r>
        <w:t>4</w:t>
      </w:r>
      <w:r w:rsidRPr="00C12E5C">
        <w:t>.1. Identification of social needs and referral for community-based services</w:t>
      </w:r>
    </w:p>
    <w:p w:rsidR="0071027C" w:rsidRPr="004129ED" w:rsidRDefault="0071027C" w:rsidP="0071027C">
      <w:pPr>
        <w:spacing w:before="120" w:after="120" w:line="240" w:lineRule="auto"/>
        <w:jc w:val="both"/>
        <w:rPr>
          <w:rFonts w:ascii="Arial" w:hAnsi="Arial" w:cs="Arial"/>
        </w:rPr>
      </w:pPr>
      <w:r w:rsidRPr="004129ED">
        <w:rPr>
          <w:rFonts w:ascii="Arial" w:hAnsi="Arial" w:cs="Arial"/>
        </w:rPr>
        <w:t>Health care facilities should have a directory of supplementary services available in the catchment area to ease referral and allow informed choice. Health care providers find that a patient is in need of services outside the health care setting, s/he should make appropriate referrals for community support services. Among the services that may suit the need of PLHIV include legal and human right services, nutritional and economic support, PLHIV peer support group/club, and orphan and vulnerable children groups.</w:t>
      </w:r>
    </w:p>
    <w:p w:rsidR="0071027C" w:rsidRPr="00C12E5C" w:rsidRDefault="0071027C" w:rsidP="0071027C">
      <w:pPr>
        <w:pStyle w:val="Heading4"/>
      </w:pPr>
      <w:r w:rsidRPr="00C12E5C">
        <w:t>5.1.</w:t>
      </w:r>
      <w:r>
        <w:t>4</w:t>
      </w:r>
      <w:r w:rsidRPr="00C12E5C">
        <w:t>.2. Support PLHIV to Voluntarily Disclose Sero Status</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Support community mobilizers and counsellors to conduct couple HIV testing and counselling (CHTC) and/or voluntary mediated disclosure of HIV serostatus to primary partners during post-test counselling</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Enable peers to support disclosure of HIV positive serostatus to significant family members</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Support peers in NGOs and CBOs to create opportunities for PLHIV to develop skills in promoting voluntary disclosure of HIV serostatus to persons they choose</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Counsel PLHIV on optimal conditions necessary for disclosing their HIV status</w:t>
      </w:r>
    </w:p>
    <w:p w:rsidR="0071027C" w:rsidRPr="00C203F3" w:rsidRDefault="0071027C" w:rsidP="00AA771C">
      <w:pPr>
        <w:tabs>
          <w:tab w:val="left" w:pos="2540"/>
        </w:tabs>
        <w:spacing w:beforeLines="120" w:before="288" w:afterLines="120" w:after="288" w:line="288" w:lineRule="auto"/>
        <w:ind w:left="760" w:right="1999" w:hanging="400"/>
        <w:jc w:val="both"/>
        <w:rPr>
          <w:rFonts w:ascii="Arial Narrow" w:eastAsia="Times New Roman" w:hAnsi="Arial Narrow" w:cs="Times New Roman"/>
          <w:sz w:val="24"/>
          <w:szCs w:val="24"/>
        </w:rPr>
      </w:pPr>
    </w:p>
    <w:p w:rsidR="0071027C" w:rsidRPr="00C12E5C" w:rsidRDefault="00AA771C" w:rsidP="0071027C">
      <w:pPr>
        <w:pStyle w:val="Heading4"/>
      </w:pPr>
      <w:r>
        <w:rPr>
          <w:noProof/>
        </w:rPr>
        <mc:AlternateContent>
          <mc:Choice Requires="wpg">
            <w:drawing>
              <wp:anchor distT="0" distB="0" distL="114300" distR="114300" simplePos="0" relativeHeight="251684864" behindDoc="1" locked="0" layoutInCell="1" allowOverlap="1">
                <wp:simplePos x="0" y="0"/>
                <wp:positionH relativeFrom="page">
                  <wp:posOffset>5594985</wp:posOffset>
                </wp:positionH>
                <wp:positionV relativeFrom="page">
                  <wp:posOffset>7903210</wp:posOffset>
                </wp:positionV>
                <wp:extent cx="1270" cy="190500"/>
                <wp:effectExtent l="0" t="0" r="17780" b="19050"/>
                <wp:wrapNone/>
                <wp:docPr id="9213" name="Group 8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8811" y="12446"/>
                          <a:chExt cx="2" cy="300"/>
                        </a:xfrm>
                      </wpg:grpSpPr>
                      <wps:wsp>
                        <wps:cNvPr id="9214" name="Freeform 8879"/>
                        <wps:cNvSpPr>
                          <a:spLocks/>
                        </wps:cNvSpPr>
                        <wps:spPr bwMode="auto">
                          <a:xfrm>
                            <a:off x="8811" y="12446"/>
                            <a:ext cx="2" cy="300"/>
                          </a:xfrm>
                          <a:custGeom>
                            <a:avLst/>
                            <a:gdLst>
                              <a:gd name="T0" fmla="+- 0 12446 12446"/>
                              <a:gd name="T1" fmla="*/ 12446 h 300"/>
                              <a:gd name="T2" fmla="+- 0 12746 12446"/>
                              <a:gd name="T3" fmla="*/ 12746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78" o:spid="_x0000_s1026" style="position:absolute;margin-left:440.55pt;margin-top:622.3pt;width:.1pt;height:15pt;z-index:-251631616;mso-position-horizontal-relative:page;mso-position-vertical-relative:page" coordorigin="8811,12446"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">
                <v:shape id="Freeform 8879" o:spid="_x0000_s1027" style="position:absolute;left:8811;top:12446;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f7MQA&#10;AADdAAAADwAAAGRycy9kb3ducmV2LnhtbESPQYvCMBSE74L/ITxhL7KmyiJuNYosu+DBS63g9dE8&#10;m2LzUprY1n9vhAWPw8x8w2x2g61FR62vHCuYzxIQxIXTFZcKzvnf5wqED8gaa8ek4EEedtvxaIOp&#10;dj1n1J1CKSKEfYoKTAhNKqUvDFn0M9cQR+/qWoshyraUusU+wm0tF0mylBYrjgsGG/oxVNxOd6sg&#10;k8NxmpvG/nahv2TFKjle7zelPibDfg0i0BDe4f/2QSv4Xsy/4PUmP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3+zEAAAA3QAAAA8AAAAAAAAAAAAAAAAAmAIAAGRycy9k&#10;b3ducmV2LnhtbFBLBQYAAAAABAAEAPUAAACJAwAAAAA=&#10;" path="m,l,300e" filled="f" strokeweight=".25pt">
                  <v:path arrowok="t" o:connecttype="custom" o:connectlocs="0,12446;0,12746" o:connectangles="0,0"/>
                </v:shape>
                <w10:wrap anchorx="page" anchory="page"/>
              </v:group>
            </w:pict>
          </mc:Fallback>
        </mc:AlternateContent>
      </w:r>
      <w:r w:rsidR="0071027C" w:rsidRPr="00C12E5C">
        <w:t>5.1.</w:t>
      </w:r>
      <w:r w:rsidR="0071027C">
        <w:t>4</w:t>
      </w:r>
      <w:r w:rsidR="0071027C" w:rsidRPr="00C12E5C">
        <w:t>.3. Link Facility Based Services for PLHIV to Community Based Service</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Conduct Integrated Management of Adolescents and Adults Illness (IMAI) training to health care workers on how to identify training assistants, and then train them in supporting ART adherence and PHDP for PLHIV</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Train PLHIV on non-medical tasks at the CTC so as to lessen dependency of HIV care delivery on trained health care workers only</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Support PLHIV and peer educators  to become treatment assistants, prophylaxis adherence and treatment supporters</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Enable PLHIV to be advocates for PHDP in the community</w:t>
      </w:r>
    </w:p>
    <w:p w:rsidR="0071027C" w:rsidRPr="00C12E5C" w:rsidRDefault="0071027C" w:rsidP="0071027C">
      <w:pPr>
        <w:pStyle w:val="Heading4"/>
      </w:pPr>
      <w:r w:rsidRPr="00C12E5C">
        <w:t>5.1.</w:t>
      </w:r>
      <w:r>
        <w:t>4</w:t>
      </w:r>
      <w:r w:rsidRPr="00C12E5C">
        <w:t>.4 Prepare PLHIV as Treatment Assistants to Support Adherence</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Provide ART literacy and PHDP to PLHIV, peer educators and counsellors</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Empower PLHIV to publicly disclose and testify to raise awareness on how to manage and cope with HIV infection and treatment</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 xml:space="preserve">Support community outreach campaigns to fight HIV- related stigma and discrimination against PLHIV and key population. </w:t>
      </w:r>
    </w:p>
    <w:p w:rsidR="0071027C" w:rsidRPr="00C12E5C" w:rsidRDefault="0071027C" w:rsidP="0071027C">
      <w:pPr>
        <w:pStyle w:val="Heading4"/>
      </w:pPr>
      <w:r w:rsidRPr="00C12E5C">
        <w:t>5.1.</w:t>
      </w:r>
      <w:r>
        <w:t>4</w:t>
      </w:r>
      <w:r w:rsidRPr="00C12E5C">
        <w:t xml:space="preserve">.5 Promote Empowerment of People Living with HIV and </w:t>
      </w:r>
      <w:r>
        <w:t>t</w:t>
      </w:r>
      <w:r w:rsidRPr="00C12E5C">
        <w:t>heir Communities</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Support PLHIV and peers in developing skills in HIV and</w:t>
      </w:r>
      <w:r>
        <w:rPr>
          <w:rFonts w:ascii="Arial" w:hAnsi="Arial" w:cs="Arial"/>
          <w:sz w:val="22"/>
          <w:szCs w:val="22"/>
          <w:lang w:val="en-GB"/>
        </w:rPr>
        <w:t xml:space="preserve"> </w:t>
      </w:r>
      <w:r w:rsidRPr="004129ED">
        <w:rPr>
          <w:rFonts w:ascii="Arial" w:hAnsi="Arial" w:cs="Arial"/>
          <w:sz w:val="22"/>
          <w:szCs w:val="22"/>
          <w:lang w:val="en-GB"/>
        </w:rPr>
        <w:t>AIDS literacy using low literacy friendly methods.</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Develop skills of PLHIV in assessing safe spaces for discussions of safe sex options</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Create opportunities for PLHIV and peers to strengthen communication skills in negotiating for safer sex</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Enable PLHIV and peers to discuss actions to reduce individual, couple and community risk for HIV acquisition in community venues</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Support PLHIV and peers in identifying actions to reduce vulnerability to lifestyle illnesses like hypertension and diabetes</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Promote PLHIV understanding of health-related effects of alcohol consumption, tobacco use, regular exercise, good hygiene practice, use of safe water and consistent use of bed nets</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Empower PLHIV to develop and be trained in the use of an inventory of community-based services to meet their health, economic, social and psychological needs</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Create opportunities for  PLHIV, HBC and counsellors to train leaders and community members on PHDP, use of community services and how to refer people in need as  required</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Conduct prevention interventions aimed at HIV stigma reduction in the context of destigmatization of HIV in the community</w:t>
      </w:r>
    </w:p>
    <w:p w:rsidR="0071027C" w:rsidRPr="00C12E5C" w:rsidRDefault="0071027C" w:rsidP="0071027C">
      <w:pPr>
        <w:pStyle w:val="Heading4"/>
      </w:pPr>
      <w:r w:rsidRPr="00C12E5C">
        <w:t>5.1.</w:t>
      </w:r>
      <w:r>
        <w:t>4</w:t>
      </w:r>
      <w:r w:rsidRPr="00C12E5C">
        <w:t>.6 Strengthen Referral Systems to Ensure Access to Comprehensive Services and Support</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 xml:space="preserve">Support creation of community interventions to facilitate collaboration with health facilities to promote integration with health care interventions. </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 xml:space="preserve">Create ongoing linkages between the community and health facilities and districts that address how best to </w:t>
      </w:r>
      <w:r w:rsidR="00AA771C">
        <w:rPr>
          <w:rFonts w:ascii="Arial" w:hAnsi="Arial" w:cs="Arial"/>
          <w:noProof/>
          <w:sz w:val="22"/>
          <w:szCs w:val="22"/>
        </w:rPr>
        <mc:AlternateContent>
          <mc:Choice Requires="wpg">
            <w:drawing>
              <wp:anchor distT="0" distB="0" distL="114300" distR="114300" simplePos="0" relativeHeight="251686912" behindDoc="1" locked="0" layoutInCell="1" allowOverlap="1">
                <wp:simplePos x="0" y="0"/>
                <wp:positionH relativeFrom="page">
                  <wp:posOffset>0</wp:posOffset>
                </wp:positionH>
                <wp:positionV relativeFrom="page">
                  <wp:posOffset>266700</wp:posOffset>
                </wp:positionV>
                <wp:extent cx="190500" cy="1270"/>
                <wp:effectExtent l="0" t="0" r="19050" b="17780"/>
                <wp:wrapNone/>
                <wp:docPr id="9156" name="Group 8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0" y="420"/>
                          <a:chExt cx="300" cy="2"/>
                        </a:xfrm>
                      </wpg:grpSpPr>
                      <wps:wsp>
                        <wps:cNvPr id="9157" name="Freeform 8822"/>
                        <wps:cNvSpPr>
                          <a:spLocks/>
                        </wps:cNvSpPr>
                        <wps:spPr bwMode="auto">
                          <a:xfrm>
                            <a:off x="0" y="420"/>
                            <a:ext cx="300" cy="2"/>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21" o:spid="_x0000_s1026" style="position:absolute;margin-left:0;margin-top:21pt;width:15pt;height:.1pt;z-index:-251629568;mso-position-horizontal-relative:page;mso-position-vertical-relative:page" coordorigin=",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">
                <v:shape id="Freeform 8822" o:spid="_x0000_s1027" style="position:absolute;top:420;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P68YA&#10;AADdAAAADwAAAGRycy9kb3ducmV2LnhtbESPT2vCQBTE74LfYXmCt7qJtlWjq2ihNO1BqH/uj+wz&#10;CWbfht1V02/fLRQ8DjPzG2a57kwjbuR8bVlBOkpAEBdW11wqOB7en2YgfEDW2FgmBT/kYb3q95aY&#10;aXvnb7rtQykihH2GCqoQ2kxKX1Rk0I9sSxy9s3UGQ5SulNrhPcJNI8dJ8ioN1hwXKmzpraLisr8a&#10;BbsdO4fnyTj9MPPJ13T7fMo/c6WGg26zABGoC4/wfzvXCubpyx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P68YAAADdAAAADwAAAAAAAAAAAAAAAACYAgAAZHJz&#10;L2Rvd25yZXYueG1sUEsFBgAAAAAEAAQA9QAAAIsDAAAAAA==&#10;" path="m300,l,e" filled="f" strokeweight=".25pt">
                  <v:path arrowok="t" o:connecttype="custom" o:connectlocs="300,0;0,0" o:connectangles="0,0"/>
                </v:shape>
                <w10:wrap anchorx="page" anchory="page"/>
              </v:group>
            </w:pict>
          </mc:Fallback>
        </mc:AlternateContent>
      </w:r>
      <w:r w:rsidRPr="004129ED">
        <w:rPr>
          <w:rFonts w:ascii="Arial" w:hAnsi="Arial" w:cs="Arial"/>
          <w:sz w:val="22"/>
          <w:szCs w:val="22"/>
          <w:lang w:val="en-GB"/>
        </w:rPr>
        <w:t>collectively meet PLHIV prevention needs.</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Map health providers by types of services and their availability within their catchment areas and develop referral linkages with community services.</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Refer to PLHV support groups that have the capacity to address issues of HIV prevention and risk transmission reduction.</w:t>
      </w:r>
    </w:p>
    <w:p w:rsidR="0071027C" w:rsidRPr="004129ED"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4129ED">
        <w:rPr>
          <w:rFonts w:ascii="Arial" w:hAnsi="Arial" w:cs="Arial"/>
          <w:sz w:val="22"/>
          <w:szCs w:val="22"/>
          <w:lang w:val="en-GB"/>
        </w:rPr>
        <w:t>Support non-governmental and community based organisations to provide supplementary feeding for mild-to-moderately malnourished adults and therapeutic nutrition for severely malnourished PLHIV.</w:t>
      </w:r>
    </w:p>
    <w:p w:rsidR="0071027C" w:rsidRDefault="0071027C" w:rsidP="00AA771C">
      <w:pPr>
        <w:pStyle w:val="Heading2"/>
        <w:spacing w:beforeLines="120" w:before="288" w:afterLines="120" w:after="288" w:line="288" w:lineRule="auto"/>
      </w:pPr>
      <w:bookmarkStart w:id="215" w:name="_Toc382214000"/>
      <w:r>
        <w:t>5.1.5 Social Behaviour Change Communication (SBCC)</w:t>
      </w:r>
      <w:bookmarkEnd w:id="215"/>
    </w:p>
    <w:p w:rsidR="0071027C" w:rsidRPr="005A3B66" w:rsidRDefault="0071027C" w:rsidP="0071027C">
      <w:pPr>
        <w:jc w:val="both"/>
        <w:rPr>
          <w:rFonts w:ascii="Arial" w:hAnsi="Arial" w:cs="Arial"/>
        </w:rPr>
      </w:pPr>
      <w:r w:rsidRPr="005A3B66">
        <w:rPr>
          <w:rFonts w:ascii="Arial" w:hAnsi="Arial" w:cs="Arial"/>
        </w:rPr>
        <w:t>Social and behaviour change communication is the developmental practice of enabling individual and societal change through engaging with communities to determine what changes are necessary to address their specific challenges and identifying localized strategies to</w:t>
      </w:r>
      <w:r>
        <w:rPr>
          <w:rFonts w:ascii="Arial" w:hAnsi="Arial" w:cs="Arial"/>
        </w:rPr>
        <w:t xml:space="preserve"> facilitate the required change</w:t>
      </w:r>
      <w:r w:rsidRPr="005A3B66">
        <w:rPr>
          <w:rFonts w:ascii="Arial" w:hAnsi="Arial" w:cs="Arial"/>
          <w:vertAlign w:val="superscript"/>
        </w:rPr>
        <w:footnoteReference w:id="6"/>
      </w:r>
      <w:r w:rsidRPr="005A3B66">
        <w:rPr>
          <w:rFonts w:ascii="Arial" w:hAnsi="Arial" w:cs="Arial"/>
          <w:vertAlign w:val="superscript"/>
        </w:rPr>
        <w:t>.</w:t>
      </w:r>
    </w:p>
    <w:p w:rsidR="0071027C" w:rsidRPr="00CC3169" w:rsidRDefault="0071027C" w:rsidP="0071027C">
      <w:pPr>
        <w:jc w:val="both"/>
        <w:rPr>
          <w:rFonts w:ascii="Arial" w:hAnsi="Arial" w:cs="Arial"/>
        </w:rPr>
      </w:pPr>
      <w:bookmarkStart w:id="216" w:name="_Toc374952309"/>
      <w:bookmarkStart w:id="217" w:name="_Toc378258138"/>
      <w:r w:rsidRPr="00CC3169">
        <w:rPr>
          <w:rFonts w:ascii="Arial" w:hAnsi="Arial" w:cs="Arial"/>
        </w:rPr>
        <w:t xml:space="preserve">There are structural and behavioural drivers that contribute to the social environment in which individuals grow and live and variously constitute barriers to health and wellness.  Together these structural and behavioural drivers fuel the spread of the HIV/AIDS epidemic. </w:t>
      </w:r>
    </w:p>
    <w:tbl>
      <w:tblPr>
        <w:tblW w:w="0" w:type="auto"/>
        <w:tblLook w:val="00A0" w:firstRow="1" w:lastRow="0" w:firstColumn="1" w:lastColumn="0" w:noHBand="0" w:noVBand="0"/>
      </w:tblPr>
      <w:tblGrid>
        <w:gridCol w:w="4518"/>
        <w:gridCol w:w="4770"/>
      </w:tblGrid>
      <w:tr w:rsidR="0071027C" w:rsidRPr="00CC3169" w:rsidTr="00A87045">
        <w:tc>
          <w:tcPr>
            <w:tcW w:w="4518" w:type="dxa"/>
            <w:tcBorders>
              <w:bottom w:val="single" w:sz="4" w:space="0" w:color="auto"/>
            </w:tcBorders>
            <w:shd w:val="clear" w:color="auto" w:fill="000000" w:themeFill="text1"/>
          </w:tcPr>
          <w:p w:rsidR="0071027C" w:rsidRPr="00CC3169" w:rsidRDefault="0071027C" w:rsidP="0071027C">
            <w:pPr>
              <w:jc w:val="both"/>
              <w:rPr>
                <w:rFonts w:ascii="Arial" w:hAnsi="Arial" w:cs="Arial"/>
              </w:rPr>
            </w:pPr>
            <w:r w:rsidRPr="00CC3169">
              <w:rPr>
                <w:rFonts w:ascii="Arial" w:hAnsi="Arial" w:cs="Arial"/>
                <w:i/>
              </w:rPr>
              <w:t>Structural drivers</w:t>
            </w:r>
            <w:r w:rsidRPr="00CC3169">
              <w:rPr>
                <w:rFonts w:ascii="Arial" w:hAnsi="Arial" w:cs="Arial"/>
              </w:rPr>
              <w:t xml:space="preserve"> include:</w:t>
            </w:r>
          </w:p>
        </w:tc>
        <w:tc>
          <w:tcPr>
            <w:tcW w:w="4770" w:type="dxa"/>
            <w:tcBorders>
              <w:bottom w:val="single" w:sz="4" w:space="0" w:color="auto"/>
            </w:tcBorders>
            <w:shd w:val="clear" w:color="auto" w:fill="000000" w:themeFill="text1"/>
          </w:tcPr>
          <w:p w:rsidR="0071027C" w:rsidRPr="00CC3169" w:rsidRDefault="0071027C" w:rsidP="0071027C">
            <w:pPr>
              <w:jc w:val="both"/>
              <w:rPr>
                <w:rFonts w:ascii="Arial" w:hAnsi="Arial" w:cs="Arial"/>
              </w:rPr>
            </w:pPr>
            <w:r w:rsidRPr="00CC3169">
              <w:rPr>
                <w:rFonts w:ascii="Arial" w:hAnsi="Arial" w:cs="Arial"/>
                <w:i/>
              </w:rPr>
              <w:t>Behavioural drivers</w:t>
            </w:r>
            <w:r w:rsidRPr="00CC3169">
              <w:rPr>
                <w:rFonts w:ascii="Arial" w:hAnsi="Arial" w:cs="Arial"/>
              </w:rPr>
              <w:t xml:space="preserve"> include:</w:t>
            </w:r>
          </w:p>
        </w:tc>
      </w:tr>
      <w:tr w:rsidR="0071027C" w:rsidRPr="00CC3169" w:rsidTr="00A87045">
        <w:tc>
          <w:tcPr>
            <w:tcW w:w="4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027C" w:rsidRPr="00A87045" w:rsidRDefault="0071027C" w:rsidP="0071027C">
            <w:pPr>
              <w:jc w:val="both"/>
              <w:rPr>
                <w:rFonts w:ascii="Arial" w:hAnsi="Arial" w:cs="Arial"/>
              </w:rPr>
            </w:pPr>
            <w:r w:rsidRPr="00A87045">
              <w:rPr>
                <w:rFonts w:ascii="Arial" w:hAnsi="Arial" w:cs="Arial"/>
              </w:rPr>
              <w:t>Migration and mobility</w:t>
            </w:r>
          </w:p>
        </w:tc>
        <w:tc>
          <w:tcPr>
            <w:tcW w:w="47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027C" w:rsidRPr="00A87045" w:rsidRDefault="0071027C" w:rsidP="0071027C">
            <w:pPr>
              <w:jc w:val="both"/>
              <w:rPr>
                <w:rFonts w:ascii="Arial" w:hAnsi="Arial" w:cs="Arial"/>
              </w:rPr>
            </w:pPr>
            <w:r w:rsidRPr="00A87045">
              <w:rPr>
                <w:rFonts w:ascii="Arial" w:hAnsi="Arial" w:cs="Arial"/>
              </w:rPr>
              <w:t>Stigma, discrimination, and lack of open communication around HIV and sex</w:t>
            </w:r>
          </w:p>
        </w:tc>
      </w:tr>
      <w:tr w:rsidR="0071027C" w:rsidRPr="00CC3169" w:rsidTr="00A87045">
        <w:tc>
          <w:tcPr>
            <w:tcW w:w="4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027C" w:rsidRPr="00A87045" w:rsidRDefault="0071027C" w:rsidP="0071027C">
            <w:pPr>
              <w:jc w:val="both"/>
              <w:rPr>
                <w:rFonts w:ascii="Arial" w:hAnsi="Arial" w:cs="Arial"/>
              </w:rPr>
            </w:pPr>
            <w:r w:rsidRPr="00A87045">
              <w:rPr>
                <w:rFonts w:ascii="Arial" w:hAnsi="Arial" w:cs="Arial"/>
              </w:rPr>
              <w:t>Disempowerment through poverty</w:t>
            </w:r>
          </w:p>
        </w:tc>
        <w:tc>
          <w:tcPr>
            <w:tcW w:w="47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027C" w:rsidRPr="00A87045" w:rsidRDefault="0071027C" w:rsidP="0071027C">
            <w:pPr>
              <w:jc w:val="both"/>
              <w:rPr>
                <w:rFonts w:ascii="Arial" w:hAnsi="Arial" w:cs="Arial"/>
              </w:rPr>
            </w:pPr>
            <w:r w:rsidRPr="00A87045">
              <w:rPr>
                <w:rFonts w:ascii="Arial" w:hAnsi="Arial" w:cs="Arial"/>
              </w:rPr>
              <w:t>Multiple concurrent sexual partnerships</w:t>
            </w:r>
          </w:p>
        </w:tc>
      </w:tr>
      <w:tr w:rsidR="0071027C" w:rsidRPr="00CC3169" w:rsidTr="00A87045">
        <w:tc>
          <w:tcPr>
            <w:tcW w:w="4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027C" w:rsidRPr="00A87045" w:rsidRDefault="0071027C" w:rsidP="0071027C">
            <w:pPr>
              <w:jc w:val="both"/>
              <w:rPr>
                <w:rFonts w:ascii="Arial" w:hAnsi="Arial" w:cs="Arial"/>
              </w:rPr>
            </w:pPr>
            <w:r w:rsidRPr="00A87045">
              <w:rPr>
                <w:rFonts w:ascii="Arial" w:hAnsi="Arial" w:cs="Arial"/>
              </w:rPr>
              <w:t>Unemployment and economic inequality</w:t>
            </w:r>
          </w:p>
        </w:tc>
        <w:tc>
          <w:tcPr>
            <w:tcW w:w="47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027C" w:rsidRPr="00A87045" w:rsidRDefault="0071027C" w:rsidP="0071027C">
            <w:pPr>
              <w:jc w:val="both"/>
              <w:rPr>
                <w:rFonts w:ascii="Arial" w:hAnsi="Arial" w:cs="Arial"/>
              </w:rPr>
            </w:pPr>
            <w:r w:rsidRPr="00A87045">
              <w:rPr>
                <w:rFonts w:ascii="Arial" w:hAnsi="Arial" w:cs="Arial"/>
              </w:rPr>
              <w:t>Low and inconsistent condom use</w:t>
            </w:r>
          </w:p>
        </w:tc>
      </w:tr>
      <w:tr w:rsidR="0071027C" w:rsidRPr="00CC3169" w:rsidTr="00A87045">
        <w:tc>
          <w:tcPr>
            <w:tcW w:w="4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027C" w:rsidRPr="00A87045" w:rsidRDefault="0071027C" w:rsidP="0071027C">
            <w:pPr>
              <w:jc w:val="both"/>
              <w:rPr>
                <w:rFonts w:ascii="Arial" w:hAnsi="Arial" w:cs="Arial"/>
              </w:rPr>
            </w:pPr>
            <w:r w:rsidRPr="00A87045">
              <w:rPr>
                <w:rFonts w:ascii="Arial" w:hAnsi="Arial" w:cs="Arial"/>
              </w:rPr>
              <w:t>Gender inequality</w:t>
            </w:r>
          </w:p>
        </w:tc>
        <w:tc>
          <w:tcPr>
            <w:tcW w:w="47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027C" w:rsidRPr="00A87045" w:rsidRDefault="0071027C" w:rsidP="0071027C">
            <w:pPr>
              <w:jc w:val="both"/>
              <w:rPr>
                <w:rFonts w:ascii="Arial" w:hAnsi="Arial" w:cs="Arial"/>
              </w:rPr>
            </w:pPr>
            <w:r w:rsidRPr="00A87045">
              <w:rPr>
                <w:rFonts w:ascii="Arial" w:hAnsi="Arial" w:cs="Arial"/>
              </w:rPr>
              <w:t>Intergenerational and transactional sex</w:t>
            </w:r>
          </w:p>
        </w:tc>
      </w:tr>
      <w:tr w:rsidR="0071027C" w:rsidRPr="00CC3169" w:rsidTr="00A87045">
        <w:tc>
          <w:tcPr>
            <w:tcW w:w="4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027C" w:rsidRPr="00A87045" w:rsidRDefault="0071027C" w:rsidP="0071027C">
            <w:pPr>
              <w:jc w:val="both"/>
              <w:rPr>
                <w:rFonts w:ascii="Arial" w:hAnsi="Arial" w:cs="Arial"/>
              </w:rPr>
            </w:pPr>
            <w:r w:rsidRPr="00A87045">
              <w:rPr>
                <w:rFonts w:ascii="Arial" w:hAnsi="Arial" w:cs="Arial"/>
              </w:rPr>
              <w:t>Social and cultural norms</w:t>
            </w:r>
          </w:p>
        </w:tc>
        <w:tc>
          <w:tcPr>
            <w:tcW w:w="47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027C" w:rsidRPr="00A87045" w:rsidRDefault="0071027C" w:rsidP="0071027C">
            <w:pPr>
              <w:jc w:val="both"/>
              <w:rPr>
                <w:rFonts w:ascii="Arial" w:hAnsi="Arial" w:cs="Arial"/>
              </w:rPr>
            </w:pPr>
            <w:r w:rsidRPr="00A87045">
              <w:rPr>
                <w:rFonts w:ascii="Arial" w:hAnsi="Arial" w:cs="Arial"/>
              </w:rPr>
              <w:t>Gender based violence</w:t>
            </w:r>
          </w:p>
        </w:tc>
      </w:tr>
      <w:tr w:rsidR="0071027C" w:rsidRPr="00CC3169" w:rsidTr="00A87045">
        <w:tc>
          <w:tcPr>
            <w:tcW w:w="4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027C" w:rsidRPr="00A87045" w:rsidRDefault="0071027C" w:rsidP="0071027C">
            <w:pPr>
              <w:jc w:val="both"/>
              <w:rPr>
                <w:rFonts w:ascii="Arial" w:hAnsi="Arial" w:cs="Arial"/>
              </w:rPr>
            </w:pPr>
            <w:r w:rsidRPr="00A87045">
              <w:rPr>
                <w:rFonts w:ascii="Arial" w:hAnsi="Arial" w:cs="Arial"/>
              </w:rPr>
              <w:t>Weak policies, laws and law enforcement</w:t>
            </w:r>
          </w:p>
        </w:tc>
        <w:tc>
          <w:tcPr>
            <w:tcW w:w="47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027C" w:rsidRPr="00A87045" w:rsidRDefault="0071027C" w:rsidP="0071027C">
            <w:pPr>
              <w:jc w:val="both"/>
              <w:rPr>
                <w:rFonts w:ascii="Arial" w:hAnsi="Arial" w:cs="Arial"/>
              </w:rPr>
            </w:pPr>
            <w:r w:rsidRPr="00A87045">
              <w:rPr>
                <w:rFonts w:ascii="Arial" w:hAnsi="Arial" w:cs="Arial"/>
              </w:rPr>
              <w:t>Alcohol and drug abuse</w:t>
            </w:r>
          </w:p>
        </w:tc>
      </w:tr>
      <w:tr w:rsidR="0071027C" w:rsidRPr="00CC3169" w:rsidTr="00A87045">
        <w:tc>
          <w:tcPr>
            <w:tcW w:w="4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027C" w:rsidRPr="00A87045" w:rsidRDefault="0071027C" w:rsidP="0071027C">
            <w:pPr>
              <w:jc w:val="both"/>
              <w:rPr>
                <w:rFonts w:ascii="Arial" w:hAnsi="Arial" w:cs="Arial"/>
              </w:rPr>
            </w:pPr>
            <w:r w:rsidRPr="00A87045">
              <w:rPr>
                <w:rFonts w:ascii="Arial" w:hAnsi="Arial" w:cs="Arial"/>
              </w:rPr>
              <w:t>Barriers to accessing prevention and other services</w:t>
            </w:r>
          </w:p>
        </w:tc>
        <w:tc>
          <w:tcPr>
            <w:tcW w:w="47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027C" w:rsidRPr="00A87045" w:rsidRDefault="0071027C" w:rsidP="0071027C">
            <w:pPr>
              <w:jc w:val="both"/>
              <w:rPr>
                <w:rFonts w:ascii="Arial" w:hAnsi="Arial" w:cs="Arial"/>
              </w:rPr>
            </w:pPr>
          </w:p>
        </w:tc>
      </w:tr>
      <w:tr w:rsidR="0071027C" w:rsidRPr="00CC3169" w:rsidTr="00A87045">
        <w:tc>
          <w:tcPr>
            <w:tcW w:w="4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027C" w:rsidRPr="00A87045" w:rsidRDefault="0071027C" w:rsidP="0071027C">
            <w:pPr>
              <w:jc w:val="both"/>
              <w:rPr>
                <w:rFonts w:ascii="Arial" w:hAnsi="Arial" w:cs="Arial"/>
              </w:rPr>
            </w:pPr>
            <w:r w:rsidRPr="00A87045">
              <w:rPr>
                <w:rFonts w:ascii="Arial" w:hAnsi="Arial" w:cs="Arial"/>
              </w:rPr>
              <w:t>An absence of services</w:t>
            </w:r>
          </w:p>
        </w:tc>
        <w:tc>
          <w:tcPr>
            <w:tcW w:w="47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027C" w:rsidRPr="00A87045" w:rsidRDefault="0071027C" w:rsidP="0071027C">
            <w:pPr>
              <w:jc w:val="both"/>
              <w:rPr>
                <w:rFonts w:ascii="Arial" w:hAnsi="Arial" w:cs="Arial"/>
              </w:rPr>
            </w:pPr>
          </w:p>
        </w:tc>
      </w:tr>
    </w:tbl>
    <w:p w:rsidR="0071027C" w:rsidRPr="00CC3169" w:rsidRDefault="0071027C" w:rsidP="0071027C">
      <w:pPr>
        <w:jc w:val="both"/>
        <w:rPr>
          <w:rFonts w:ascii="Arial" w:hAnsi="Arial" w:cs="Arial"/>
        </w:rPr>
      </w:pPr>
      <w:r w:rsidRPr="00CC3169">
        <w:rPr>
          <w:rFonts w:ascii="Arial" w:hAnsi="Arial" w:cs="Arial"/>
        </w:rPr>
        <w:t xml:space="preserve">Source: Adapted from </w:t>
      </w:r>
      <w:r w:rsidRPr="00CC3169">
        <w:rPr>
          <w:rFonts w:ascii="Arial" w:hAnsi="Arial" w:cs="Arial"/>
          <w:i/>
        </w:rPr>
        <w:t>Situation and Response Analysis Report on SBCC for HIV and `AIDS, TB and STIs in SADC Member States.</w:t>
      </w:r>
      <w:r w:rsidRPr="00CC3169">
        <w:rPr>
          <w:rFonts w:ascii="Arial" w:hAnsi="Arial" w:cs="Arial"/>
        </w:rPr>
        <w:t xml:space="preserve"> Coxswain Social Investment Plus. Unpublished.</w:t>
      </w:r>
    </w:p>
    <w:p w:rsidR="0071027C" w:rsidRPr="004C3FB9" w:rsidRDefault="0071027C" w:rsidP="0071027C">
      <w:pPr>
        <w:spacing w:before="120" w:after="120" w:line="240" w:lineRule="auto"/>
        <w:jc w:val="both"/>
        <w:rPr>
          <w:rFonts w:ascii="Arial" w:hAnsi="Arial" w:cs="Arial"/>
        </w:rPr>
      </w:pPr>
      <w:r w:rsidRPr="004C3FB9">
        <w:rPr>
          <w:rFonts w:ascii="Arial" w:hAnsi="Arial" w:cs="Arial"/>
        </w:rPr>
        <w:t>Behaviour change may be triggered by various questions an individual may have in relation to their knowledge of HIV and HIV prevention.  Such questions are:</w:t>
      </w:r>
    </w:p>
    <w:p w:rsidR="0071027C" w:rsidRPr="004C3FB9" w:rsidRDefault="0071027C" w:rsidP="00274941">
      <w:pPr>
        <w:widowControl/>
        <w:numPr>
          <w:ilvl w:val="0"/>
          <w:numId w:val="39"/>
        </w:numPr>
        <w:spacing w:before="120" w:after="120" w:line="240" w:lineRule="auto"/>
        <w:contextualSpacing/>
        <w:jc w:val="both"/>
        <w:rPr>
          <w:rFonts w:ascii="Arial" w:hAnsi="Arial" w:cs="Arial"/>
        </w:rPr>
      </w:pPr>
      <w:r w:rsidRPr="004C3FB9">
        <w:rPr>
          <w:rFonts w:ascii="Arial" w:hAnsi="Arial" w:cs="Arial"/>
        </w:rPr>
        <w:t>How likely is it that I will catch HIV?</w:t>
      </w:r>
    </w:p>
    <w:p w:rsidR="0071027C" w:rsidRPr="004C3FB9" w:rsidRDefault="0071027C" w:rsidP="00274941">
      <w:pPr>
        <w:widowControl/>
        <w:numPr>
          <w:ilvl w:val="0"/>
          <w:numId w:val="39"/>
        </w:numPr>
        <w:spacing w:before="120" w:after="120" w:line="240" w:lineRule="auto"/>
        <w:contextualSpacing/>
        <w:jc w:val="both"/>
        <w:rPr>
          <w:rFonts w:ascii="Arial" w:hAnsi="Arial" w:cs="Arial"/>
        </w:rPr>
      </w:pPr>
      <w:r w:rsidRPr="004C3FB9">
        <w:rPr>
          <w:rFonts w:ascii="Arial" w:hAnsi="Arial" w:cs="Arial"/>
        </w:rPr>
        <w:t>How serious is HIV?</w:t>
      </w:r>
    </w:p>
    <w:p w:rsidR="0071027C" w:rsidRPr="004C3FB9" w:rsidRDefault="0071027C" w:rsidP="00274941">
      <w:pPr>
        <w:widowControl/>
        <w:numPr>
          <w:ilvl w:val="0"/>
          <w:numId w:val="39"/>
        </w:numPr>
        <w:spacing w:before="120" w:after="120" w:line="240" w:lineRule="auto"/>
        <w:contextualSpacing/>
        <w:jc w:val="both"/>
        <w:rPr>
          <w:rFonts w:ascii="Arial" w:hAnsi="Arial" w:cs="Arial"/>
        </w:rPr>
      </w:pPr>
      <w:r w:rsidRPr="004C3FB9">
        <w:rPr>
          <w:rFonts w:ascii="Arial" w:hAnsi="Arial" w:cs="Arial"/>
        </w:rPr>
        <w:t xml:space="preserve">How effective is the suggested action (eg practicing safe sex) in preventing infection? </w:t>
      </w:r>
    </w:p>
    <w:p w:rsidR="0071027C" w:rsidRDefault="0071027C" w:rsidP="00274941">
      <w:pPr>
        <w:widowControl/>
        <w:numPr>
          <w:ilvl w:val="0"/>
          <w:numId w:val="39"/>
        </w:numPr>
        <w:spacing w:before="120" w:after="120" w:line="240" w:lineRule="auto"/>
        <w:contextualSpacing/>
        <w:jc w:val="both"/>
        <w:rPr>
          <w:rFonts w:ascii="Arial" w:hAnsi="Arial" w:cs="Arial"/>
        </w:rPr>
      </w:pPr>
      <w:r w:rsidRPr="004C3FB9">
        <w:rPr>
          <w:rFonts w:ascii="Arial" w:hAnsi="Arial" w:cs="Arial"/>
        </w:rPr>
        <w:t>What barriers do I have to overcome to take preventive action?</w:t>
      </w:r>
    </w:p>
    <w:p w:rsidR="0071027C" w:rsidRPr="004C3FB9" w:rsidRDefault="0071027C" w:rsidP="0071027C">
      <w:pPr>
        <w:widowControl/>
        <w:spacing w:before="120" w:after="120" w:line="240" w:lineRule="auto"/>
        <w:ind w:left="720"/>
        <w:contextualSpacing/>
        <w:jc w:val="both"/>
        <w:rPr>
          <w:rFonts w:ascii="Arial" w:hAnsi="Arial" w:cs="Arial"/>
        </w:rPr>
      </w:pPr>
    </w:p>
    <w:p w:rsidR="0071027C" w:rsidRPr="004C3FB9" w:rsidRDefault="0071027C" w:rsidP="0071027C">
      <w:pPr>
        <w:spacing w:before="120" w:after="120" w:line="240" w:lineRule="auto"/>
        <w:jc w:val="both"/>
        <w:rPr>
          <w:rFonts w:ascii="Arial" w:hAnsi="Arial" w:cs="Arial"/>
        </w:rPr>
      </w:pPr>
      <w:r w:rsidRPr="004C3FB9">
        <w:rPr>
          <w:rFonts w:ascii="Arial" w:hAnsi="Arial" w:cs="Arial"/>
        </w:rPr>
        <w:t>Where an individual places themselves in relation to these triggers will determine their readiness to change their behaviour.  The structural and behavioural drivers identified above have a strong influence on whether or not an individual is able to take preventive action. Hence the importance for SBCC of addressing structural issues, for example, gender and economic inequality, as well as inter-personal behaviours since it is often these factors that constitute the biggest barriers to behaviour change</w:t>
      </w:r>
      <w:r>
        <w:rPr>
          <w:rStyle w:val="FootnoteReference"/>
          <w:rFonts w:ascii="Arial" w:hAnsi="Arial" w:cs="Arial"/>
        </w:rPr>
        <w:footnoteReference w:id="7"/>
      </w:r>
      <w:r w:rsidRPr="004C3FB9">
        <w:rPr>
          <w:rFonts w:ascii="Arial" w:hAnsi="Arial" w:cs="Arial"/>
        </w:rPr>
        <w:t>.</w:t>
      </w:r>
      <w:r>
        <w:rPr>
          <w:rFonts w:ascii="Arial" w:hAnsi="Arial" w:cs="Arial"/>
        </w:rPr>
        <w:t xml:space="preserve"> </w:t>
      </w:r>
    </w:p>
    <w:p w:rsidR="0071027C" w:rsidRDefault="0071027C" w:rsidP="0071027C">
      <w:pPr>
        <w:spacing w:before="120" w:after="120" w:line="240" w:lineRule="auto"/>
        <w:jc w:val="both"/>
        <w:rPr>
          <w:rFonts w:ascii="Arial" w:hAnsi="Arial" w:cs="Arial"/>
        </w:rPr>
        <w:sectPr w:rsidR="0071027C" w:rsidSect="0071027C">
          <w:pgSz w:w="12240" w:h="15840"/>
          <w:pgMar w:top="1440" w:right="1440" w:bottom="1440" w:left="1440" w:header="720" w:footer="720" w:gutter="0"/>
          <w:cols w:space="720"/>
          <w:docGrid w:linePitch="360"/>
        </w:sectPr>
      </w:pPr>
    </w:p>
    <w:p w:rsidR="0071027C" w:rsidRPr="0028111A" w:rsidRDefault="0071027C" w:rsidP="0071027C">
      <w:pPr>
        <w:spacing w:before="120" w:after="120" w:line="240" w:lineRule="auto"/>
        <w:jc w:val="both"/>
        <w:rPr>
          <w:rFonts w:ascii="Arial" w:hAnsi="Arial" w:cs="Arial"/>
        </w:rPr>
      </w:pPr>
      <w:r w:rsidRPr="0028111A">
        <w:rPr>
          <w:rFonts w:ascii="Arial" w:hAnsi="Arial" w:cs="Arial"/>
        </w:rPr>
        <w:t xml:space="preserve">Communication is an essential element of AIDS prevention, treatment and care efforts. </w:t>
      </w:r>
      <w:r>
        <w:rPr>
          <w:rFonts w:ascii="Arial" w:hAnsi="Arial" w:cs="Arial"/>
        </w:rPr>
        <w:t>It</w:t>
      </w:r>
      <w:r w:rsidRPr="0028111A">
        <w:rPr>
          <w:rFonts w:ascii="Arial" w:hAnsi="Arial" w:cs="Arial"/>
        </w:rPr>
        <w:t xml:space="preserve"> is defined as </w:t>
      </w:r>
      <w:r w:rsidRPr="0028111A">
        <w:rPr>
          <w:rFonts w:ascii="Arial" w:hAnsi="Arial" w:cs="Arial"/>
          <w:i/>
        </w:rPr>
        <w:t xml:space="preserve">‘the exchange of information, ideas or feelings’ </w:t>
      </w:r>
      <w:r w:rsidRPr="0028111A">
        <w:rPr>
          <w:rFonts w:ascii="Arial" w:hAnsi="Arial" w:cs="Arial"/>
        </w:rPr>
        <w:t>(Collins Dictionary of the English Language)</w:t>
      </w:r>
      <w:r>
        <w:rPr>
          <w:rFonts w:ascii="Arial" w:hAnsi="Arial" w:cs="Arial"/>
        </w:rPr>
        <w:t>. Communication is the</w:t>
      </w:r>
      <w:r w:rsidRPr="0028111A">
        <w:rPr>
          <w:rFonts w:ascii="Arial" w:hAnsi="Arial" w:cs="Arial"/>
        </w:rPr>
        <w:t xml:space="preserve"> core</w:t>
      </w:r>
      <w:r>
        <w:rPr>
          <w:rFonts w:ascii="Arial" w:hAnsi="Arial" w:cs="Arial"/>
        </w:rPr>
        <w:t xml:space="preserve"> components</w:t>
      </w:r>
      <w:r w:rsidRPr="0028111A">
        <w:rPr>
          <w:rFonts w:ascii="Arial" w:hAnsi="Arial" w:cs="Arial"/>
        </w:rPr>
        <w:t xml:space="preserve"> of SBCC</w:t>
      </w:r>
      <w:r>
        <w:rPr>
          <w:rFonts w:ascii="Arial" w:hAnsi="Arial" w:cs="Arial"/>
        </w:rPr>
        <w:t xml:space="preserve"> that enables </w:t>
      </w:r>
      <w:r w:rsidRPr="0028111A">
        <w:rPr>
          <w:rFonts w:ascii="Arial" w:hAnsi="Arial" w:cs="Arial"/>
        </w:rPr>
        <w:t xml:space="preserve">interactive process of engagement </w:t>
      </w:r>
      <w:r>
        <w:rPr>
          <w:rFonts w:ascii="Arial" w:hAnsi="Arial" w:cs="Arial"/>
        </w:rPr>
        <w:t>between</w:t>
      </w:r>
      <w:r w:rsidRPr="0028111A">
        <w:rPr>
          <w:rFonts w:ascii="Arial" w:hAnsi="Arial" w:cs="Arial"/>
        </w:rPr>
        <w:t xml:space="preserve"> SBCC practitioners and communities. </w:t>
      </w:r>
      <w:r>
        <w:rPr>
          <w:rFonts w:ascii="Arial" w:hAnsi="Arial" w:cs="Arial"/>
        </w:rPr>
        <w:t xml:space="preserve">This </w:t>
      </w:r>
      <w:r w:rsidRPr="0028111A">
        <w:rPr>
          <w:rFonts w:ascii="Arial" w:hAnsi="Arial" w:cs="Arial"/>
        </w:rPr>
        <w:t xml:space="preserve">engagement </w:t>
      </w:r>
      <w:r>
        <w:rPr>
          <w:rFonts w:ascii="Arial" w:hAnsi="Arial" w:cs="Arial"/>
        </w:rPr>
        <w:t xml:space="preserve">is aimed at empowering communities </w:t>
      </w:r>
      <w:r w:rsidRPr="0028111A">
        <w:rPr>
          <w:rFonts w:ascii="Arial" w:hAnsi="Arial" w:cs="Arial"/>
        </w:rPr>
        <w:t>to change their behaviour</w:t>
      </w:r>
      <w:r>
        <w:rPr>
          <w:rFonts w:ascii="Arial" w:hAnsi="Arial" w:cs="Arial"/>
        </w:rPr>
        <w:t>s</w:t>
      </w:r>
      <w:r w:rsidRPr="0028111A">
        <w:rPr>
          <w:rFonts w:ascii="Arial" w:hAnsi="Arial" w:cs="Arial"/>
        </w:rPr>
        <w:t xml:space="preserve">. </w:t>
      </w:r>
    </w:p>
    <w:p w:rsidR="0071027C" w:rsidRPr="0028111A" w:rsidRDefault="0071027C" w:rsidP="0071027C">
      <w:pPr>
        <w:spacing w:before="120" w:after="120" w:line="240" w:lineRule="auto"/>
        <w:jc w:val="both"/>
        <w:rPr>
          <w:rFonts w:ascii="Arial" w:hAnsi="Arial" w:cs="Arial"/>
        </w:rPr>
      </w:pPr>
      <w:r w:rsidRPr="0028111A">
        <w:rPr>
          <w:rFonts w:ascii="Arial" w:hAnsi="Arial" w:cs="Arial"/>
        </w:rPr>
        <w:t xml:space="preserve">SBCC interventions usually comprise a combination of advocacy, communication and social mobilization: </w:t>
      </w:r>
    </w:p>
    <w:p w:rsidR="0071027C" w:rsidRPr="0028111A" w:rsidRDefault="0071027C" w:rsidP="00274941">
      <w:pPr>
        <w:pStyle w:val="ListParagraph"/>
        <w:numPr>
          <w:ilvl w:val="0"/>
          <w:numId w:val="38"/>
        </w:numPr>
        <w:spacing w:before="120" w:after="120"/>
        <w:jc w:val="both"/>
        <w:rPr>
          <w:rFonts w:ascii="Arial" w:hAnsi="Arial" w:cs="Arial"/>
          <w:sz w:val="22"/>
          <w:szCs w:val="22"/>
        </w:rPr>
      </w:pPr>
      <w:r w:rsidRPr="0028111A">
        <w:rPr>
          <w:rFonts w:ascii="Arial" w:hAnsi="Arial" w:cs="Arial"/>
          <w:b/>
          <w:sz w:val="22"/>
          <w:szCs w:val="22"/>
        </w:rPr>
        <w:t>Advocacy</w:t>
      </w:r>
      <w:r w:rsidRPr="0028111A">
        <w:rPr>
          <w:rFonts w:ascii="Arial" w:hAnsi="Arial" w:cs="Arial"/>
          <w:sz w:val="22"/>
          <w:szCs w:val="22"/>
        </w:rPr>
        <w:t xml:space="preserve"> attempts to influence leaders at all levels from community right up to national and sometimes regional and international level to promote enabling legislation and remove barriers to change.</w:t>
      </w:r>
    </w:p>
    <w:p w:rsidR="0071027C" w:rsidRPr="0028111A" w:rsidRDefault="0071027C" w:rsidP="00274941">
      <w:pPr>
        <w:pStyle w:val="ListParagraph"/>
        <w:numPr>
          <w:ilvl w:val="0"/>
          <w:numId w:val="38"/>
        </w:numPr>
        <w:spacing w:before="120" w:after="120"/>
        <w:jc w:val="both"/>
        <w:rPr>
          <w:rFonts w:ascii="Arial" w:hAnsi="Arial" w:cs="Arial"/>
          <w:sz w:val="22"/>
          <w:szCs w:val="22"/>
        </w:rPr>
      </w:pPr>
      <w:r w:rsidRPr="0028111A">
        <w:rPr>
          <w:rFonts w:ascii="Arial" w:hAnsi="Arial" w:cs="Arial"/>
          <w:b/>
          <w:sz w:val="22"/>
          <w:szCs w:val="22"/>
        </w:rPr>
        <w:t xml:space="preserve">Communication </w:t>
      </w:r>
      <w:r w:rsidRPr="0028111A">
        <w:rPr>
          <w:rFonts w:ascii="Arial" w:hAnsi="Arial" w:cs="Arial"/>
          <w:sz w:val="22"/>
          <w:szCs w:val="22"/>
        </w:rPr>
        <w:t>to enable and promote behaviour change that often uses multiple channels including TV, radio, print, drama, peer education, story tellingetc.</w:t>
      </w:r>
    </w:p>
    <w:p w:rsidR="0071027C" w:rsidRPr="0028111A" w:rsidRDefault="0071027C" w:rsidP="00274941">
      <w:pPr>
        <w:pStyle w:val="ListParagraph"/>
        <w:numPr>
          <w:ilvl w:val="0"/>
          <w:numId w:val="38"/>
        </w:numPr>
        <w:spacing w:before="120" w:after="120"/>
        <w:jc w:val="both"/>
        <w:rPr>
          <w:rFonts w:ascii="Arial" w:hAnsi="Arial" w:cs="Arial"/>
          <w:sz w:val="22"/>
          <w:szCs w:val="22"/>
        </w:rPr>
      </w:pPr>
      <w:r w:rsidRPr="0028111A">
        <w:rPr>
          <w:rFonts w:ascii="Arial" w:hAnsi="Arial" w:cs="Arial"/>
          <w:b/>
          <w:sz w:val="22"/>
          <w:szCs w:val="22"/>
        </w:rPr>
        <w:t xml:space="preserve">Social Mobilisation </w:t>
      </w:r>
      <w:r w:rsidRPr="0028111A">
        <w:rPr>
          <w:rFonts w:ascii="Arial" w:hAnsi="Arial" w:cs="Arial"/>
          <w:sz w:val="22"/>
          <w:szCs w:val="22"/>
        </w:rPr>
        <w:t>with individuals, groups and communities to encourage groundswell support to address barriers to change.</w:t>
      </w:r>
    </w:p>
    <w:p w:rsidR="0071027C" w:rsidRPr="0028111A" w:rsidRDefault="0071027C" w:rsidP="0071027C"/>
    <w:p w:rsidR="0071027C" w:rsidRPr="00841997" w:rsidRDefault="0071027C" w:rsidP="0071027C">
      <w:pPr>
        <w:pStyle w:val="Heading2"/>
      </w:pPr>
      <w:bookmarkStart w:id="218" w:name="_Toc382214001"/>
      <w:r w:rsidRPr="00841997">
        <w:t>5.2 Biomedical prevention of HIV</w:t>
      </w:r>
      <w:bookmarkEnd w:id="216"/>
      <w:bookmarkEnd w:id="217"/>
      <w:bookmarkEnd w:id="218"/>
    </w:p>
    <w:p w:rsidR="0071027C" w:rsidRPr="00841997" w:rsidRDefault="0071027C" w:rsidP="0071027C">
      <w:pPr>
        <w:pStyle w:val="Heading3"/>
      </w:pPr>
      <w:bookmarkStart w:id="219" w:name="_Toc374952310"/>
      <w:bookmarkStart w:id="220" w:name="_Toc378258139"/>
      <w:bookmarkStart w:id="221" w:name="_Toc382214002"/>
      <w:r w:rsidRPr="00841997">
        <w:t>5.2.1 Introduction</w:t>
      </w:r>
      <w:bookmarkEnd w:id="219"/>
      <w:bookmarkEnd w:id="220"/>
      <w:bookmarkEnd w:id="221"/>
    </w:p>
    <w:p w:rsidR="0071027C" w:rsidRPr="00841997" w:rsidRDefault="0071027C" w:rsidP="0071027C">
      <w:pPr>
        <w:spacing w:before="120" w:after="120" w:line="240" w:lineRule="auto"/>
        <w:jc w:val="both"/>
        <w:rPr>
          <w:rFonts w:ascii="Arial" w:hAnsi="Arial" w:cs="Arial"/>
        </w:rPr>
      </w:pPr>
      <w:r w:rsidRPr="00841997">
        <w:rPr>
          <w:rFonts w:ascii="Arial" w:hAnsi="Arial" w:cs="Arial"/>
        </w:rPr>
        <w:t>It is estimated that, as many as 5–10% of new HIV infections in low-and middle-income countries may be attributable to exposures in health care settings, including unsafe injections, unsafe blood and occupational exposures, this varies by regions. In health care settings, transmission of HIV can be prevented through primary prevention measures such as standard precautions, injection safety, blood safety and safe waste disposal; as well as secondary prevention measures such as post- exposure prophylaxis for occupational exposure. Furthermore, biomedical interventions such as Voluntary Medical Male Circumcision (VMMC), STI and cervical cancer screening and management are important in prevention of HIV. Comprehensive infection control strategies and procedures can dramatically reduce the risk of transmission associated with health care.</w:t>
      </w:r>
    </w:p>
    <w:p w:rsidR="0071027C" w:rsidRPr="00841997" w:rsidRDefault="0071027C" w:rsidP="0071027C">
      <w:pPr>
        <w:pStyle w:val="Heading3"/>
      </w:pPr>
      <w:bookmarkStart w:id="222" w:name="_Toc374952311"/>
      <w:bookmarkStart w:id="223" w:name="_Toc378258140"/>
      <w:bookmarkStart w:id="224" w:name="_Toc382214003"/>
      <w:r w:rsidRPr="00841997">
        <w:t>5.2.2 Voluntary Medial male Circumcision (VMMC)</w:t>
      </w:r>
      <w:bookmarkEnd w:id="222"/>
      <w:bookmarkEnd w:id="223"/>
      <w:bookmarkEnd w:id="224"/>
    </w:p>
    <w:p w:rsidR="0071027C" w:rsidRPr="00841997" w:rsidRDefault="0071027C" w:rsidP="0071027C">
      <w:pPr>
        <w:spacing w:before="120" w:after="120" w:line="240" w:lineRule="auto"/>
        <w:jc w:val="both"/>
        <w:rPr>
          <w:rFonts w:ascii="Arial" w:hAnsi="Arial" w:cs="Arial"/>
        </w:rPr>
      </w:pPr>
      <w:r w:rsidRPr="00841997">
        <w:rPr>
          <w:rFonts w:ascii="Arial" w:hAnsi="Arial" w:cs="Arial"/>
        </w:rPr>
        <w:t>Male circumcision reduces a man’s risk of heterosexual acquisition of HIV by about 60%</w:t>
      </w:r>
      <w:r w:rsidRPr="00841997">
        <w:rPr>
          <w:rFonts w:ascii="Arial" w:hAnsi="Arial" w:cs="Arial"/>
        </w:rPr>
        <w:footnoteReference w:id="8"/>
      </w:r>
      <w:r w:rsidRPr="00841997">
        <w:rPr>
          <w:rFonts w:ascii="Arial" w:hAnsi="Arial" w:cs="Arial"/>
        </w:rPr>
        <w:t xml:space="preserve">. In 2007, the WHO and UNIAIDS recommended medical male circumcision services to be a priority in additional to HIV prevention strategies in countries with high HIV prevalence and low male circumcision prevalence. In Tanzania, VMMC services were introduced in year 2010, the national target was to circumcise 2.8m men by 2015.  </w:t>
      </w:r>
    </w:p>
    <w:p w:rsidR="0071027C" w:rsidRPr="00841997" w:rsidRDefault="0071027C" w:rsidP="0071027C">
      <w:pPr>
        <w:spacing w:before="120" w:after="120" w:line="240" w:lineRule="auto"/>
        <w:jc w:val="both"/>
        <w:rPr>
          <w:rFonts w:ascii="Arial" w:hAnsi="Arial" w:cs="Arial"/>
        </w:rPr>
      </w:pPr>
      <w:r w:rsidRPr="00841997">
        <w:rPr>
          <w:rFonts w:ascii="Arial" w:hAnsi="Arial" w:cs="Arial"/>
        </w:rPr>
        <w:t xml:space="preserve">The prevalence of male circumcision (MC) among males aged 15-49 years is 72% with considerable variation between regions (THMIS 2012). </w:t>
      </w:r>
    </w:p>
    <w:p w:rsidR="0071027C" w:rsidRPr="00841997" w:rsidRDefault="0071027C" w:rsidP="0071027C">
      <w:pPr>
        <w:spacing w:before="120" w:after="120" w:line="240" w:lineRule="auto"/>
        <w:jc w:val="both"/>
        <w:rPr>
          <w:rFonts w:ascii="Arial" w:hAnsi="Arial" w:cs="Arial"/>
        </w:rPr>
      </w:pPr>
    </w:p>
    <w:p w:rsidR="0071027C" w:rsidRPr="00841997" w:rsidRDefault="0071027C" w:rsidP="0071027C">
      <w:pPr>
        <w:spacing w:before="120" w:after="120" w:line="240" w:lineRule="auto"/>
        <w:jc w:val="both"/>
        <w:rPr>
          <w:rFonts w:ascii="Arial" w:hAnsi="Arial" w:cs="Arial"/>
        </w:rPr>
      </w:pPr>
      <w:r w:rsidRPr="00841997">
        <w:rPr>
          <w:rFonts w:ascii="Arial" w:hAnsi="Arial" w:cs="Arial"/>
        </w:rPr>
        <w:t xml:space="preserve">Ecological comparisons have shown a pattern of lower HIV prevalence in areas where circumcision is a common practice than in areas where it is not commonly done. Since evidence suggests that MC can reduce HIV transmission by up to 60%, the government of Tanzania has prioritized and is scaling up VMMC in twelve regions (Geita, Iringa, Kagera, Katavi, Mara, Mbeya Mwanza, Njombe, Rukwa, Shinyanga, Simiyu and Tabora). VMMC has been reasonably accepted especially among boys in the targeted regions and it has been noted that VMMC campaigns are more successful when they are conducted during the dry season and at times that are convenient to adults. VMMC also provides an important opportunity for HIV counselling and testing and as an entry point for access to early HIV care and treatment services by males. It could also serve as an entry point to recruit voluntary non-remunerated regular blood donors. HIV-negative males aged 15 - 34 years are given priority for free comprehensive VMMC services as an HIV prevention strategy. By September 2013, in the twelve regions undertaking VMMC, 676,625 were circumcised. </w:t>
      </w:r>
    </w:p>
    <w:p w:rsidR="0071027C" w:rsidRPr="00841997" w:rsidRDefault="0071027C" w:rsidP="0071027C">
      <w:pPr>
        <w:spacing w:before="120" w:after="120" w:line="240" w:lineRule="auto"/>
        <w:jc w:val="both"/>
        <w:rPr>
          <w:rFonts w:ascii="Arial" w:hAnsi="Arial" w:cs="Arial"/>
        </w:rPr>
      </w:pPr>
    </w:p>
    <w:p w:rsidR="0071027C" w:rsidRPr="00841997" w:rsidRDefault="0071027C" w:rsidP="0071027C">
      <w:pPr>
        <w:spacing w:before="120" w:after="120" w:line="240" w:lineRule="auto"/>
        <w:jc w:val="both"/>
        <w:rPr>
          <w:rFonts w:ascii="Arial" w:hAnsi="Arial" w:cs="Arial"/>
        </w:rPr>
      </w:pPr>
      <w:r w:rsidRPr="00841997">
        <w:rPr>
          <w:rFonts w:ascii="Arial" w:hAnsi="Arial" w:cs="Arial"/>
        </w:rPr>
        <w:t xml:space="preserve">The MC for HIV prevention is delivered as a minimum comprehensive package with; </w:t>
      </w:r>
    </w:p>
    <w:p w:rsidR="0071027C" w:rsidRPr="00841997"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841997">
        <w:rPr>
          <w:rFonts w:ascii="Arial" w:hAnsi="Arial" w:cs="Arial"/>
          <w:sz w:val="22"/>
          <w:szCs w:val="22"/>
          <w:lang w:val="en-GB"/>
        </w:rPr>
        <w:t xml:space="preserve">HIV testing and counselling </w:t>
      </w:r>
    </w:p>
    <w:p w:rsidR="0071027C" w:rsidRPr="00841997"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841997">
        <w:rPr>
          <w:rFonts w:ascii="Arial" w:hAnsi="Arial" w:cs="Arial"/>
          <w:sz w:val="22"/>
          <w:szCs w:val="22"/>
          <w:lang w:val="en-GB"/>
        </w:rPr>
        <w:t xml:space="preserve">Active exclusion of symptomatic Sexual Transmitted Infections (STIs) and treatment where necessary </w:t>
      </w:r>
    </w:p>
    <w:p w:rsidR="0071027C" w:rsidRPr="00841997"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841997">
        <w:rPr>
          <w:rFonts w:ascii="Arial" w:hAnsi="Arial" w:cs="Arial"/>
          <w:sz w:val="22"/>
          <w:szCs w:val="22"/>
          <w:lang w:val="en-GB"/>
        </w:rPr>
        <w:t xml:space="preserve">Promotion and provision of male condoms </w:t>
      </w:r>
    </w:p>
    <w:p w:rsidR="0071027C" w:rsidRPr="00841997"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841997">
        <w:rPr>
          <w:rFonts w:ascii="Arial" w:hAnsi="Arial" w:cs="Arial"/>
          <w:sz w:val="22"/>
          <w:szCs w:val="22"/>
          <w:lang w:val="en-GB"/>
        </w:rPr>
        <w:t xml:space="preserve">Counselling on risk reduction and safer sex </w:t>
      </w:r>
    </w:p>
    <w:p w:rsidR="0071027C" w:rsidRPr="00841997" w:rsidRDefault="0071027C" w:rsidP="00274941">
      <w:pPr>
        <w:pStyle w:val="NormalWeb"/>
        <w:numPr>
          <w:ilvl w:val="0"/>
          <w:numId w:val="26"/>
        </w:numPr>
        <w:spacing w:before="0" w:beforeAutospacing="0" w:after="0" w:afterAutospacing="0"/>
        <w:jc w:val="both"/>
        <w:rPr>
          <w:rFonts w:ascii="Arial" w:hAnsi="Arial" w:cs="Arial"/>
          <w:sz w:val="22"/>
          <w:szCs w:val="22"/>
          <w:lang w:val="en-GB"/>
        </w:rPr>
      </w:pPr>
      <w:r w:rsidRPr="00841997">
        <w:rPr>
          <w:rFonts w:ascii="Arial" w:hAnsi="Arial" w:cs="Arial"/>
          <w:sz w:val="22"/>
          <w:szCs w:val="22"/>
          <w:lang w:val="en-GB"/>
        </w:rPr>
        <w:t xml:space="preserve">MC surgical procedures </w:t>
      </w:r>
    </w:p>
    <w:p w:rsidR="0071027C" w:rsidRPr="00841997" w:rsidRDefault="0071027C" w:rsidP="0071027C">
      <w:pPr>
        <w:spacing w:before="120" w:after="120" w:line="240" w:lineRule="auto"/>
        <w:jc w:val="both"/>
        <w:rPr>
          <w:rFonts w:ascii="Arial" w:hAnsi="Arial" w:cs="Arial"/>
        </w:rPr>
      </w:pPr>
      <w:r w:rsidRPr="00841997">
        <w:rPr>
          <w:rFonts w:ascii="Arial" w:hAnsi="Arial" w:cs="Arial"/>
        </w:rPr>
        <w:t>Careful monitoring and evaluation, as well as supportive supervision, of the program should be in place to quickly address any increase in adverse events or other problems with service delivery.</w:t>
      </w:r>
    </w:p>
    <w:p w:rsidR="0071027C" w:rsidRPr="00841997" w:rsidRDefault="0071027C" w:rsidP="0071027C">
      <w:pPr>
        <w:pStyle w:val="Heading3"/>
      </w:pPr>
      <w:bookmarkStart w:id="225" w:name="_Toc374952312"/>
      <w:bookmarkStart w:id="226" w:name="_Toc378258141"/>
      <w:bookmarkStart w:id="227" w:name="_Toc382214004"/>
      <w:r w:rsidRPr="00841997">
        <w:t>5.2.3 Management of STI and cervical cancer</w:t>
      </w:r>
      <w:bookmarkEnd w:id="225"/>
      <w:bookmarkEnd w:id="226"/>
      <w:bookmarkEnd w:id="227"/>
    </w:p>
    <w:p w:rsidR="0071027C" w:rsidRPr="00841997" w:rsidRDefault="0071027C" w:rsidP="0071027C">
      <w:pPr>
        <w:pStyle w:val="Heading4"/>
      </w:pPr>
      <w:r w:rsidRPr="00841997">
        <w:t>5.2.3.1 Sexually transmitted infections (STIs)</w:t>
      </w:r>
    </w:p>
    <w:p w:rsidR="0071027C" w:rsidRPr="00841997" w:rsidRDefault="0071027C" w:rsidP="0071027C">
      <w:pPr>
        <w:spacing w:before="120" w:after="120" w:line="240" w:lineRule="auto"/>
        <w:jc w:val="both"/>
        <w:rPr>
          <w:rFonts w:ascii="Arial" w:hAnsi="Arial" w:cs="Arial"/>
        </w:rPr>
      </w:pPr>
      <w:r w:rsidRPr="00841997">
        <w:rPr>
          <w:rFonts w:ascii="Arial" w:hAnsi="Arial" w:cs="Arial"/>
        </w:rPr>
        <w:t>Sexually Transmitted Infections and Reproductive Tract Infections remain a public health problem of major significance in many countries of the world. Failure to diagnose and treat STIs/RTIs at an early stage may result into serious complications and consequences including infertility, foetal wastage, ectopic pregnancy, ano-genital cancer, premature delivery, as well as neonatal and infant infections. STIs are also known to enhance the spread of HIV infection in communities.</w:t>
      </w:r>
    </w:p>
    <w:p w:rsidR="0071027C" w:rsidRPr="00841997" w:rsidRDefault="0071027C" w:rsidP="0071027C">
      <w:pPr>
        <w:spacing w:before="120" w:after="120" w:line="240" w:lineRule="auto"/>
        <w:jc w:val="both"/>
        <w:rPr>
          <w:rFonts w:ascii="Arial" w:hAnsi="Arial" w:cs="Arial"/>
        </w:rPr>
      </w:pPr>
      <w:r w:rsidRPr="00841997">
        <w:rPr>
          <w:rFonts w:ascii="Arial" w:hAnsi="Arial" w:cs="Arial"/>
        </w:rPr>
        <w:t xml:space="preserve">STI screening and management should be integrated in all HIV services. HIV infected individuals should be screened for STIs and treated to reduce risk for HIV transmission. Similarly, HIV testing and counseling services should be integrated in STI clinics for early identification of individuals infected with HIV. </w:t>
      </w:r>
    </w:p>
    <w:p w:rsidR="0071027C" w:rsidRPr="00841997" w:rsidRDefault="0071027C" w:rsidP="0071027C">
      <w:pPr>
        <w:spacing w:before="120" w:after="120" w:line="240" w:lineRule="auto"/>
        <w:jc w:val="both"/>
        <w:rPr>
          <w:rFonts w:ascii="Arial" w:hAnsi="Arial" w:cs="Arial"/>
        </w:rPr>
      </w:pPr>
      <w:r w:rsidRPr="00841997">
        <w:rPr>
          <w:rFonts w:ascii="Arial" w:hAnsi="Arial" w:cs="Arial"/>
        </w:rPr>
        <w:t>The concept of syndromic management of STIs was introduced in Tanzania in 1995.</w:t>
      </w:r>
    </w:p>
    <w:p w:rsidR="0071027C" w:rsidRPr="00841997" w:rsidRDefault="0071027C" w:rsidP="0071027C">
      <w:pPr>
        <w:spacing w:before="120" w:after="120" w:line="240" w:lineRule="auto"/>
        <w:jc w:val="both"/>
        <w:rPr>
          <w:rFonts w:ascii="Arial" w:hAnsi="Arial" w:cs="Arial"/>
        </w:rPr>
      </w:pPr>
      <w:r w:rsidRPr="00841997">
        <w:rPr>
          <w:rFonts w:ascii="Arial" w:hAnsi="Arial" w:cs="Arial"/>
        </w:rPr>
        <w:t xml:space="preserve">The service providers are introduced to various types of syndromes with their respective common causative agents as follows.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136"/>
        <w:gridCol w:w="3192"/>
      </w:tblGrid>
      <w:tr w:rsidR="0071027C" w:rsidRPr="00841997" w:rsidTr="00A87045">
        <w:trPr>
          <w:trHeight w:val="449"/>
        </w:trPr>
        <w:tc>
          <w:tcPr>
            <w:tcW w:w="4248" w:type="dxa"/>
            <w:tcBorders>
              <w:right w:val="single" w:sz="4" w:space="0" w:color="FFFFFF" w:themeColor="background1"/>
            </w:tcBorders>
            <w:shd w:val="clear" w:color="auto" w:fill="000000" w:themeFill="text1"/>
          </w:tcPr>
          <w:p w:rsidR="0071027C" w:rsidRPr="00A87045" w:rsidRDefault="0071027C" w:rsidP="0071027C">
            <w:pPr>
              <w:widowControl/>
              <w:autoSpaceDE w:val="0"/>
              <w:autoSpaceDN w:val="0"/>
              <w:adjustRightInd w:val="0"/>
              <w:spacing w:before="120" w:after="120"/>
              <w:rPr>
                <w:rFonts w:ascii="Arial" w:hAnsi="Arial" w:cs="Arial"/>
              </w:rPr>
            </w:pPr>
            <w:r w:rsidRPr="00A87045">
              <w:rPr>
                <w:rFonts w:ascii="Arial" w:hAnsi="Arial" w:cs="Arial"/>
              </w:rPr>
              <w:t>STI SYNDROME</w:t>
            </w:r>
          </w:p>
        </w:tc>
        <w:tc>
          <w:tcPr>
            <w:tcW w:w="2136" w:type="dxa"/>
            <w:tcBorders>
              <w:left w:val="single" w:sz="4" w:space="0" w:color="FFFFFF" w:themeColor="background1"/>
              <w:right w:val="single" w:sz="4" w:space="0" w:color="FFFFFF" w:themeColor="background1"/>
            </w:tcBorders>
            <w:shd w:val="clear" w:color="auto" w:fill="000000" w:themeFill="text1"/>
          </w:tcPr>
          <w:p w:rsidR="0071027C" w:rsidRPr="00A87045" w:rsidRDefault="0071027C" w:rsidP="0071027C">
            <w:pPr>
              <w:widowControl/>
              <w:autoSpaceDE w:val="0"/>
              <w:autoSpaceDN w:val="0"/>
              <w:adjustRightInd w:val="0"/>
              <w:spacing w:before="120" w:after="120"/>
              <w:rPr>
                <w:rFonts w:ascii="Arial" w:hAnsi="Arial" w:cs="Arial"/>
              </w:rPr>
            </w:pPr>
            <w:r w:rsidRPr="00A87045">
              <w:rPr>
                <w:rFonts w:ascii="Arial" w:hAnsi="Arial" w:cs="Arial"/>
              </w:rPr>
              <w:t>SEX</w:t>
            </w:r>
          </w:p>
        </w:tc>
        <w:tc>
          <w:tcPr>
            <w:tcW w:w="3192" w:type="dxa"/>
            <w:tcBorders>
              <w:left w:val="single" w:sz="4" w:space="0" w:color="FFFFFF" w:themeColor="background1"/>
            </w:tcBorders>
            <w:shd w:val="clear" w:color="auto" w:fill="000000" w:themeFill="text1"/>
          </w:tcPr>
          <w:p w:rsidR="0071027C" w:rsidRPr="00A87045" w:rsidRDefault="0071027C" w:rsidP="0071027C">
            <w:pPr>
              <w:widowControl/>
              <w:autoSpaceDE w:val="0"/>
              <w:autoSpaceDN w:val="0"/>
              <w:adjustRightInd w:val="0"/>
              <w:spacing w:before="120" w:after="120"/>
              <w:rPr>
                <w:rFonts w:ascii="Arial" w:hAnsi="Arial" w:cs="Arial"/>
              </w:rPr>
            </w:pPr>
            <w:r w:rsidRPr="00A87045">
              <w:rPr>
                <w:rFonts w:ascii="Arial" w:hAnsi="Arial" w:cs="Arial"/>
              </w:rPr>
              <w:t>AETIOLOGICAL AGENT</w:t>
            </w:r>
          </w:p>
        </w:tc>
      </w:tr>
      <w:tr w:rsidR="0071027C" w:rsidRPr="00841997" w:rsidTr="00A87045">
        <w:tc>
          <w:tcPr>
            <w:tcW w:w="4248" w:type="dxa"/>
            <w:shd w:val="clear" w:color="auto" w:fill="D9D9D9" w:themeFill="background1" w:themeFillShade="D9"/>
          </w:tcPr>
          <w:p w:rsidR="0071027C" w:rsidRPr="00A87045" w:rsidRDefault="0071027C" w:rsidP="0071027C">
            <w:pPr>
              <w:widowControl/>
              <w:autoSpaceDE w:val="0"/>
              <w:autoSpaceDN w:val="0"/>
              <w:adjustRightInd w:val="0"/>
              <w:rPr>
                <w:rFonts w:ascii="Arial" w:hAnsi="Arial" w:cs="Arial"/>
              </w:rPr>
            </w:pPr>
            <w:r w:rsidRPr="00A87045">
              <w:rPr>
                <w:rFonts w:ascii="Arial" w:hAnsi="Arial" w:cs="Arial"/>
              </w:rPr>
              <w:t>1. Urethral Discharge Syndrome (UDS)</w:t>
            </w:r>
          </w:p>
        </w:tc>
        <w:tc>
          <w:tcPr>
            <w:tcW w:w="2136" w:type="dxa"/>
            <w:shd w:val="clear" w:color="auto" w:fill="D9D9D9" w:themeFill="background1" w:themeFillShade="D9"/>
          </w:tcPr>
          <w:p w:rsidR="0071027C" w:rsidRPr="00A87045" w:rsidRDefault="0071027C" w:rsidP="0071027C">
            <w:pPr>
              <w:widowControl/>
              <w:autoSpaceDE w:val="0"/>
              <w:autoSpaceDN w:val="0"/>
              <w:adjustRightInd w:val="0"/>
              <w:rPr>
                <w:rFonts w:ascii="Arial" w:hAnsi="Arial" w:cs="Arial"/>
              </w:rPr>
            </w:pPr>
            <w:r w:rsidRPr="00A87045">
              <w:rPr>
                <w:rFonts w:ascii="Arial" w:hAnsi="Arial" w:cs="Arial"/>
              </w:rPr>
              <w:t>Male</w:t>
            </w:r>
          </w:p>
        </w:tc>
        <w:tc>
          <w:tcPr>
            <w:tcW w:w="3192" w:type="dxa"/>
            <w:shd w:val="clear" w:color="auto" w:fill="D9D9D9" w:themeFill="background1" w:themeFillShade="D9"/>
          </w:tcPr>
          <w:p w:rsidR="0071027C" w:rsidRPr="00A87045" w:rsidRDefault="0071027C" w:rsidP="0071027C">
            <w:pPr>
              <w:widowControl/>
              <w:autoSpaceDE w:val="0"/>
              <w:autoSpaceDN w:val="0"/>
              <w:adjustRightInd w:val="0"/>
              <w:rPr>
                <w:rFonts w:ascii="Arial" w:hAnsi="Arial" w:cs="Arial"/>
                <w:i/>
                <w:iCs/>
              </w:rPr>
            </w:pPr>
            <w:r w:rsidRPr="00A87045">
              <w:rPr>
                <w:rFonts w:ascii="Arial" w:hAnsi="Arial" w:cs="Arial"/>
                <w:i/>
                <w:iCs/>
              </w:rPr>
              <w:t>Chlamydia trachomatis</w:t>
            </w:r>
          </w:p>
          <w:p w:rsidR="0071027C" w:rsidRPr="00A87045" w:rsidRDefault="0071027C" w:rsidP="0071027C">
            <w:pPr>
              <w:widowControl/>
              <w:autoSpaceDE w:val="0"/>
              <w:autoSpaceDN w:val="0"/>
              <w:adjustRightInd w:val="0"/>
              <w:rPr>
                <w:rFonts w:ascii="Arial" w:hAnsi="Arial" w:cs="Arial"/>
              </w:rPr>
            </w:pPr>
            <w:r w:rsidRPr="00A87045">
              <w:rPr>
                <w:rFonts w:ascii="Arial" w:hAnsi="Arial" w:cs="Arial"/>
                <w:i/>
                <w:iCs/>
              </w:rPr>
              <w:t>Neisseria gonorrhoeae</w:t>
            </w:r>
          </w:p>
        </w:tc>
      </w:tr>
      <w:tr w:rsidR="0071027C" w:rsidRPr="00841997" w:rsidTr="00A87045">
        <w:tc>
          <w:tcPr>
            <w:tcW w:w="4248" w:type="dxa"/>
          </w:tcPr>
          <w:p w:rsidR="0071027C" w:rsidRPr="00A87045" w:rsidRDefault="0071027C" w:rsidP="0071027C">
            <w:pPr>
              <w:widowControl/>
              <w:autoSpaceDE w:val="0"/>
              <w:autoSpaceDN w:val="0"/>
              <w:adjustRightInd w:val="0"/>
              <w:rPr>
                <w:rFonts w:ascii="Arial" w:hAnsi="Arial" w:cs="Arial"/>
              </w:rPr>
            </w:pPr>
            <w:r w:rsidRPr="00A87045">
              <w:rPr>
                <w:rFonts w:ascii="Arial" w:hAnsi="Arial" w:cs="Arial"/>
              </w:rPr>
              <w:t>2. Painful Scrotal Swelling (PSS) (acute epididymoorchitis)</w:t>
            </w:r>
          </w:p>
          <w:p w:rsidR="0071027C" w:rsidRPr="00A87045" w:rsidRDefault="0071027C" w:rsidP="0071027C">
            <w:pPr>
              <w:widowControl/>
              <w:autoSpaceDE w:val="0"/>
              <w:autoSpaceDN w:val="0"/>
              <w:adjustRightInd w:val="0"/>
              <w:rPr>
                <w:rFonts w:ascii="Arial" w:hAnsi="Arial" w:cs="Arial"/>
              </w:rPr>
            </w:pPr>
          </w:p>
        </w:tc>
        <w:tc>
          <w:tcPr>
            <w:tcW w:w="2136" w:type="dxa"/>
          </w:tcPr>
          <w:p w:rsidR="0071027C" w:rsidRPr="00A87045" w:rsidRDefault="0071027C" w:rsidP="0071027C">
            <w:pPr>
              <w:widowControl/>
              <w:autoSpaceDE w:val="0"/>
              <w:autoSpaceDN w:val="0"/>
              <w:adjustRightInd w:val="0"/>
              <w:rPr>
                <w:rFonts w:ascii="Arial" w:hAnsi="Arial" w:cs="Arial"/>
              </w:rPr>
            </w:pPr>
            <w:r w:rsidRPr="00A87045">
              <w:rPr>
                <w:rFonts w:ascii="Arial" w:hAnsi="Arial" w:cs="Arial"/>
              </w:rPr>
              <w:t>Male</w:t>
            </w:r>
          </w:p>
        </w:tc>
        <w:tc>
          <w:tcPr>
            <w:tcW w:w="3192" w:type="dxa"/>
          </w:tcPr>
          <w:p w:rsidR="0071027C" w:rsidRPr="00A87045" w:rsidRDefault="0071027C" w:rsidP="0071027C">
            <w:pPr>
              <w:widowControl/>
              <w:autoSpaceDE w:val="0"/>
              <w:autoSpaceDN w:val="0"/>
              <w:adjustRightInd w:val="0"/>
              <w:rPr>
                <w:rFonts w:ascii="Arial" w:hAnsi="Arial" w:cs="Arial"/>
                <w:i/>
                <w:iCs/>
              </w:rPr>
            </w:pPr>
            <w:r w:rsidRPr="00A87045">
              <w:rPr>
                <w:rFonts w:ascii="Arial" w:hAnsi="Arial" w:cs="Arial"/>
                <w:i/>
                <w:iCs/>
              </w:rPr>
              <w:t>Chlamydia trachomatis</w:t>
            </w:r>
          </w:p>
          <w:p w:rsidR="0071027C" w:rsidRPr="00A87045" w:rsidRDefault="0071027C" w:rsidP="0071027C">
            <w:pPr>
              <w:widowControl/>
              <w:autoSpaceDE w:val="0"/>
              <w:autoSpaceDN w:val="0"/>
              <w:adjustRightInd w:val="0"/>
              <w:rPr>
                <w:rFonts w:ascii="Arial" w:hAnsi="Arial" w:cs="Arial"/>
              </w:rPr>
            </w:pPr>
            <w:r w:rsidRPr="00A87045">
              <w:rPr>
                <w:rFonts w:ascii="Arial" w:hAnsi="Arial" w:cs="Arial"/>
                <w:i/>
                <w:iCs/>
              </w:rPr>
              <w:t>Neisseria gonorrhoeae</w:t>
            </w:r>
          </w:p>
        </w:tc>
      </w:tr>
      <w:tr w:rsidR="0071027C" w:rsidRPr="00841997" w:rsidTr="00A87045">
        <w:tc>
          <w:tcPr>
            <w:tcW w:w="4248" w:type="dxa"/>
            <w:shd w:val="clear" w:color="auto" w:fill="D9D9D9" w:themeFill="background1" w:themeFillShade="D9"/>
          </w:tcPr>
          <w:p w:rsidR="0071027C" w:rsidRPr="00A87045" w:rsidRDefault="0071027C" w:rsidP="0071027C">
            <w:pPr>
              <w:widowControl/>
              <w:autoSpaceDE w:val="0"/>
              <w:autoSpaceDN w:val="0"/>
              <w:adjustRightInd w:val="0"/>
              <w:rPr>
                <w:rFonts w:ascii="Arial" w:hAnsi="Arial" w:cs="Arial"/>
              </w:rPr>
            </w:pPr>
            <w:r w:rsidRPr="00A87045">
              <w:rPr>
                <w:rFonts w:ascii="Arial" w:hAnsi="Arial" w:cs="Arial"/>
              </w:rPr>
              <w:t>3. Vaginal Discharge Syndrome (VDS)</w:t>
            </w:r>
          </w:p>
          <w:p w:rsidR="0071027C" w:rsidRPr="00A87045" w:rsidRDefault="0071027C" w:rsidP="0071027C">
            <w:pPr>
              <w:widowControl/>
              <w:autoSpaceDE w:val="0"/>
              <w:autoSpaceDN w:val="0"/>
              <w:adjustRightInd w:val="0"/>
              <w:rPr>
                <w:rFonts w:ascii="Arial" w:hAnsi="Arial" w:cs="Arial"/>
              </w:rPr>
            </w:pPr>
          </w:p>
        </w:tc>
        <w:tc>
          <w:tcPr>
            <w:tcW w:w="2136" w:type="dxa"/>
            <w:shd w:val="clear" w:color="auto" w:fill="D9D9D9" w:themeFill="background1" w:themeFillShade="D9"/>
          </w:tcPr>
          <w:p w:rsidR="0071027C" w:rsidRPr="00A87045" w:rsidRDefault="0071027C" w:rsidP="0071027C">
            <w:pPr>
              <w:widowControl/>
              <w:autoSpaceDE w:val="0"/>
              <w:autoSpaceDN w:val="0"/>
              <w:adjustRightInd w:val="0"/>
              <w:rPr>
                <w:rFonts w:ascii="Arial" w:hAnsi="Arial" w:cs="Arial"/>
              </w:rPr>
            </w:pPr>
            <w:r w:rsidRPr="00A87045">
              <w:rPr>
                <w:rFonts w:ascii="Arial" w:hAnsi="Arial" w:cs="Arial"/>
              </w:rPr>
              <w:t>Female</w:t>
            </w:r>
          </w:p>
        </w:tc>
        <w:tc>
          <w:tcPr>
            <w:tcW w:w="3192" w:type="dxa"/>
            <w:shd w:val="clear" w:color="auto" w:fill="D9D9D9" w:themeFill="background1" w:themeFillShade="D9"/>
          </w:tcPr>
          <w:p w:rsidR="0071027C" w:rsidRPr="00A87045" w:rsidRDefault="0071027C" w:rsidP="0071027C">
            <w:pPr>
              <w:widowControl/>
              <w:autoSpaceDE w:val="0"/>
              <w:autoSpaceDN w:val="0"/>
              <w:adjustRightInd w:val="0"/>
              <w:rPr>
                <w:rFonts w:ascii="Arial" w:hAnsi="Arial" w:cs="Arial"/>
                <w:i/>
                <w:iCs/>
              </w:rPr>
            </w:pPr>
            <w:r w:rsidRPr="00A87045">
              <w:rPr>
                <w:rFonts w:ascii="Arial" w:hAnsi="Arial" w:cs="Arial"/>
                <w:i/>
                <w:iCs/>
              </w:rPr>
              <w:t>Candida albicans</w:t>
            </w:r>
          </w:p>
          <w:p w:rsidR="0071027C" w:rsidRPr="00A87045" w:rsidRDefault="0071027C" w:rsidP="0071027C">
            <w:pPr>
              <w:widowControl/>
              <w:autoSpaceDE w:val="0"/>
              <w:autoSpaceDN w:val="0"/>
              <w:adjustRightInd w:val="0"/>
              <w:rPr>
                <w:rFonts w:ascii="Arial" w:hAnsi="Arial" w:cs="Arial"/>
                <w:i/>
                <w:iCs/>
              </w:rPr>
            </w:pPr>
            <w:r w:rsidRPr="00A87045">
              <w:rPr>
                <w:rFonts w:ascii="Arial" w:hAnsi="Arial" w:cs="Arial"/>
                <w:i/>
                <w:iCs/>
              </w:rPr>
              <w:t>Chlamydia trachomatis</w:t>
            </w:r>
          </w:p>
          <w:p w:rsidR="0071027C" w:rsidRPr="00A87045" w:rsidRDefault="0071027C" w:rsidP="0071027C">
            <w:pPr>
              <w:widowControl/>
              <w:autoSpaceDE w:val="0"/>
              <w:autoSpaceDN w:val="0"/>
              <w:adjustRightInd w:val="0"/>
              <w:rPr>
                <w:rFonts w:ascii="Arial" w:hAnsi="Arial" w:cs="Arial"/>
                <w:i/>
                <w:iCs/>
              </w:rPr>
            </w:pPr>
            <w:r w:rsidRPr="00A87045">
              <w:rPr>
                <w:rFonts w:ascii="Arial" w:hAnsi="Arial" w:cs="Arial"/>
                <w:i/>
                <w:iCs/>
              </w:rPr>
              <w:t>Gardnerella vaginalis)</w:t>
            </w:r>
          </w:p>
          <w:p w:rsidR="0071027C" w:rsidRPr="00A87045" w:rsidRDefault="0071027C" w:rsidP="0071027C">
            <w:pPr>
              <w:widowControl/>
              <w:autoSpaceDE w:val="0"/>
              <w:autoSpaceDN w:val="0"/>
              <w:adjustRightInd w:val="0"/>
              <w:rPr>
                <w:rFonts w:ascii="Arial" w:hAnsi="Arial" w:cs="Arial"/>
                <w:i/>
                <w:iCs/>
              </w:rPr>
            </w:pPr>
            <w:r w:rsidRPr="00A87045">
              <w:rPr>
                <w:rFonts w:ascii="Arial" w:hAnsi="Arial" w:cs="Arial"/>
                <w:i/>
                <w:iCs/>
              </w:rPr>
              <w:t>Neisseria genorrhoeae</w:t>
            </w:r>
          </w:p>
          <w:p w:rsidR="0071027C" w:rsidRPr="00A87045" w:rsidRDefault="0071027C" w:rsidP="0071027C">
            <w:pPr>
              <w:widowControl/>
              <w:autoSpaceDE w:val="0"/>
              <w:autoSpaceDN w:val="0"/>
              <w:adjustRightInd w:val="0"/>
              <w:rPr>
                <w:rFonts w:ascii="Arial" w:hAnsi="Arial" w:cs="Arial"/>
              </w:rPr>
            </w:pPr>
            <w:r w:rsidRPr="00A87045">
              <w:rPr>
                <w:rFonts w:ascii="Arial" w:hAnsi="Arial" w:cs="Arial"/>
                <w:i/>
                <w:iCs/>
              </w:rPr>
              <w:t>Trichomonas vaginali</w:t>
            </w:r>
          </w:p>
        </w:tc>
      </w:tr>
      <w:tr w:rsidR="0071027C" w:rsidRPr="00841997" w:rsidTr="00A87045">
        <w:tc>
          <w:tcPr>
            <w:tcW w:w="4248" w:type="dxa"/>
          </w:tcPr>
          <w:p w:rsidR="0071027C" w:rsidRPr="00A87045" w:rsidRDefault="0071027C" w:rsidP="0071027C">
            <w:pPr>
              <w:widowControl/>
              <w:autoSpaceDE w:val="0"/>
              <w:autoSpaceDN w:val="0"/>
              <w:adjustRightInd w:val="0"/>
              <w:rPr>
                <w:rFonts w:ascii="Arial" w:hAnsi="Arial" w:cs="Arial"/>
              </w:rPr>
            </w:pPr>
            <w:r w:rsidRPr="00A87045">
              <w:rPr>
                <w:rFonts w:ascii="Arial" w:hAnsi="Arial" w:cs="Arial"/>
              </w:rPr>
              <w:t>4. Pelvic Inflammatory Disease (PID)</w:t>
            </w:r>
          </w:p>
          <w:p w:rsidR="0071027C" w:rsidRPr="00A87045" w:rsidRDefault="0071027C" w:rsidP="0071027C">
            <w:pPr>
              <w:widowControl/>
              <w:autoSpaceDE w:val="0"/>
              <w:autoSpaceDN w:val="0"/>
              <w:adjustRightInd w:val="0"/>
              <w:rPr>
                <w:rFonts w:ascii="Arial" w:hAnsi="Arial" w:cs="Arial"/>
              </w:rPr>
            </w:pPr>
            <w:r w:rsidRPr="00A87045">
              <w:rPr>
                <w:rFonts w:ascii="Arial" w:hAnsi="Arial" w:cs="Arial"/>
              </w:rPr>
              <w:t>(Lower Abdominal Pain)</w:t>
            </w:r>
          </w:p>
          <w:p w:rsidR="0071027C" w:rsidRPr="00A87045" w:rsidRDefault="0071027C" w:rsidP="0071027C">
            <w:pPr>
              <w:widowControl/>
              <w:autoSpaceDE w:val="0"/>
              <w:autoSpaceDN w:val="0"/>
              <w:adjustRightInd w:val="0"/>
              <w:rPr>
                <w:rFonts w:ascii="Arial" w:hAnsi="Arial" w:cs="Arial"/>
              </w:rPr>
            </w:pPr>
          </w:p>
        </w:tc>
        <w:tc>
          <w:tcPr>
            <w:tcW w:w="2136" w:type="dxa"/>
          </w:tcPr>
          <w:p w:rsidR="0071027C" w:rsidRPr="00A87045" w:rsidRDefault="0071027C" w:rsidP="0071027C">
            <w:pPr>
              <w:widowControl/>
              <w:autoSpaceDE w:val="0"/>
              <w:autoSpaceDN w:val="0"/>
              <w:adjustRightInd w:val="0"/>
              <w:rPr>
                <w:rFonts w:ascii="Arial" w:hAnsi="Arial" w:cs="Arial"/>
              </w:rPr>
            </w:pPr>
            <w:r w:rsidRPr="00A87045">
              <w:rPr>
                <w:rFonts w:ascii="Arial" w:hAnsi="Arial" w:cs="Arial"/>
              </w:rPr>
              <w:t>Female</w:t>
            </w:r>
          </w:p>
        </w:tc>
        <w:tc>
          <w:tcPr>
            <w:tcW w:w="3192" w:type="dxa"/>
          </w:tcPr>
          <w:p w:rsidR="0071027C" w:rsidRPr="00A87045" w:rsidRDefault="0071027C" w:rsidP="0071027C">
            <w:pPr>
              <w:widowControl/>
              <w:autoSpaceDE w:val="0"/>
              <w:autoSpaceDN w:val="0"/>
              <w:adjustRightInd w:val="0"/>
              <w:rPr>
                <w:rFonts w:ascii="Arial" w:hAnsi="Arial" w:cs="Arial"/>
                <w:i/>
                <w:iCs/>
              </w:rPr>
            </w:pPr>
            <w:r w:rsidRPr="00A87045">
              <w:rPr>
                <w:rFonts w:ascii="Arial" w:hAnsi="Arial" w:cs="Arial"/>
                <w:i/>
                <w:iCs/>
              </w:rPr>
              <w:t>Anaerobic bacteria</w:t>
            </w:r>
          </w:p>
          <w:p w:rsidR="0071027C" w:rsidRPr="00A87045" w:rsidRDefault="0071027C" w:rsidP="0071027C">
            <w:pPr>
              <w:widowControl/>
              <w:autoSpaceDE w:val="0"/>
              <w:autoSpaceDN w:val="0"/>
              <w:adjustRightInd w:val="0"/>
              <w:rPr>
                <w:rFonts w:ascii="Arial" w:hAnsi="Arial" w:cs="Arial"/>
                <w:i/>
                <w:iCs/>
              </w:rPr>
            </w:pPr>
            <w:r w:rsidRPr="00A87045">
              <w:rPr>
                <w:rFonts w:ascii="Arial" w:hAnsi="Arial" w:cs="Arial"/>
                <w:i/>
                <w:iCs/>
              </w:rPr>
              <w:t>Chlamydia trachomatis</w:t>
            </w:r>
          </w:p>
          <w:p w:rsidR="0071027C" w:rsidRPr="00A87045" w:rsidRDefault="0071027C" w:rsidP="0071027C">
            <w:pPr>
              <w:widowControl/>
              <w:autoSpaceDE w:val="0"/>
              <w:autoSpaceDN w:val="0"/>
              <w:adjustRightInd w:val="0"/>
              <w:rPr>
                <w:rFonts w:ascii="Arial" w:hAnsi="Arial" w:cs="Arial"/>
              </w:rPr>
            </w:pPr>
            <w:r w:rsidRPr="00A87045">
              <w:rPr>
                <w:rFonts w:ascii="Arial" w:hAnsi="Arial" w:cs="Arial"/>
                <w:i/>
                <w:iCs/>
              </w:rPr>
              <w:t>Neisseria gonorrhoeae</w:t>
            </w:r>
          </w:p>
        </w:tc>
      </w:tr>
      <w:tr w:rsidR="0071027C" w:rsidRPr="00841997" w:rsidTr="00A87045">
        <w:tc>
          <w:tcPr>
            <w:tcW w:w="4248" w:type="dxa"/>
            <w:shd w:val="clear" w:color="auto" w:fill="D9D9D9" w:themeFill="background1" w:themeFillShade="D9"/>
          </w:tcPr>
          <w:p w:rsidR="0071027C" w:rsidRPr="00A87045" w:rsidRDefault="0071027C" w:rsidP="0071027C">
            <w:pPr>
              <w:widowControl/>
              <w:autoSpaceDE w:val="0"/>
              <w:autoSpaceDN w:val="0"/>
              <w:adjustRightInd w:val="0"/>
              <w:rPr>
                <w:rFonts w:ascii="Arial" w:hAnsi="Arial" w:cs="Arial"/>
              </w:rPr>
            </w:pPr>
            <w:r w:rsidRPr="00A87045">
              <w:rPr>
                <w:rFonts w:ascii="Arial" w:hAnsi="Arial" w:cs="Arial"/>
              </w:rPr>
              <w:t>5. Genital Ulcer Disease (GUD)</w:t>
            </w:r>
          </w:p>
          <w:p w:rsidR="0071027C" w:rsidRPr="00A87045" w:rsidRDefault="0071027C" w:rsidP="0071027C">
            <w:pPr>
              <w:widowControl/>
              <w:autoSpaceDE w:val="0"/>
              <w:autoSpaceDN w:val="0"/>
              <w:adjustRightInd w:val="0"/>
              <w:rPr>
                <w:rFonts w:ascii="Arial" w:hAnsi="Arial" w:cs="Arial"/>
              </w:rPr>
            </w:pPr>
          </w:p>
        </w:tc>
        <w:tc>
          <w:tcPr>
            <w:tcW w:w="2136" w:type="dxa"/>
            <w:shd w:val="clear" w:color="auto" w:fill="D9D9D9" w:themeFill="background1" w:themeFillShade="D9"/>
          </w:tcPr>
          <w:p w:rsidR="0071027C" w:rsidRPr="00A87045" w:rsidRDefault="0071027C" w:rsidP="0071027C">
            <w:pPr>
              <w:widowControl/>
              <w:autoSpaceDE w:val="0"/>
              <w:autoSpaceDN w:val="0"/>
              <w:adjustRightInd w:val="0"/>
              <w:rPr>
                <w:rFonts w:ascii="Arial" w:hAnsi="Arial" w:cs="Arial"/>
              </w:rPr>
            </w:pPr>
            <w:r w:rsidRPr="00A87045">
              <w:rPr>
                <w:rFonts w:ascii="Arial" w:hAnsi="Arial" w:cs="Arial"/>
              </w:rPr>
              <w:t>Male/Female</w:t>
            </w:r>
          </w:p>
        </w:tc>
        <w:tc>
          <w:tcPr>
            <w:tcW w:w="3192" w:type="dxa"/>
            <w:shd w:val="clear" w:color="auto" w:fill="D9D9D9" w:themeFill="background1" w:themeFillShade="D9"/>
          </w:tcPr>
          <w:p w:rsidR="0071027C" w:rsidRPr="00A87045" w:rsidRDefault="0071027C" w:rsidP="0071027C">
            <w:pPr>
              <w:widowControl/>
              <w:autoSpaceDE w:val="0"/>
              <w:autoSpaceDN w:val="0"/>
              <w:adjustRightInd w:val="0"/>
              <w:rPr>
                <w:rFonts w:ascii="Arial" w:hAnsi="Arial" w:cs="Arial"/>
                <w:i/>
                <w:iCs/>
              </w:rPr>
            </w:pPr>
            <w:r w:rsidRPr="00A87045">
              <w:rPr>
                <w:rFonts w:ascii="Arial" w:hAnsi="Arial" w:cs="Arial"/>
                <w:i/>
                <w:iCs/>
              </w:rPr>
              <w:t>Chlamydia trachomatis</w:t>
            </w:r>
          </w:p>
          <w:p w:rsidR="0071027C" w:rsidRPr="00A87045" w:rsidRDefault="0071027C" w:rsidP="0071027C">
            <w:pPr>
              <w:widowControl/>
              <w:autoSpaceDE w:val="0"/>
              <w:autoSpaceDN w:val="0"/>
              <w:adjustRightInd w:val="0"/>
              <w:rPr>
                <w:rFonts w:ascii="Arial" w:hAnsi="Arial" w:cs="Arial"/>
                <w:i/>
                <w:iCs/>
              </w:rPr>
            </w:pPr>
            <w:r w:rsidRPr="00A87045">
              <w:rPr>
                <w:rFonts w:ascii="Arial" w:hAnsi="Arial" w:cs="Arial"/>
                <w:i/>
                <w:iCs/>
              </w:rPr>
              <w:t>Haemophilus ducreyi</w:t>
            </w:r>
          </w:p>
          <w:p w:rsidR="0071027C" w:rsidRPr="00A87045" w:rsidRDefault="0071027C" w:rsidP="0071027C">
            <w:pPr>
              <w:widowControl/>
              <w:autoSpaceDE w:val="0"/>
              <w:autoSpaceDN w:val="0"/>
              <w:adjustRightInd w:val="0"/>
              <w:rPr>
                <w:rFonts w:ascii="Arial" w:hAnsi="Arial" w:cs="Arial"/>
              </w:rPr>
            </w:pPr>
            <w:r w:rsidRPr="00A87045">
              <w:rPr>
                <w:rFonts w:ascii="Arial" w:hAnsi="Arial" w:cs="Arial"/>
              </w:rPr>
              <w:t>Herpes simplex virus</w:t>
            </w:r>
          </w:p>
          <w:p w:rsidR="0071027C" w:rsidRPr="00A87045" w:rsidRDefault="0071027C" w:rsidP="0071027C">
            <w:pPr>
              <w:widowControl/>
              <w:autoSpaceDE w:val="0"/>
              <w:autoSpaceDN w:val="0"/>
              <w:adjustRightInd w:val="0"/>
              <w:rPr>
                <w:rFonts w:ascii="Arial" w:hAnsi="Arial" w:cs="Arial"/>
              </w:rPr>
            </w:pPr>
            <w:r w:rsidRPr="00A87045">
              <w:rPr>
                <w:rFonts w:ascii="Arial" w:hAnsi="Arial" w:cs="Arial"/>
              </w:rPr>
              <w:t>type-2</w:t>
            </w:r>
          </w:p>
          <w:p w:rsidR="0071027C" w:rsidRPr="00A87045" w:rsidRDefault="0071027C" w:rsidP="0071027C">
            <w:pPr>
              <w:widowControl/>
              <w:autoSpaceDE w:val="0"/>
              <w:autoSpaceDN w:val="0"/>
              <w:adjustRightInd w:val="0"/>
              <w:rPr>
                <w:rFonts w:ascii="Arial" w:hAnsi="Arial" w:cs="Arial"/>
                <w:i/>
                <w:iCs/>
              </w:rPr>
            </w:pPr>
            <w:r w:rsidRPr="00A87045">
              <w:rPr>
                <w:rFonts w:ascii="Arial" w:hAnsi="Arial" w:cs="Arial"/>
                <w:i/>
                <w:iCs/>
              </w:rPr>
              <w:t>Treponema pallidum</w:t>
            </w:r>
          </w:p>
          <w:p w:rsidR="0071027C" w:rsidRPr="00A87045" w:rsidRDefault="0071027C" w:rsidP="0071027C">
            <w:pPr>
              <w:widowControl/>
              <w:autoSpaceDE w:val="0"/>
              <w:autoSpaceDN w:val="0"/>
              <w:adjustRightInd w:val="0"/>
              <w:rPr>
                <w:rFonts w:ascii="Arial" w:hAnsi="Arial" w:cs="Arial"/>
              </w:rPr>
            </w:pPr>
            <w:r w:rsidRPr="00A87045">
              <w:rPr>
                <w:rFonts w:ascii="Arial" w:hAnsi="Arial" w:cs="Arial"/>
                <w:i/>
                <w:iCs/>
              </w:rPr>
              <w:t>Klebsiella granulomatis</w:t>
            </w:r>
          </w:p>
        </w:tc>
      </w:tr>
      <w:tr w:rsidR="0071027C" w:rsidRPr="00841997" w:rsidTr="00A87045">
        <w:tc>
          <w:tcPr>
            <w:tcW w:w="4248" w:type="dxa"/>
          </w:tcPr>
          <w:p w:rsidR="0071027C" w:rsidRPr="00A87045" w:rsidRDefault="0071027C" w:rsidP="0071027C">
            <w:pPr>
              <w:widowControl/>
              <w:autoSpaceDE w:val="0"/>
              <w:autoSpaceDN w:val="0"/>
              <w:adjustRightInd w:val="0"/>
              <w:rPr>
                <w:rFonts w:ascii="Arial" w:hAnsi="Arial" w:cs="Arial"/>
              </w:rPr>
            </w:pPr>
            <w:r w:rsidRPr="00A87045">
              <w:rPr>
                <w:rFonts w:ascii="Arial" w:hAnsi="Arial" w:cs="Arial"/>
              </w:rPr>
              <w:t>6 Inguinal Bubos</w:t>
            </w:r>
          </w:p>
          <w:p w:rsidR="0071027C" w:rsidRPr="00A87045" w:rsidRDefault="0071027C" w:rsidP="0071027C">
            <w:pPr>
              <w:widowControl/>
              <w:autoSpaceDE w:val="0"/>
              <w:autoSpaceDN w:val="0"/>
              <w:adjustRightInd w:val="0"/>
              <w:rPr>
                <w:rFonts w:ascii="Arial" w:hAnsi="Arial" w:cs="Arial"/>
              </w:rPr>
            </w:pPr>
          </w:p>
        </w:tc>
        <w:tc>
          <w:tcPr>
            <w:tcW w:w="2136" w:type="dxa"/>
          </w:tcPr>
          <w:p w:rsidR="0071027C" w:rsidRPr="00A87045" w:rsidRDefault="0071027C" w:rsidP="0071027C">
            <w:pPr>
              <w:widowControl/>
              <w:autoSpaceDE w:val="0"/>
              <w:autoSpaceDN w:val="0"/>
              <w:adjustRightInd w:val="0"/>
              <w:rPr>
                <w:rFonts w:ascii="Arial" w:hAnsi="Arial" w:cs="Arial"/>
              </w:rPr>
            </w:pPr>
            <w:r w:rsidRPr="00A87045">
              <w:rPr>
                <w:rFonts w:ascii="Arial" w:hAnsi="Arial" w:cs="Arial"/>
              </w:rPr>
              <w:t>Male/Female</w:t>
            </w:r>
          </w:p>
        </w:tc>
        <w:tc>
          <w:tcPr>
            <w:tcW w:w="3192" w:type="dxa"/>
          </w:tcPr>
          <w:p w:rsidR="0071027C" w:rsidRPr="00A87045" w:rsidRDefault="0071027C" w:rsidP="0071027C">
            <w:pPr>
              <w:widowControl/>
              <w:autoSpaceDE w:val="0"/>
              <w:autoSpaceDN w:val="0"/>
              <w:adjustRightInd w:val="0"/>
              <w:rPr>
                <w:rFonts w:ascii="Arial" w:hAnsi="Arial" w:cs="Arial"/>
                <w:i/>
                <w:iCs/>
              </w:rPr>
            </w:pPr>
            <w:r w:rsidRPr="00A87045">
              <w:rPr>
                <w:rFonts w:ascii="Arial" w:hAnsi="Arial" w:cs="Arial"/>
                <w:i/>
                <w:iCs/>
              </w:rPr>
              <w:t>Chlamydia trachomatis</w:t>
            </w:r>
          </w:p>
          <w:p w:rsidR="0071027C" w:rsidRPr="00A87045" w:rsidRDefault="0071027C" w:rsidP="0071027C">
            <w:pPr>
              <w:widowControl/>
              <w:autoSpaceDE w:val="0"/>
              <w:autoSpaceDN w:val="0"/>
              <w:adjustRightInd w:val="0"/>
              <w:rPr>
                <w:rFonts w:ascii="Arial" w:hAnsi="Arial" w:cs="Arial"/>
              </w:rPr>
            </w:pPr>
            <w:r w:rsidRPr="00A87045">
              <w:rPr>
                <w:rFonts w:ascii="Arial" w:hAnsi="Arial" w:cs="Arial"/>
                <w:i/>
                <w:iCs/>
              </w:rPr>
              <w:t>Haemophilus ducreyi</w:t>
            </w:r>
          </w:p>
        </w:tc>
      </w:tr>
      <w:tr w:rsidR="0071027C" w:rsidRPr="00841997" w:rsidTr="00A87045">
        <w:tc>
          <w:tcPr>
            <w:tcW w:w="4248" w:type="dxa"/>
            <w:shd w:val="clear" w:color="auto" w:fill="D9D9D9" w:themeFill="background1" w:themeFillShade="D9"/>
          </w:tcPr>
          <w:p w:rsidR="0071027C" w:rsidRPr="00A87045" w:rsidRDefault="0071027C" w:rsidP="0071027C">
            <w:pPr>
              <w:widowControl/>
              <w:autoSpaceDE w:val="0"/>
              <w:autoSpaceDN w:val="0"/>
              <w:adjustRightInd w:val="0"/>
              <w:rPr>
                <w:rFonts w:ascii="Arial" w:hAnsi="Arial" w:cs="Arial"/>
              </w:rPr>
            </w:pPr>
            <w:r w:rsidRPr="00A87045">
              <w:rPr>
                <w:rFonts w:ascii="Arial" w:hAnsi="Arial" w:cs="Arial"/>
              </w:rPr>
              <w:t>7. Neo-natal Conjunctivitis (Opthalmia neonatorum)</w:t>
            </w:r>
          </w:p>
          <w:p w:rsidR="0071027C" w:rsidRPr="00A87045" w:rsidRDefault="0071027C" w:rsidP="0071027C">
            <w:pPr>
              <w:widowControl/>
              <w:autoSpaceDE w:val="0"/>
              <w:autoSpaceDN w:val="0"/>
              <w:adjustRightInd w:val="0"/>
              <w:rPr>
                <w:rFonts w:ascii="Arial" w:hAnsi="Arial" w:cs="Arial"/>
              </w:rPr>
            </w:pPr>
          </w:p>
        </w:tc>
        <w:tc>
          <w:tcPr>
            <w:tcW w:w="2136" w:type="dxa"/>
            <w:shd w:val="clear" w:color="auto" w:fill="D9D9D9" w:themeFill="background1" w:themeFillShade="D9"/>
          </w:tcPr>
          <w:p w:rsidR="0071027C" w:rsidRPr="00A87045" w:rsidRDefault="0071027C" w:rsidP="0071027C">
            <w:pPr>
              <w:widowControl/>
              <w:autoSpaceDE w:val="0"/>
              <w:autoSpaceDN w:val="0"/>
              <w:adjustRightInd w:val="0"/>
              <w:rPr>
                <w:rFonts w:ascii="Arial" w:hAnsi="Arial" w:cs="Arial"/>
              </w:rPr>
            </w:pPr>
            <w:r w:rsidRPr="00A87045">
              <w:rPr>
                <w:rFonts w:ascii="Arial" w:hAnsi="Arial" w:cs="Arial"/>
              </w:rPr>
              <w:t>Newborns</w:t>
            </w:r>
          </w:p>
          <w:p w:rsidR="0071027C" w:rsidRPr="00A87045" w:rsidRDefault="0071027C" w:rsidP="0071027C">
            <w:pPr>
              <w:widowControl/>
              <w:autoSpaceDE w:val="0"/>
              <w:autoSpaceDN w:val="0"/>
              <w:adjustRightInd w:val="0"/>
              <w:rPr>
                <w:rFonts w:ascii="Arial" w:hAnsi="Arial" w:cs="Arial"/>
              </w:rPr>
            </w:pPr>
            <w:r w:rsidRPr="00A87045">
              <w:rPr>
                <w:rFonts w:ascii="Arial" w:hAnsi="Arial" w:cs="Arial"/>
              </w:rPr>
              <w:t>Males and Females</w:t>
            </w:r>
          </w:p>
        </w:tc>
        <w:tc>
          <w:tcPr>
            <w:tcW w:w="3192" w:type="dxa"/>
            <w:shd w:val="clear" w:color="auto" w:fill="D9D9D9" w:themeFill="background1" w:themeFillShade="D9"/>
          </w:tcPr>
          <w:p w:rsidR="0071027C" w:rsidRPr="00A87045" w:rsidRDefault="0071027C" w:rsidP="0071027C">
            <w:pPr>
              <w:widowControl/>
              <w:autoSpaceDE w:val="0"/>
              <w:autoSpaceDN w:val="0"/>
              <w:adjustRightInd w:val="0"/>
              <w:rPr>
                <w:rFonts w:ascii="Arial" w:hAnsi="Arial" w:cs="Arial"/>
                <w:i/>
                <w:iCs/>
              </w:rPr>
            </w:pPr>
            <w:r w:rsidRPr="00A87045">
              <w:rPr>
                <w:rFonts w:ascii="Arial" w:hAnsi="Arial" w:cs="Arial"/>
                <w:i/>
                <w:iCs/>
              </w:rPr>
              <w:t>Neisseria gonorrhoeae</w:t>
            </w:r>
          </w:p>
          <w:p w:rsidR="0071027C" w:rsidRPr="00A87045" w:rsidRDefault="0071027C" w:rsidP="0071027C">
            <w:pPr>
              <w:widowControl/>
              <w:autoSpaceDE w:val="0"/>
              <w:autoSpaceDN w:val="0"/>
              <w:adjustRightInd w:val="0"/>
              <w:rPr>
                <w:rFonts w:ascii="Arial" w:hAnsi="Arial" w:cs="Arial"/>
              </w:rPr>
            </w:pPr>
            <w:r w:rsidRPr="00A87045">
              <w:rPr>
                <w:rFonts w:ascii="Arial" w:hAnsi="Arial" w:cs="Arial"/>
                <w:i/>
                <w:iCs/>
              </w:rPr>
              <w:t>Chlamydia trachomatis</w:t>
            </w:r>
          </w:p>
        </w:tc>
      </w:tr>
    </w:tbl>
    <w:p w:rsidR="0071027C" w:rsidRDefault="0071027C" w:rsidP="0071027C">
      <w:pPr>
        <w:widowControl/>
        <w:autoSpaceDE w:val="0"/>
        <w:autoSpaceDN w:val="0"/>
        <w:adjustRightInd w:val="0"/>
        <w:spacing w:after="0" w:line="240" w:lineRule="auto"/>
        <w:rPr>
          <w:rFonts w:ascii="Futura-Light" w:hAnsi="Futura-Light" w:cs="Futura-Light"/>
          <w:sz w:val="24"/>
          <w:szCs w:val="24"/>
        </w:rPr>
      </w:pPr>
    </w:p>
    <w:p w:rsidR="0071027C" w:rsidRPr="00841997" w:rsidRDefault="0071027C" w:rsidP="0071027C">
      <w:pPr>
        <w:spacing w:before="120" w:after="120" w:line="240" w:lineRule="auto"/>
        <w:jc w:val="both"/>
        <w:rPr>
          <w:rFonts w:ascii="Arial" w:hAnsi="Arial" w:cs="Arial"/>
        </w:rPr>
      </w:pPr>
      <w:r w:rsidRPr="001B33E6">
        <w:rPr>
          <w:rFonts w:ascii="Arial" w:hAnsi="Arial" w:cs="Arial"/>
        </w:rPr>
        <w:t>For management of common syndromes, see Flow Chart for Syndromic Management of STI’s/RTI’s</w:t>
      </w:r>
      <w:r w:rsidR="001B33E6" w:rsidRPr="001B33E6">
        <w:rPr>
          <w:rFonts w:ascii="Arial" w:hAnsi="Arial" w:cs="Arial"/>
        </w:rPr>
        <w:t>.</w:t>
      </w:r>
    </w:p>
    <w:p w:rsidR="0071027C" w:rsidRPr="00841997" w:rsidRDefault="0071027C" w:rsidP="0071027C">
      <w:pPr>
        <w:spacing w:before="120" w:after="120" w:line="240" w:lineRule="auto"/>
        <w:jc w:val="both"/>
        <w:rPr>
          <w:rFonts w:ascii="Arial" w:hAnsi="Arial" w:cs="Arial"/>
        </w:rPr>
      </w:pPr>
    </w:p>
    <w:p w:rsidR="0071027C" w:rsidRPr="00841997" w:rsidRDefault="0071027C" w:rsidP="0071027C">
      <w:pPr>
        <w:pStyle w:val="Heading4"/>
      </w:pPr>
      <w:r w:rsidRPr="00841997">
        <w:t>5.2.3.2 Cervical cancer</w:t>
      </w:r>
    </w:p>
    <w:p w:rsidR="0071027C" w:rsidRPr="00841997" w:rsidRDefault="0071027C" w:rsidP="0071027C">
      <w:pPr>
        <w:spacing w:before="120" w:after="120" w:line="240" w:lineRule="auto"/>
        <w:jc w:val="both"/>
        <w:rPr>
          <w:rFonts w:ascii="Arial" w:hAnsi="Arial" w:cs="Arial"/>
        </w:rPr>
      </w:pPr>
      <w:r w:rsidRPr="00841997">
        <w:rPr>
          <w:rFonts w:ascii="Arial" w:hAnsi="Arial" w:cs="Arial"/>
        </w:rPr>
        <w:t xml:space="preserve">Cervical cancer is the most common cancer in Tanzania, and the leading cause of cancer-related morbidity and mortality in women, in the country. Tanzania is among countries with, the highest cervical cancer burdens in East Africa and in the world, with an age specific standardized incidence rate (ASR) of 50.9 cases per I 00,000 women, and age specific standardized (ASR) mortality rate of </w:t>
      </w:r>
    </w:p>
    <w:p w:rsidR="0071027C" w:rsidRPr="00841997" w:rsidRDefault="0071027C" w:rsidP="0071027C">
      <w:pPr>
        <w:spacing w:before="120" w:after="120" w:line="240" w:lineRule="auto"/>
        <w:jc w:val="both"/>
        <w:rPr>
          <w:rFonts w:ascii="Arial" w:hAnsi="Arial" w:cs="Arial"/>
        </w:rPr>
      </w:pPr>
      <w:r w:rsidRPr="00841997">
        <w:rPr>
          <w:rFonts w:ascii="Arial" w:hAnsi="Arial" w:cs="Arial"/>
        </w:rPr>
        <w:t>37.5 per !00,000 women.</w:t>
      </w:r>
    </w:p>
    <w:p w:rsidR="0071027C" w:rsidRPr="00841997" w:rsidRDefault="0071027C" w:rsidP="0071027C">
      <w:pPr>
        <w:spacing w:before="120" w:after="120" w:line="240" w:lineRule="auto"/>
        <w:jc w:val="both"/>
        <w:rPr>
          <w:rFonts w:ascii="Arial" w:hAnsi="Arial" w:cs="Arial"/>
        </w:rPr>
      </w:pPr>
      <w:r w:rsidRPr="00841997">
        <w:rPr>
          <w:rFonts w:ascii="Arial" w:hAnsi="Arial" w:cs="Arial"/>
        </w:rPr>
        <w:t xml:space="preserve"> One-tenth of the estimated 72,000 new cases and 56,000 cervical cancer deaths, in sub-Saharan African countries, in the year 2000, occurred in Tanzania. Furthermore, 80% of patients who were diagnosed with cervical cancer, died within five years of diagnosis. This low survival rate is likely due to the advanced stage of the disease, at presentation and limited access to cervical cancer screening, diagnosis and treatment services. The highest burden of' the HIV epidemic, is currently in sub-Saharan Africa, including Tanzania, where more than half' of' the people who are infected, are women. The association between HIV and invasive cervical cancer is complex, with several studies clearly demonstrating an increased risk of precancerous cervical lesions and a more rapid progression to cancer, amongst HIV-infected women.</w:t>
      </w:r>
    </w:p>
    <w:p w:rsidR="0071027C" w:rsidRPr="00841997" w:rsidRDefault="0071027C" w:rsidP="0071027C">
      <w:pPr>
        <w:spacing w:before="120" w:after="120" w:line="240" w:lineRule="auto"/>
        <w:jc w:val="both"/>
        <w:rPr>
          <w:rFonts w:ascii="Arial" w:hAnsi="Arial" w:cs="Arial"/>
        </w:rPr>
      </w:pPr>
      <w:r w:rsidRPr="00841997">
        <w:rPr>
          <w:rFonts w:ascii="Arial" w:hAnsi="Arial" w:cs="Arial"/>
        </w:rPr>
        <w:t xml:space="preserve">Cervical cancer is sexually transmitted diseases with no immediate visible symptoms and occurs more frequently in HIV infected women. Cervical cancer originates from a sexually transmitted disease named Human Papilloma virus (HPV) which silently grows in the cervix and later develops to invasive cervical cancer. </w:t>
      </w:r>
    </w:p>
    <w:p w:rsidR="0071027C" w:rsidRPr="00841997" w:rsidRDefault="0071027C" w:rsidP="0071027C">
      <w:pPr>
        <w:spacing w:before="120" w:after="120" w:line="240" w:lineRule="auto"/>
        <w:jc w:val="both"/>
        <w:rPr>
          <w:rFonts w:ascii="Arial" w:hAnsi="Arial" w:cs="Arial"/>
        </w:rPr>
      </w:pPr>
      <w:r w:rsidRPr="00841997">
        <w:rPr>
          <w:rFonts w:ascii="Arial" w:hAnsi="Arial" w:cs="Arial"/>
        </w:rPr>
        <w:t xml:space="preserve">A difference between HIV/AIDS positive and HIV negative women is that HIV positive women commonly show invasive cancer ten years earlier than women who are HIV negative. It has been observed that the incidences of HPV related cell changes are related to the functioning of the immune system. Thus, when the immune function declines or CD 4 count lowers in HIV positive women the HPV cell changes increases. </w:t>
      </w:r>
    </w:p>
    <w:p w:rsidR="0071027C" w:rsidRPr="00841997" w:rsidRDefault="0071027C" w:rsidP="0071027C">
      <w:pPr>
        <w:spacing w:before="120" w:after="120" w:line="240" w:lineRule="auto"/>
        <w:jc w:val="both"/>
        <w:rPr>
          <w:rFonts w:ascii="Arial" w:hAnsi="Arial" w:cs="Arial"/>
        </w:rPr>
      </w:pPr>
      <w:r w:rsidRPr="00841997">
        <w:rPr>
          <w:rFonts w:ascii="Arial" w:hAnsi="Arial" w:cs="Arial"/>
        </w:rPr>
        <w:t xml:space="preserve">Researchers suggest that as women are living longer due to access to HAART, they are at an increased risk of contracting cervical cancer. While access to antiretroviral therapy is beginning to reduce AIDS mortality worldwide, gynaecologic oncologists warn that women being treated for AIDS could end up dying of cervical cancer unless they have access to appropriate screening and treatment. </w:t>
      </w:r>
    </w:p>
    <w:p w:rsidR="0071027C" w:rsidRPr="00841997" w:rsidRDefault="0071027C" w:rsidP="0071027C">
      <w:pPr>
        <w:spacing w:before="120" w:after="120" w:line="240" w:lineRule="auto"/>
        <w:jc w:val="both"/>
        <w:rPr>
          <w:rFonts w:ascii="Arial" w:hAnsi="Arial" w:cs="Arial"/>
        </w:rPr>
      </w:pPr>
      <w:r w:rsidRPr="00841997">
        <w:rPr>
          <w:rFonts w:ascii="Arial" w:hAnsi="Arial" w:cs="Arial"/>
        </w:rPr>
        <w:t xml:space="preserve">HIV-positive women are at a much greater risk for developing cervical cancer and require a more intensive screening schedule. It is recommended that annual cervical cancer screening using VIA as the primary screening method, or rapid HPV testing as noted previously, be integrated with national policy as part of routine care for HIV-positive women. Care and treatment clinic (CTC) sites should be closely linked with sites providing cervical cancer prevention services, or ideally, provide the services themselves. Also for HIV-positive women: </w:t>
      </w:r>
    </w:p>
    <w:p w:rsidR="0071027C" w:rsidRPr="00841997" w:rsidRDefault="0071027C" w:rsidP="00274941">
      <w:pPr>
        <w:pStyle w:val="ListParagraph"/>
        <w:numPr>
          <w:ilvl w:val="0"/>
          <w:numId w:val="37"/>
        </w:numPr>
        <w:spacing w:before="120" w:after="120"/>
        <w:jc w:val="both"/>
        <w:rPr>
          <w:rFonts w:ascii="Arial" w:hAnsi="Arial" w:cs="Arial"/>
          <w:sz w:val="22"/>
          <w:szCs w:val="22"/>
        </w:rPr>
      </w:pPr>
      <w:r w:rsidRPr="00841997">
        <w:rPr>
          <w:rFonts w:ascii="Arial" w:hAnsi="Arial" w:cs="Arial"/>
          <w:sz w:val="22"/>
          <w:szCs w:val="22"/>
        </w:rPr>
        <w:t xml:space="preserve">Start screening at HIV diagnosis, regardless of age, once sexually exposed </w:t>
      </w:r>
    </w:p>
    <w:p w:rsidR="0071027C" w:rsidRPr="00841997" w:rsidRDefault="0071027C" w:rsidP="00274941">
      <w:pPr>
        <w:pStyle w:val="ListParagraph"/>
        <w:numPr>
          <w:ilvl w:val="0"/>
          <w:numId w:val="37"/>
        </w:numPr>
        <w:spacing w:before="120" w:after="120"/>
        <w:jc w:val="both"/>
        <w:rPr>
          <w:rFonts w:ascii="Arial" w:hAnsi="Arial" w:cs="Arial"/>
          <w:sz w:val="22"/>
          <w:szCs w:val="22"/>
        </w:rPr>
      </w:pPr>
      <w:r w:rsidRPr="00841997">
        <w:rPr>
          <w:rFonts w:ascii="Arial" w:hAnsi="Arial" w:cs="Arial"/>
          <w:sz w:val="22"/>
          <w:szCs w:val="22"/>
        </w:rPr>
        <w:t>Screen annually regardless of results.</w:t>
      </w:r>
    </w:p>
    <w:p w:rsidR="0071027C" w:rsidRPr="00841997" w:rsidRDefault="0071027C" w:rsidP="0071027C">
      <w:pPr>
        <w:pStyle w:val="Heading3"/>
      </w:pPr>
      <w:bookmarkStart w:id="228" w:name="_Toc374952313"/>
      <w:bookmarkStart w:id="229" w:name="_Toc378258142"/>
      <w:bookmarkStart w:id="230" w:name="_Toc382214005"/>
      <w:r w:rsidRPr="00841997">
        <w:t>5.2.4 Infection prevention and control (IPC)</w:t>
      </w:r>
      <w:bookmarkEnd w:id="228"/>
      <w:bookmarkEnd w:id="229"/>
      <w:bookmarkEnd w:id="230"/>
    </w:p>
    <w:p w:rsidR="0071027C" w:rsidRPr="00841997" w:rsidRDefault="0071027C" w:rsidP="0071027C">
      <w:pPr>
        <w:spacing w:before="120" w:after="120" w:line="240" w:lineRule="auto"/>
        <w:jc w:val="both"/>
        <w:rPr>
          <w:rFonts w:ascii="Arial" w:hAnsi="Arial" w:cs="Arial"/>
        </w:rPr>
      </w:pPr>
      <w:r w:rsidRPr="00841997">
        <w:rPr>
          <w:rFonts w:ascii="Arial" w:hAnsi="Arial" w:cs="Arial"/>
        </w:rPr>
        <w:t>Health workers exposure to the blood of those receiving care occurs most often via accidental injuries from sharps, such as syringe needles, scalpels, lancets, broken glass or other objects contaminated with blood. Poor patient care practices by HIV-infected medical staff may also expose the patient to infection. Also, when injecting and other equipment is poorly sterilized, HIV may be passed from an HIV-infected individual to an uninfected patient within the health care setting.</w:t>
      </w:r>
    </w:p>
    <w:p w:rsidR="0071027C" w:rsidRPr="00841997" w:rsidRDefault="0071027C" w:rsidP="0071027C">
      <w:pPr>
        <w:spacing w:before="120" w:after="120" w:line="240" w:lineRule="auto"/>
        <w:jc w:val="both"/>
        <w:rPr>
          <w:rFonts w:ascii="Arial" w:hAnsi="Arial" w:cs="Arial"/>
        </w:rPr>
      </w:pPr>
      <w:r w:rsidRPr="00841997">
        <w:rPr>
          <w:rFonts w:ascii="Arial" w:hAnsi="Arial" w:cs="Arial"/>
        </w:rPr>
        <w:t>Protecting HCW’s from occupational exposure and ensure that they know their status and receive HIV services is an important priority for the health sector. HIV and other blood borne pathogens (BBPs) such as Hepatitis B and Hepatitis C may be transmitted in health care settings from a patient to a health care worker, from a health care worker to a patient or from a patient to a patient. The occupational risk of becoming HIV infected from patients in health care settings is mostly associated with injuries from sharps such as needle stick injuries, splashes of blood or other body fluids. Patient to patient transmission is iatrogenic (usually results from contaminated equipment and other materials that have been incorrectly or inadequately processed) by health care workers.</w:t>
      </w:r>
    </w:p>
    <w:p w:rsidR="0071027C" w:rsidRPr="00841997" w:rsidRDefault="0071027C" w:rsidP="0071027C">
      <w:pPr>
        <w:spacing w:before="120" w:after="120" w:line="240" w:lineRule="auto"/>
        <w:jc w:val="both"/>
        <w:rPr>
          <w:rFonts w:ascii="Arial" w:hAnsi="Arial" w:cs="Arial"/>
        </w:rPr>
      </w:pPr>
      <w:r w:rsidRPr="00841997">
        <w:rPr>
          <w:rFonts w:ascii="Arial" w:hAnsi="Arial" w:cs="Arial"/>
        </w:rPr>
        <w:t>Accidental transmission can be prevented by implementing the following infection prevention and control measures: adherence to standard precautions such as hand hygiene; use of Personal Protective Equipment (PPE) such as gloves; proper healthcare waste management; processing of instruments by decontamination; cleaning and sterilization using High-Level Disinfectants (HLDs); and observing safe work practices. The use of such measures will help to minimise the risk of HIV transmission in the health care setting.</w:t>
      </w:r>
    </w:p>
    <w:p w:rsidR="0071027C" w:rsidRPr="00841997" w:rsidRDefault="0071027C" w:rsidP="0071027C">
      <w:pPr>
        <w:spacing w:before="120" w:after="120" w:line="240" w:lineRule="auto"/>
        <w:jc w:val="both"/>
        <w:rPr>
          <w:rFonts w:ascii="Arial" w:hAnsi="Arial" w:cs="Arial"/>
        </w:rPr>
      </w:pPr>
      <w:r w:rsidRPr="00841997">
        <w:rPr>
          <w:rFonts w:ascii="Arial" w:hAnsi="Arial" w:cs="Arial"/>
        </w:rPr>
        <w:t>For effective occupational health programme facilities, managers and providers should ensure:</w:t>
      </w:r>
    </w:p>
    <w:p w:rsidR="0071027C" w:rsidRPr="00841997" w:rsidRDefault="0071027C" w:rsidP="00274941">
      <w:pPr>
        <w:pStyle w:val="ListParagraph"/>
        <w:numPr>
          <w:ilvl w:val="0"/>
          <w:numId w:val="37"/>
        </w:numPr>
        <w:spacing w:before="120" w:after="120"/>
        <w:jc w:val="both"/>
        <w:rPr>
          <w:rFonts w:ascii="Arial" w:hAnsi="Arial" w:cs="Arial"/>
          <w:sz w:val="22"/>
          <w:szCs w:val="22"/>
        </w:rPr>
      </w:pPr>
      <w:r w:rsidRPr="00841997">
        <w:rPr>
          <w:rFonts w:ascii="Arial" w:hAnsi="Arial" w:cs="Arial"/>
          <w:sz w:val="22"/>
          <w:szCs w:val="22"/>
        </w:rPr>
        <w:t>A good occupational health programme aims to identify, eliminate and control exposure to hazards in the workplace</w:t>
      </w:r>
    </w:p>
    <w:p w:rsidR="0071027C" w:rsidRPr="00841997" w:rsidRDefault="0071027C" w:rsidP="00274941">
      <w:pPr>
        <w:pStyle w:val="ListParagraph"/>
        <w:numPr>
          <w:ilvl w:val="0"/>
          <w:numId w:val="37"/>
        </w:numPr>
        <w:spacing w:before="120" w:after="120"/>
        <w:jc w:val="both"/>
        <w:rPr>
          <w:rFonts w:ascii="Arial" w:hAnsi="Arial" w:cs="Arial"/>
          <w:sz w:val="22"/>
          <w:szCs w:val="22"/>
        </w:rPr>
      </w:pPr>
      <w:r w:rsidRPr="00841997">
        <w:rPr>
          <w:rFonts w:ascii="Arial" w:hAnsi="Arial" w:cs="Arial"/>
          <w:sz w:val="22"/>
          <w:szCs w:val="22"/>
        </w:rPr>
        <w:t>Provision of training to health care workers in identifying and controlling hazards</w:t>
      </w:r>
    </w:p>
    <w:p w:rsidR="0071027C" w:rsidRPr="00841997" w:rsidRDefault="0071027C" w:rsidP="00274941">
      <w:pPr>
        <w:pStyle w:val="ListParagraph"/>
        <w:numPr>
          <w:ilvl w:val="0"/>
          <w:numId w:val="37"/>
        </w:numPr>
        <w:spacing w:before="120" w:after="120"/>
        <w:jc w:val="both"/>
        <w:rPr>
          <w:rFonts w:ascii="Arial" w:hAnsi="Arial" w:cs="Arial"/>
          <w:sz w:val="22"/>
          <w:szCs w:val="22"/>
        </w:rPr>
      </w:pPr>
      <w:r w:rsidRPr="00841997">
        <w:rPr>
          <w:rFonts w:ascii="Arial" w:hAnsi="Arial" w:cs="Arial"/>
          <w:sz w:val="22"/>
          <w:szCs w:val="22"/>
        </w:rPr>
        <w:t>Promotion of health workers’ knowledge of their own HIV, hepatitis and TB status through employment/pre- placement screening</w:t>
      </w:r>
    </w:p>
    <w:p w:rsidR="0071027C" w:rsidRPr="00841997" w:rsidRDefault="0071027C" w:rsidP="00274941">
      <w:pPr>
        <w:pStyle w:val="ListParagraph"/>
        <w:numPr>
          <w:ilvl w:val="0"/>
          <w:numId w:val="37"/>
        </w:numPr>
        <w:spacing w:before="120" w:after="120"/>
        <w:jc w:val="both"/>
        <w:rPr>
          <w:rFonts w:ascii="Arial" w:hAnsi="Arial" w:cs="Arial"/>
          <w:sz w:val="22"/>
          <w:szCs w:val="22"/>
        </w:rPr>
      </w:pPr>
      <w:r w:rsidRPr="00841997">
        <w:rPr>
          <w:rFonts w:ascii="Arial" w:hAnsi="Arial" w:cs="Arial"/>
          <w:sz w:val="22"/>
          <w:szCs w:val="22"/>
        </w:rPr>
        <w:t>Provision of immunization against hepatitis B</w:t>
      </w:r>
    </w:p>
    <w:p w:rsidR="0071027C" w:rsidRPr="00841997" w:rsidRDefault="0071027C" w:rsidP="00274941">
      <w:pPr>
        <w:pStyle w:val="ListParagraph"/>
        <w:numPr>
          <w:ilvl w:val="0"/>
          <w:numId w:val="37"/>
        </w:numPr>
        <w:spacing w:before="120" w:after="120"/>
        <w:jc w:val="both"/>
        <w:rPr>
          <w:rFonts w:ascii="Arial" w:hAnsi="Arial" w:cs="Arial"/>
          <w:sz w:val="22"/>
          <w:szCs w:val="22"/>
        </w:rPr>
      </w:pPr>
      <w:r w:rsidRPr="00841997">
        <w:rPr>
          <w:rFonts w:ascii="Arial" w:hAnsi="Arial" w:cs="Arial"/>
          <w:sz w:val="22"/>
          <w:szCs w:val="22"/>
        </w:rPr>
        <w:t>Implementation of standard precautions</w:t>
      </w:r>
    </w:p>
    <w:p w:rsidR="0071027C" w:rsidRPr="00841997" w:rsidRDefault="0071027C" w:rsidP="00274941">
      <w:pPr>
        <w:pStyle w:val="ListParagraph"/>
        <w:numPr>
          <w:ilvl w:val="0"/>
          <w:numId w:val="37"/>
        </w:numPr>
        <w:spacing w:before="120" w:after="120"/>
        <w:jc w:val="both"/>
        <w:rPr>
          <w:rFonts w:ascii="Arial" w:hAnsi="Arial" w:cs="Arial"/>
          <w:sz w:val="22"/>
          <w:szCs w:val="22"/>
        </w:rPr>
      </w:pPr>
      <w:r w:rsidRPr="00841997">
        <w:rPr>
          <w:rFonts w:ascii="Arial" w:hAnsi="Arial" w:cs="Arial"/>
          <w:sz w:val="22"/>
          <w:szCs w:val="22"/>
        </w:rPr>
        <w:t>Provision of free access to post-exposure antiretroviral prophylaxis for HIV</w:t>
      </w:r>
    </w:p>
    <w:p w:rsidR="0071027C" w:rsidRPr="00841997" w:rsidRDefault="0071027C" w:rsidP="00274941">
      <w:pPr>
        <w:pStyle w:val="ListParagraph"/>
        <w:numPr>
          <w:ilvl w:val="0"/>
          <w:numId w:val="37"/>
        </w:numPr>
        <w:spacing w:before="120" w:after="120"/>
        <w:jc w:val="both"/>
        <w:rPr>
          <w:rFonts w:ascii="Arial" w:hAnsi="Arial" w:cs="Arial"/>
          <w:sz w:val="22"/>
          <w:szCs w:val="22"/>
        </w:rPr>
      </w:pPr>
      <w:r w:rsidRPr="00841997">
        <w:rPr>
          <w:rFonts w:ascii="Arial" w:hAnsi="Arial" w:cs="Arial"/>
          <w:sz w:val="22"/>
          <w:szCs w:val="22"/>
        </w:rPr>
        <w:t>Promotion of reporting of incidents and quality control of services provided</w:t>
      </w:r>
    </w:p>
    <w:p w:rsidR="0071027C" w:rsidRPr="00841997" w:rsidRDefault="0071027C" w:rsidP="0071027C">
      <w:pPr>
        <w:pStyle w:val="Heading4"/>
      </w:pPr>
      <w:r w:rsidRPr="00841997">
        <w:t>5.2.4.1 Safe injections</w:t>
      </w:r>
    </w:p>
    <w:p w:rsidR="0071027C" w:rsidRPr="00841997" w:rsidRDefault="0071027C" w:rsidP="0071027C">
      <w:pPr>
        <w:spacing w:before="120" w:after="120" w:line="240" w:lineRule="auto"/>
        <w:jc w:val="both"/>
        <w:rPr>
          <w:rFonts w:ascii="Arial" w:hAnsi="Arial" w:cs="Arial"/>
        </w:rPr>
      </w:pPr>
      <w:r w:rsidRPr="00841997">
        <w:rPr>
          <w:rFonts w:ascii="Arial" w:hAnsi="Arial" w:cs="Arial"/>
        </w:rPr>
        <w:t>Injection is one of the most common health procedures. In certain regions of the world, use of injections has overtaken the real need, reaching levels that are not based on rational medical practice. Unsafe injections expose millions of health care patients to infections, including hepatitis B and C viruses, and HIV. To ensure safe injection practices facilities managers and providers should:</w:t>
      </w:r>
    </w:p>
    <w:p w:rsidR="0071027C" w:rsidRPr="00841997" w:rsidRDefault="0071027C" w:rsidP="00274941">
      <w:pPr>
        <w:pStyle w:val="ListParagraph"/>
        <w:numPr>
          <w:ilvl w:val="0"/>
          <w:numId w:val="37"/>
        </w:numPr>
        <w:spacing w:before="120" w:after="120"/>
        <w:contextualSpacing w:val="0"/>
        <w:jc w:val="both"/>
        <w:rPr>
          <w:rFonts w:ascii="Arial" w:hAnsi="Arial" w:cs="Arial"/>
          <w:sz w:val="22"/>
          <w:szCs w:val="22"/>
        </w:rPr>
      </w:pPr>
      <w:r w:rsidRPr="00841997">
        <w:rPr>
          <w:rFonts w:ascii="Arial" w:hAnsi="Arial" w:cs="Arial"/>
          <w:sz w:val="22"/>
          <w:szCs w:val="22"/>
        </w:rPr>
        <w:t xml:space="preserve">Develop a behavioural change strategy targeting health care workers and patients. This includes culturally adapted communication strategies targeting health workers and the community to reduce injection overuse and create consumer demand for safety devices. </w:t>
      </w:r>
    </w:p>
    <w:p w:rsidR="0071027C" w:rsidRPr="00841997" w:rsidRDefault="0071027C" w:rsidP="00274941">
      <w:pPr>
        <w:pStyle w:val="ListParagraph"/>
        <w:numPr>
          <w:ilvl w:val="0"/>
          <w:numId w:val="37"/>
        </w:numPr>
        <w:spacing w:before="120" w:after="120"/>
        <w:contextualSpacing w:val="0"/>
        <w:jc w:val="both"/>
        <w:rPr>
          <w:rFonts w:ascii="Arial" w:hAnsi="Arial" w:cs="Arial"/>
          <w:sz w:val="22"/>
          <w:szCs w:val="22"/>
        </w:rPr>
      </w:pPr>
      <w:r w:rsidRPr="00841997">
        <w:rPr>
          <w:rFonts w:ascii="Arial" w:hAnsi="Arial" w:cs="Arial"/>
          <w:sz w:val="22"/>
          <w:szCs w:val="22"/>
        </w:rPr>
        <w:t>Ensure continuous availability of good quality equipment and supplies. Simply increasing the availability of safe injection equipment can stimulate demand and improve practices.</w:t>
      </w:r>
    </w:p>
    <w:p w:rsidR="0071027C" w:rsidRPr="00841997" w:rsidRDefault="0071027C" w:rsidP="00274941">
      <w:pPr>
        <w:pStyle w:val="ListParagraph"/>
        <w:numPr>
          <w:ilvl w:val="0"/>
          <w:numId w:val="37"/>
        </w:numPr>
        <w:spacing w:before="120" w:after="120"/>
        <w:contextualSpacing w:val="0"/>
        <w:jc w:val="both"/>
        <w:rPr>
          <w:rFonts w:ascii="Arial" w:hAnsi="Arial" w:cs="Arial"/>
          <w:sz w:val="22"/>
          <w:szCs w:val="22"/>
        </w:rPr>
      </w:pPr>
      <w:r w:rsidRPr="00841997">
        <w:rPr>
          <w:rFonts w:ascii="Arial" w:hAnsi="Arial" w:cs="Arial"/>
          <w:sz w:val="22"/>
          <w:szCs w:val="22"/>
        </w:rPr>
        <w:t xml:space="preserve">Manage waste safely and appropriately. Waste disposal is frequently not an integral part of health planning, and unsafe waste management is common. </w:t>
      </w:r>
    </w:p>
    <w:p w:rsidR="0071027C" w:rsidRPr="00841997" w:rsidRDefault="0071027C" w:rsidP="0071027C">
      <w:pPr>
        <w:pStyle w:val="Heading4"/>
      </w:pPr>
      <w:r w:rsidRPr="00841997">
        <w:t>5.2.4.2 Prevention of HIV Transmission through Standard Precautions</w:t>
      </w:r>
    </w:p>
    <w:p w:rsidR="0071027C" w:rsidRPr="00841997" w:rsidRDefault="0071027C" w:rsidP="0071027C">
      <w:pPr>
        <w:spacing w:before="120" w:after="120" w:line="240" w:lineRule="auto"/>
        <w:jc w:val="both"/>
        <w:rPr>
          <w:rFonts w:ascii="Arial" w:hAnsi="Arial" w:cs="Arial"/>
        </w:rPr>
      </w:pPr>
      <w:r w:rsidRPr="00841997">
        <w:rPr>
          <w:rFonts w:ascii="Arial" w:hAnsi="Arial" w:cs="Arial"/>
        </w:rPr>
        <w:t>Standard precautions are a simple set of effective practice guidelines that create a physical, mechanical and chemical barrier to protect health care workers and patients from infection with a range of pathogens including blood borne pathogens. Standard precautions are used when caring for all patients regardless of diagnosis (WHO).</w:t>
      </w:r>
    </w:p>
    <w:p w:rsidR="0071027C" w:rsidRDefault="0071027C" w:rsidP="00AA771C">
      <w:pPr>
        <w:autoSpaceDE w:val="0"/>
        <w:autoSpaceDN w:val="0"/>
        <w:adjustRightInd w:val="0"/>
        <w:spacing w:beforeLines="120" w:before="288" w:afterLines="120" w:after="288" w:line="288" w:lineRule="auto"/>
        <w:jc w:val="both"/>
        <w:rPr>
          <w:rFonts w:ascii="Arial Narrow" w:hAnsi="Arial Narrow"/>
          <w:b/>
          <w:iCs/>
          <w:sz w:val="24"/>
          <w:szCs w:val="24"/>
        </w:rPr>
      </w:pPr>
      <w:r w:rsidRPr="00C203F3">
        <w:rPr>
          <w:rFonts w:ascii="Arial Narrow" w:hAnsi="Arial Narrow"/>
          <w:b/>
          <w:iCs/>
          <w:sz w:val="24"/>
          <w:szCs w:val="24"/>
        </w:rPr>
        <w:t>Components of Standard Precautions</w:t>
      </w:r>
    </w:p>
    <w:p w:rsidR="0071027C" w:rsidRPr="00841997" w:rsidRDefault="0071027C" w:rsidP="0071027C">
      <w:pPr>
        <w:spacing w:before="120" w:after="120" w:line="240" w:lineRule="auto"/>
        <w:jc w:val="both"/>
        <w:rPr>
          <w:rFonts w:ascii="Arial" w:hAnsi="Arial" w:cs="Arial"/>
        </w:rPr>
      </w:pPr>
      <w:r w:rsidRPr="00841997">
        <w:rPr>
          <w:rFonts w:ascii="Arial" w:hAnsi="Arial" w:cs="Arial"/>
        </w:rPr>
        <w:t>The key components of standard precautions include:</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Considering every person (patient or staff) as potentially infectious and susceptible to infection.</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Hand hygiene practices including hand washing, use of hand antiseptics, alcohol hand rub and surgical hand scrubs.</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Use of PPE such as gloves, masks, goggles, caps, gowns, boots and aprons.</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Use of antiseptic agents for cleansing skin or mucous membranes prior to surgery, cleaning wounds, or doing hand rubs or surgical hand scrubs.</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Safe work practices such as avoiding recapping or bending used needles, proper handling of sharps, linens, and equipments for patient resuscitation and patient care.</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Safe disposal of infectious waste materials and sharp wastes.</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Processing of instruments by decontaminating, thoroughly cleaning and sterilizing them with HLDs using recommended procedures.</w:t>
      </w:r>
    </w:p>
    <w:p w:rsidR="0071027C" w:rsidRPr="00841997" w:rsidRDefault="0071027C" w:rsidP="0071027C">
      <w:pPr>
        <w:pStyle w:val="Heading4"/>
      </w:pPr>
      <w:r w:rsidRPr="00841997">
        <w:t>5.2.4.3 Implementation of Standard precautions</w:t>
      </w:r>
    </w:p>
    <w:p w:rsidR="0071027C" w:rsidRPr="00841997" w:rsidRDefault="0071027C" w:rsidP="0071027C">
      <w:pPr>
        <w:spacing w:before="120" w:after="120" w:line="240" w:lineRule="auto"/>
        <w:jc w:val="both"/>
        <w:rPr>
          <w:rFonts w:ascii="Arial" w:hAnsi="Arial" w:cs="Arial"/>
        </w:rPr>
      </w:pPr>
      <w:r w:rsidRPr="00841997">
        <w:rPr>
          <w:rFonts w:ascii="Arial" w:hAnsi="Arial" w:cs="Arial"/>
        </w:rPr>
        <w:t>In practice, implementation of standard precautions includes the following interventions:</w:t>
      </w:r>
    </w:p>
    <w:p w:rsidR="0071027C" w:rsidRPr="00841997" w:rsidRDefault="0071027C" w:rsidP="00274941">
      <w:pPr>
        <w:pStyle w:val="ListParagraph"/>
        <w:numPr>
          <w:ilvl w:val="0"/>
          <w:numId w:val="33"/>
        </w:numPr>
        <w:autoSpaceDE w:val="0"/>
        <w:autoSpaceDN w:val="0"/>
        <w:adjustRightInd w:val="0"/>
        <w:spacing w:before="120" w:after="120"/>
        <w:jc w:val="both"/>
        <w:rPr>
          <w:rFonts w:ascii="Arial" w:hAnsi="Arial" w:cs="Arial"/>
          <w:b/>
          <w:iCs/>
          <w:sz w:val="22"/>
          <w:szCs w:val="22"/>
        </w:rPr>
      </w:pPr>
      <w:r w:rsidRPr="00841997">
        <w:rPr>
          <w:rFonts w:ascii="Arial" w:hAnsi="Arial" w:cs="Arial"/>
          <w:b/>
          <w:iCs/>
          <w:sz w:val="22"/>
          <w:szCs w:val="22"/>
        </w:rPr>
        <w:t>Hand Hygiene</w:t>
      </w:r>
    </w:p>
    <w:p w:rsidR="0071027C" w:rsidRPr="00841997" w:rsidRDefault="0071027C" w:rsidP="0071027C">
      <w:pPr>
        <w:autoSpaceDE w:val="0"/>
        <w:autoSpaceDN w:val="0"/>
        <w:adjustRightInd w:val="0"/>
        <w:spacing w:before="120" w:after="120" w:line="240" w:lineRule="auto"/>
        <w:jc w:val="both"/>
        <w:rPr>
          <w:rFonts w:ascii="Arial" w:hAnsi="Arial" w:cs="Arial"/>
        </w:rPr>
      </w:pPr>
      <w:r w:rsidRPr="00841997">
        <w:rPr>
          <w:rFonts w:ascii="Arial" w:hAnsi="Arial" w:cs="Arial"/>
        </w:rPr>
        <w:t xml:space="preserve">Hand hygiene techniques significantly reduce the number of disease-causing micro-organisms on hands and minimize cross-contamination of healthcare-related infections, such as those from health care worker to patient. Common hand hygiene procedures include routine hand washing, hand washing with antiseptics. </w:t>
      </w:r>
    </w:p>
    <w:p w:rsidR="0071027C" w:rsidRPr="00841997" w:rsidRDefault="0071027C" w:rsidP="0071027C">
      <w:pPr>
        <w:autoSpaceDE w:val="0"/>
        <w:autoSpaceDN w:val="0"/>
        <w:adjustRightInd w:val="0"/>
        <w:spacing w:before="120" w:after="120" w:line="240" w:lineRule="auto"/>
        <w:jc w:val="both"/>
        <w:rPr>
          <w:rFonts w:ascii="Arial" w:hAnsi="Arial" w:cs="Arial"/>
        </w:rPr>
      </w:pPr>
      <w:r w:rsidRPr="00841997">
        <w:rPr>
          <w:rFonts w:ascii="Arial" w:hAnsi="Arial" w:cs="Arial"/>
        </w:rPr>
        <w:t>The need to apply hand hygiene procedures is determined by:</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intensity of contact with patients and/or blood and bodily fluids</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likelihood of microbial transmission</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patients’ susceptibility to infections</w:t>
      </w:r>
    </w:p>
    <w:p w:rsidR="0071027C"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procedures being performed</w:t>
      </w:r>
    </w:p>
    <w:p w:rsidR="0071027C" w:rsidRPr="00841997" w:rsidRDefault="0071027C" w:rsidP="0071027C">
      <w:pPr>
        <w:pStyle w:val="ListParagraph"/>
        <w:contextualSpacing w:val="0"/>
        <w:jc w:val="both"/>
        <w:rPr>
          <w:rFonts w:ascii="Arial" w:hAnsi="Arial" w:cs="Arial"/>
          <w:sz w:val="22"/>
          <w:szCs w:val="22"/>
        </w:rPr>
      </w:pPr>
    </w:p>
    <w:p w:rsidR="0071027C" w:rsidRPr="00841997" w:rsidRDefault="0071027C" w:rsidP="00274941">
      <w:pPr>
        <w:pStyle w:val="ListParagraph"/>
        <w:numPr>
          <w:ilvl w:val="0"/>
          <w:numId w:val="33"/>
        </w:numPr>
        <w:autoSpaceDE w:val="0"/>
        <w:autoSpaceDN w:val="0"/>
        <w:adjustRightInd w:val="0"/>
        <w:spacing w:before="120" w:after="120"/>
        <w:jc w:val="both"/>
        <w:rPr>
          <w:rFonts w:ascii="Arial" w:hAnsi="Arial" w:cs="Arial"/>
          <w:b/>
          <w:iCs/>
          <w:sz w:val="22"/>
          <w:szCs w:val="22"/>
        </w:rPr>
      </w:pPr>
      <w:r w:rsidRPr="00841997">
        <w:rPr>
          <w:rFonts w:ascii="Arial" w:hAnsi="Arial" w:cs="Arial"/>
          <w:b/>
          <w:iCs/>
          <w:sz w:val="22"/>
          <w:szCs w:val="22"/>
        </w:rPr>
        <w:t>Personal Protective Equipment (PPE)</w:t>
      </w:r>
    </w:p>
    <w:p w:rsidR="0071027C" w:rsidRPr="00841997" w:rsidRDefault="0071027C" w:rsidP="0071027C">
      <w:pPr>
        <w:autoSpaceDE w:val="0"/>
        <w:autoSpaceDN w:val="0"/>
        <w:adjustRightInd w:val="0"/>
        <w:spacing w:before="120" w:after="120" w:line="240" w:lineRule="auto"/>
        <w:jc w:val="both"/>
        <w:rPr>
          <w:rFonts w:ascii="Arial" w:hAnsi="Arial" w:cs="Arial"/>
        </w:rPr>
      </w:pPr>
      <w:r w:rsidRPr="00841997">
        <w:rPr>
          <w:rFonts w:ascii="Arial" w:hAnsi="Arial" w:cs="Arial"/>
        </w:rPr>
        <w:t>Personal protective equipment safeguards clients and health care staff from being contaminated or infected by disease-causing micro-organisms. Examples of PPE include:</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Gloves (surgical, examination, elbow-length or heavy duty)</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Fluid impermeable aprons</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Masks and caps</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Protective eyewear</w:t>
      </w:r>
    </w:p>
    <w:p w:rsidR="0071027C"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Boots</w:t>
      </w:r>
    </w:p>
    <w:p w:rsidR="0071027C" w:rsidRPr="00841997" w:rsidRDefault="0071027C" w:rsidP="0071027C">
      <w:pPr>
        <w:pStyle w:val="ListParagraph"/>
        <w:contextualSpacing w:val="0"/>
        <w:jc w:val="both"/>
        <w:rPr>
          <w:rFonts w:ascii="Arial" w:hAnsi="Arial" w:cs="Arial"/>
          <w:sz w:val="22"/>
          <w:szCs w:val="22"/>
        </w:rPr>
      </w:pPr>
    </w:p>
    <w:p w:rsidR="0071027C" w:rsidRPr="00841997" w:rsidRDefault="0071027C" w:rsidP="00274941">
      <w:pPr>
        <w:pStyle w:val="ListParagraph"/>
        <w:numPr>
          <w:ilvl w:val="0"/>
          <w:numId w:val="34"/>
        </w:numPr>
        <w:autoSpaceDE w:val="0"/>
        <w:autoSpaceDN w:val="0"/>
        <w:adjustRightInd w:val="0"/>
        <w:spacing w:before="120" w:after="120"/>
        <w:jc w:val="both"/>
        <w:rPr>
          <w:rFonts w:ascii="Arial" w:hAnsi="Arial" w:cs="Arial"/>
          <w:b/>
          <w:sz w:val="22"/>
          <w:szCs w:val="22"/>
        </w:rPr>
      </w:pPr>
      <w:r w:rsidRPr="00841997">
        <w:rPr>
          <w:rFonts w:ascii="Arial" w:hAnsi="Arial" w:cs="Arial"/>
          <w:b/>
          <w:sz w:val="22"/>
          <w:szCs w:val="22"/>
        </w:rPr>
        <w:t>Gloves</w:t>
      </w:r>
    </w:p>
    <w:p w:rsidR="0071027C" w:rsidRPr="00841997" w:rsidRDefault="0071027C" w:rsidP="0071027C">
      <w:pPr>
        <w:autoSpaceDE w:val="0"/>
        <w:autoSpaceDN w:val="0"/>
        <w:adjustRightInd w:val="0"/>
        <w:spacing w:before="120" w:after="120" w:line="240" w:lineRule="auto"/>
        <w:jc w:val="both"/>
        <w:rPr>
          <w:rFonts w:ascii="Arial" w:hAnsi="Arial" w:cs="Arial"/>
        </w:rPr>
      </w:pPr>
      <w:r w:rsidRPr="00841997">
        <w:rPr>
          <w:rFonts w:ascii="Arial" w:hAnsi="Arial" w:cs="Arial"/>
        </w:rPr>
        <w:t>The use of a separate pair of gloves for each patient helps prevent the transmission of infection from person-to-person. HCWs should use gloves when:</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they anticipate contact with blood, other bodily fluids, mucous membranes, broken or cut skin</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handling items contaminated with blood, other bodily fluids and/or secretions</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performing housekeeping activities</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handling healthcare waste (should use utility gloves)</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they have skin lesions on their hands, and</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performing surgical procedures and vaginal examinations in labour (must use sterile gloves)</w:t>
      </w:r>
    </w:p>
    <w:p w:rsidR="0071027C" w:rsidRDefault="0071027C" w:rsidP="0071027C">
      <w:pPr>
        <w:autoSpaceDE w:val="0"/>
        <w:autoSpaceDN w:val="0"/>
        <w:adjustRightInd w:val="0"/>
        <w:spacing w:before="120" w:after="120" w:line="240" w:lineRule="auto"/>
        <w:jc w:val="both"/>
        <w:rPr>
          <w:rFonts w:ascii="Arial" w:hAnsi="Arial" w:cs="Arial"/>
        </w:rPr>
      </w:pPr>
      <w:r w:rsidRPr="00841997">
        <w:rPr>
          <w:rFonts w:ascii="Arial" w:hAnsi="Arial" w:cs="Arial"/>
        </w:rPr>
        <w:t>Gloves are not required for routine care activities during which contact is limited to a patient’s intact skin.</w:t>
      </w:r>
    </w:p>
    <w:p w:rsidR="0071027C" w:rsidRPr="00841997" w:rsidRDefault="0071027C" w:rsidP="00274941">
      <w:pPr>
        <w:pStyle w:val="ListParagraph"/>
        <w:numPr>
          <w:ilvl w:val="0"/>
          <w:numId w:val="34"/>
        </w:numPr>
        <w:autoSpaceDE w:val="0"/>
        <w:autoSpaceDN w:val="0"/>
        <w:adjustRightInd w:val="0"/>
        <w:spacing w:before="120" w:after="120"/>
        <w:jc w:val="both"/>
        <w:rPr>
          <w:rFonts w:ascii="Arial" w:hAnsi="Arial" w:cs="Arial"/>
          <w:b/>
          <w:sz w:val="22"/>
          <w:szCs w:val="22"/>
        </w:rPr>
      </w:pPr>
      <w:r w:rsidRPr="00841997">
        <w:rPr>
          <w:rFonts w:ascii="Arial" w:hAnsi="Arial" w:cs="Arial"/>
          <w:b/>
          <w:sz w:val="22"/>
          <w:szCs w:val="22"/>
        </w:rPr>
        <w:t>Aprons</w:t>
      </w:r>
    </w:p>
    <w:p w:rsidR="0071027C" w:rsidRDefault="0071027C" w:rsidP="0071027C">
      <w:pPr>
        <w:autoSpaceDE w:val="0"/>
        <w:autoSpaceDN w:val="0"/>
        <w:adjustRightInd w:val="0"/>
        <w:spacing w:before="120" w:after="120" w:line="240" w:lineRule="auto"/>
        <w:jc w:val="both"/>
        <w:rPr>
          <w:rFonts w:ascii="Arial" w:hAnsi="Arial" w:cs="Arial"/>
        </w:rPr>
      </w:pPr>
      <w:r w:rsidRPr="00841997">
        <w:rPr>
          <w:rFonts w:ascii="Arial" w:hAnsi="Arial" w:cs="Arial"/>
        </w:rPr>
        <w:t>Rubber or plastic aprons provide a protective waterproof barrier for the healthcare worker.</w:t>
      </w:r>
    </w:p>
    <w:p w:rsidR="0071027C" w:rsidRPr="00841997" w:rsidRDefault="0071027C" w:rsidP="00274941">
      <w:pPr>
        <w:pStyle w:val="ListParagraph"/>
        <w:numPr>
          <w:ilvl w:val="0"/>
          <w:numId w:val="34"/>
        </w:numPr>
        <w:autoSpaceDE w:val="0"/>
        <w:autoSpaceDN w:val="0"/>
        <w:adjustRightInd w:val="0"/>
        <w:spacing w:before="120" w:after="120"/>
        <w:jc w:val="both"/>
        <w:rPr>
          <w:rFonts w:ascii="Arial" w:hAnsi="Arial" w:cs="Arial"/>
          <w:b/>
          <w:sz w:val="22"/>
          <w:szCs w:val="22"/>
        </w:rPr>
      </w:pPr>
      <w:r w:rsidRPr="00841997">
        <w:rPr>
          <w:rFonts w:ascii="Arial" w:hAnsi="Arial" w:cs="Arial"/>
          <w:b/>
          <w:sz w:val="22"/>
          <w:szCs w:val="22"/>
        </w:rPr>
        <w:t>Protective Eyewear</w:t>
      </w:r>
    </w:p>
    <w:p w:rsidR="0071027C" w:rsidRDefault="0071027C" w:rsidP="0071027C">
      <w:pPr>
        <w:autoSpaceDE w:val="0"/>
        <w:autoSpaceDN w:val="0"/>
        <w:adjustRightInd w:val="0"/>
        <w:spacing w:before="120" w:after="120" w:line="240" w:lineRule="auto"/>
        <w:jc w:val="both"/>
        <w:rPr>
          <w:rFonts w:ascii="Arial" w:hAnsi="Arial" w:cs="Arial"/>
        </w:rPr>
      </w:pPr>
      <w:r w:rsidRPr="00841997">
        <w:rPr>
          <w:rFonts w:ascii="Arial" w:hAnsi="Arial" w:cs="Arial"/>
        </w:rPr>
        <w:t>Eyewear such as plastic goggles, safety glasses, face shields, or visors that protect the eyes should be used when a splash of blood is anticipated such as during labour and delivery and in surgical or casualty units.</w:t>
      </w:r>
    </w:p>
    <w:p w:rsidR="0071027C" w:rsidRPr="00841997" w:rsidRDefault="0071027C" w:rsidP="00274941">
      <w:pPr>
        <w:pStyle w:val="ListParagraph"/>
        <w:numPr>
          <w:ilvl w:val="0"/>
          <w:numId w:val="34"/>
        </w:numPr>
        <w:autoSpaceDE w:val="0"/>
        <w:autoSpaceDN w:val="0"/>
        <w:adjustRightInd w:val="0"/>
        <w:spacing w:before="120" w:after="120"/>
        <w:jc w:val="both"/>
        <w:rPr>
          <w:rFonts w:ascii="Arial" w:hAnsi="Arial" w:cs="Arial"/>
          <w:b/>
          <w:sz w:val="22"/>
          <w:szCs w:val="22"/>
        </w:rPr>
      </w:pPr>
      <w:r w:rsidRPr="00841997">
        <w:rPr>
          <w:rFonts w:ascii="Arial" w:hAnsi="Arial" w:cs="Arial"/>
          <w:b/>
          <w:sz w:val="22"/>
          <w:szCs w:val="22"/>
        </w:rPr>
        <w:t>Boots</w:t>
      </w:r>
    </w:p>
    <w:p w:rsidR="0071027C" w:rsidRDefault="0071027C" w:rsidP="0071027C">
      <w:pPr>
        <w:autoSpaceDE w:val="0"/>
        <w:autoSpaceDN w:val="0"/>
        <w:adjustRightInd w:val="0"/>
        <w:spacing w:before="120" w:after="120" w:line="240" w:lineRule="auto"/>
        <w:jc w:val="both"/>
        <w:rPr>
          <w:rFonts w:ascii="Arial" w:hAnsi="Arial" w:cs="Arial"/>
        </w:rPr>
      </w:pPr>
      <w:r w:rsidRPr="00841997">
        <w:rPr>
          <w:rFonts w:ascii="Arial" w:hAnsi="Arial" w:cs="Arial"/>
        </w:rPr>
        <w:t>Rubber boots or leather shoes provide extra protection from injury by sharps or heavy items that may accidentally fall. They must be kept clean. Healthcare workers should avoid wearing sandals or shoes made of soft materials.</w:t>
      </w:r>
    </w:p>
    <w:p w:rsidR="0071027C" w:rsidRPr="00841997" w:rsidRDefault="0071027C" w:rsidP="0071027C">
      <w:pPr>
        <w:autoSpaceDE w:val="0"/>
        <w:autoSpaceDN w:val="0"/>
        <w:adjustRightInd w:val="0"/>
        <w:spacing w:before="120" w:after="120" w:line="240" w:lineRule="auto"/>
        <w:jc w:val="both"/>
        <w:rPr>
          <w:rFonts w:ascii="Arial" w:hAnsi="Arial" w:cs="Arial"/>
        </w:rPr>
      </w:pPr>
    </w:p>
    <w:p w:rsidR="0071027C" w:rsidRPr="00841997" w:rsidRDefault="0071027C" w:rsidP="00274941">
      <w:pPr>
        <w:pStyle w:val="ListParagraph"/>
        <w:numPr>
          <w:ilvl w:val="0"/>
          <w:numId w:val="33"/>
        </w:numPr>
        <w:autoSpaceDE w:val="0"/>
        <w:autoSpaceDN w:val="0"/>
        <w:adjustRightInd w:val="0"/>
        <w:spacing w:before="120" w:after="120"/>
        <w:jc w:val="both"/>
        <w:rPr>
          <w:rFonts w:ascii="Arial" w:hAnsi="Arial" w:cs="Arial"/>
          <w:b/>
          <w:sz w:val="22"/>
          <w:szCs w:val="22"/>
        </w:rPr>
      </w:pPr>
      <w:r w:rsidRPr="00841997">
        <w:rPr>
          <w:rFonts w:ascii="Arial" w:hAnsi="Arial" w:cs="Arial"/>
          <w:b/>
          <w:sz w:val="22"/>
          <w:szCs w:val="22"/>
        </w:rPr>
        <w:t>Handling and Disposal of Healthcare Waste, Such as Sharp Instruments</w:t>
      </w:r>
    </w:p>
    <w:p w:rsidR="0071027C" w:rsidRPr="00841997" w:rsidRDefault="0071027C" w:rsidP="0071027C">
      <w:pPr>
        <w:autoSpaceDE w:val="0"/>
        <w:autoSpaceDN w:val="0"/>
        <w:adjustRightInd w:val="0"/>
        <w:spacing w:before="120" w:after="120" w:line="240" w:lineRule="auto"/>
        <w:jc w:val="both"/>
        <w:rPr>
          <w:rFonts w:ascii="Arial" w:hAnsi="Arial" w:cs="Arial"/>
        </w:rPr>
      </w:pPr>
      <w:r w:rsidRPr="00841997">
        <w:rPr>
          <w:rFonts w:ascii="Arial" w:hAnsi="Arial" w:cs="Arial"/>
        </w:rPr>
        <w:t>The most common mode of transmission of blood borne pathogens in a healthcare setting is through skin puncture with contaminated needles or sharps. Such injuries often occur when sharps are recapped, cleaned, or inappropriately discarded.</w:t>
      </w:r>
    </w:p>
    <w:p w:rsidR="0071027C" w:rsidRPr="00841997" w:rsidRDefault="0071027C" w:rsidP="0071027C">
      <w:pPr>
        <w:autoSpaceDE w:val="0"/>
        <w:autoSpaceDN w:val="0"/>
        <w:adjustRightInd w:val="0"/>
        <w:spacing w:before="120" w:after="120" w:line="240" w:lineRule="auto"/>
        <w:jc w:val="both"/>
        <w:rPr>
          <w:rFonts w:ascii="Arial" w:hAnsi="Arial" w:cs="Arial"/>
        </w:rPr>
      </w:pPr>
      <w:r w:rsidRPr="00841997">
        <w:rPr>
          <w:rFonts w:ascii="Arial" w:hAnsi="Arial" w:cs="Arial"/>
        </w:rPr>
        <w:t>The following should be taken into consideration when using sharps:</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Use a sterile syringe (preferably a retractable syringe) and needle for each injection and reconstitution of each unit of medication.</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Never leave a needle inserted in a vial cap when withdrawing multiple doses.</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Minimize handling of injection equipment whenever possible.</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Always keep your fingers behind the needle.</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Do not disassemble needles and syringes after use.</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Do not recap, bend or break needles prior to disposal.</w:t>
      </w:r>
    </w:p>
    <w:p w:rsidR="0071027C" w:rsidRPr="00841997"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Do not over-fill sharps containers; filling them more than three-quarters (3/4) full may cause needle stick injuries. It is also forbidden to press overflowing waste bins in order to push waste down.</w:t>
      </w:r>
    </w:p>
    <w:p w:rsidR="0071027C" w:rsidRDefault="0071027C" w:rsidP="00274941">
      <w:pPr>
        <w:pStyle w:val="ListParagraph"/>
        <w:numPr>
          <w:ilvl w:val="0"/>
          <w:numId w:val="37"/>
        </w:numPr>
        <w:contextualSpacing w:val="0"/>
        <w:jc w:val="both"/>
        <w:rPr>
          <w:rFonts w:ascii="Arial" w:hAnsi="Arial" w:cs="Arial"/>
          <w:sz w:val="22"/>
          <w:szCs w:val="22"/>
        </w:rPr>
      </w:pPr>
      <w:r w:rsidRPr="00841997">
        <w:rPr>
          <w:rFonts w:ascii="Arial" w:hAnsi="Arial" w:cs="Arial"/>
          <w:sz w:val="22"/>
          <w:szCs w:val="22"/>
        </w:rPr>
        <w:t>If it is necessary to recap needles, such as when using a vacutainer in venopuncture, use the single-handed scooping method.</w:t>
      </w:r>
    </w:p>
    <w:p w:rsidR="0071027C" w:rsidRPr="00841997" w:rsidRDefault="0071027C" w:rsidP="0071027C">
      <w:pPr>
        <w:pStyle w:val="ListParagraph"/>
        <w:contextualSpacing w:val="0"/>
        <w:jc w:val="both"/>
        <w:rPr>
          <w:rFonts w:ascii="Arial" w:hAnsi="Arial" w:cs="Arial"/>
          <w:sz w:val="22"/>
          <w:szCs w:val="22"/>
        </w:rPr>
      </w:pPr>
    </w:p>
    <w:p w:rsidR="0071027C" w:rsidRPr="00841997" w:rsidRDefault="0071027C" w:rsidP="00274941">
      <w:pPr>
        <w:pStyle w:val="ListParagraph"/>
        <w:numPr>
          <w:ilvl w:val="0"/>
          <w:numId w:val="33"/>
        </w:numPr>
        <w:autoSpaceDE w:val="0"/>
        <w:autoSpaceDN w:val="0"/>
        <w:adjustRightInd w:val="0"/>
        <w:spacing w:before="120" w:after="120"/>
        <w:jc w:val="both"/>
        <w:rPr>
          <w:rFonts w:ascii="Arial" w:hAnsi="Arial" w:cs="Arial"/>
          <w:b/>
          <w:i/>
          <w:iCs/>
          <w:sz w:val="22"/>
          <w:szCs w:val="22"/>
        </w:rPr>
      </w:pPr>
      <w:r w:rsidRPr="00841997">
        <w:rPr>
          <w:rFonts w:ascii="Arial" w:hAnsi="Arial" w:cs="Arial"/>
          <w:b/>
          <w:sz w:val="22"/>
          <w:szCs w:val="22"/>
        </w:rPr>
        <w:t>Sharps containers (safety boxes)</w:t>
      </w:r>
    </w:p>
    <w:p w:rsidR="0071027C" w:rsidRDefault="0071027C" w:rsidP="0071027C">
      <w:pPr>
        <w:autoSpaceDE w:val="0"/>
        <w:autoSpaceDN w:val="0"/>
        <w:adjustRightInd w:val="0"/>
        <w:spacing w:before="120" w:after="120" w:line="240" w:lineRule="auto"/>
        <w:jc w:val="both"/>
        <w:rPr>
          <w:rFonts w:ascii="Arial" w:hAnsi="Arial" w:cs="Arial"/>
        </w:rPr>
      </w:pPr>
      <w:r w:rsidRPr="00841997">
        <w:rPr>
          <w:rFonts w:ascii="Arial" w:hAnsi="Arial" w:cs="Arial"/>
        </w:rPr>
        <w:t>Using safety boxes helps to prevent injuries from sharps waste. Safety boxes should be puncture-proof, leak-proof, and tamperproof. In other words, difficult to open or break.</w:t>
      </w:r>
    </w:p>
    <w:p w:rsidR="0071027C" w:rsidRPr="00841997" w:rsidRDefault="0071027C" w:rsidP="0071027C">
      <w:pPr>
        <w:autoSpaceDE w:val="0"/>
        <w:autoSpaceDN w:val="0"/>
        <w:adjustRightInd w:val="0"/>
        <w:spacing w:before="120" w:after="120" w:line="240" w:lineRule="auto"/>
        <w:jc w:val="both"/>
        <w:rPr>
          <w:rFonts w:ascii="Arial" w:hAnsi="Arial" w:cs="Arial"/>
        </w:rPr>
      </w:pPr>
    </w:p>
    <w:tbl>
      <w:tblPr>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shd w:val="clear" w:color="auto" w:fill="CCFFFF"/>
        <w:tblLook w:val="04A0" w:firstRow="1" w:lastRow="0" w:firstColumn="1" w:lastColumn="0" w:noHBand="0" w:noVBand="1"/>
      </w:tblPr>
      <w:tblGrid>
        <w:gridCol w:w="9216"/>
      </w:tblGrid>
      <w:tr w:rsidR="0071027C" w:rsidRPr="00841997" w:rsidTr="0071027C">
        <w:tc>
          <w:tcPr>
            <w:tcW w:w="9216" w:type="dxa"/>
            <w:tcBorders>
              <w:top w:val="single" w:sz="18" w:space="0" w:color="auto"/>
              <w:left w:val="single" w:sz="18" w:space="0" w:color="auto"/>
              <w:bottom w:val="single" w:sz="18" w:space="0" w:color="auto"/>
              <w:right w:val="single" w:sz="18" w:space="0" w:color="auto"/>
            </w:tcBorders>
            <w:shd w:val="clear" w:color="auto" w:fill="000000" w:themeFill="text1"/>
          </w:tcPr>
          <w:p w:rsidR="0071027C" w:rsidRPr="00B46268" w:rsidRDefault="0071027C" w:rsidP="00AA771C">
            <w:pPr>
              <w:autoSpaceDE w:val="0"/>
              <w:autoSpaceDN w:val="0"/>
              <w:adjustRightInd w:val="0"/>
              <w:spacing w:beforeLines="120" w:before="288" w:afterLines="120" w:after="288" w:line="288" w:lineRule="auto"/>
              <w:jc w:val="both"/>
              <w:rPr>
                <w:rFonts w:ascii="Arial" w:hAnsi="Arial" w:cs="Arial"/>
                <w:b/>
              </w:rPr>
            </w:pPr>
            <w:r w:rsidRPr="00B46268">
              <w:rPr>
                <w:rFonts w:ascii="Arial" w:hAnsi="Arial" w:cs="Arial"/>
                <w:b/>
              </w:rPr>
              <w:t>SAFE USE OF SHARPS CONTAINERS (SAFETY BOXES)</w:t>
            </w:r>
          </w:p>
        </w:tc>
      </w:tr>
      <w:tr w:rsidR="0071027C" w:rsidRPr="00841997" w:rsidTr="0071027C">
        <w:tc>
          <w:tcPr>
            <w:tcW w:w="9216" w:type="dxa"/>
            <w:tcBorders>
              <w:top w:val="single" w:sz="18" w:space="0" w:color="auto"/>
              <w:left w:val="single" w:sz="18" w:space="0" w:color="auto"/>
              <w:bottom w:val="single" w:sz="18" w:space="0" w:color="auto"/>
              <w:right w:val="single" w:sz="18" w:space="0" w:color="auto"/>
            </w:tcBorders>
            <w:shd w:val="clear" w:color="auto" w:fill="auto"/>
          </w:tcPr>
          <w:p w:rsidR="0071027C" w:rsidRPr="00841997" w:rsidRDefault="0071027C" w:rsidP="00AA771C">
            <w:pPr>
              <w:shd w:val="clear" w:color="auto" w:fill="FFFFFF" w:themeFill="background1"/>
              <w:autoSpaceDE w:val="0"/>
              <w:autoSpaceDN w:val="0"/>
              <w:adjustRightInd w:val="0"/>
              <w:spacing w:beforeLines="120" w:before="288" w:afterLines="120" w:after="288" w:line="288" w:lineRule="auto"/>
              <w:jc w:val="both"/>
              <w:rPr>
                <w:rFonts w:ascii="Arial" w:hAnsi="Arial" w:cs="Arial"/>
              </w:rPr>
            </w:pPr>
            <w:r w:rsidRPr="00841997">
              <w:rPr>
                <w:rFonts w:ascii="Arial" w:hAnsi="Arial" w:cs="Arial"/>
              </w:rPr>
              <w:t>1. All sharp containers should be clearly marked “SHARPS” and/or have pictorial instructions for the use and disposal of the containers.</w:t>
            </w:r>
          </w:p>
          <w:p w:rsidR="0071027C" w:rsidRPr="00841997" w:rsidRDefault="0071027C" w:rsidP="00AA771C">
            <w:pPr>
              <w:shd w:val="clear" w:color="auto" w:fill="FFFFFF" w:themeFill="background1"/>
              <w:autoSpaceDE w:val="0"/>
              <w:autoSpaceDN w:val="0"/>
              <w:adjustRightInd w:val="0"/>
              <w:spacing w:beforeLines="120" w:before="288" w:afterLines="120" w:after="288" w:line="288" w:lineRule="auto"/>
              <w:jc w:val="both"/>
              <w:rPr>
                <w:rFonts w:ascii="Arial" w:hAnsi="Arial" w:cs="Arial"/>
              </w:rPr>
            </w:pPr>
            <w:r w:rsidRPr="00841997">
              <w:rPr>
                <w:rFonts w:ascii="Arial" w:hAnsi="Arial" w:cs="Arial"/>
              </w:rPr>
              <w:t>2. Place sharp containers away from high-traffic areas and within arm’s reach to where the sharps will be used.</w:t>
            </w:r>
          </w:p>
          <w:p w:rsidR="0071027C" w:rsidRPr="00841997" w:rsidRDefault="0071027C" w:rsidP="00AA771C">
            <w:pPr>
              <w:shd w:val="clear" w:color="auto" w:fill="FFFFFF" w:themeFill="background1"/>
              <w:autoSpaceDE w:val="0"/>
              <w:autoSpaceDN w:val="0"/>
              <w:adjustRightInd w:val="0"/>
              <w:spacing w:beforeLines="120" w:before="288" w:afterLines="120" w:after="288" w:line="288" w:lineRule="auto"/>
              <w:jc w:val="both"/>
              <w:rPr>
                <w:rFonts w:ascii="Arial" w:hAnsi="Arial" w:cs="Arial"/>
              </w:rPr>
            </w:pPr>
            <w:r w:rsidRPr="00841997">
              <w:rPr>
                <w:rFonts w:ascii="Arial" w:hAnsi="Arial" w:cs="Arial"/>
              </w:rPr>
              <w:t>3. Do not place containers near light overhead fan switches, or thermostat controls where people might accidentally touch them.</w:t>
            </w:r>
          </w:p>
          <w:p w:rsidR="0071027C" w:rsidRPr="00841997" w:rsidRDefault="0071027C" w:rsidP="00AA771C">
            <w:pPr>
              <w:shd w:val="clear" w:color="auto" w:fill="FFFFFF" w:themeFill="background1"/>
              <w:autoSpaceDE w:val="0"/>
              <w:autoSpaceDN w:val="0"/>
              <w:adjustRightInd w:val="0"/>
              <w:spacing w:beforeLines="120" w:before="288" w:afterLines="120" w:after="288" w:line="288" w:lineRule="auto"/>
              <w:jc w:val="both"/>
              <w:rPr>
                <w:rFonts w:ascii="Arial" w:hAnsi="Arial" w:cs="Arial"/>
              </w:rPr>
            </w:pPr>
            <w:r w:rsidRPr="00841997">
              <w:rPr>
                <w:rFonts w:ascii="Arial" w:hAnsi="Arial" w:cs="Arial"/>
              </w:rPr>
              <w:t>4. Never reuse or recycle sharps containers for other purposes.</w:t>
            </w:r>
          </w:p>
          <w:p w:rsidR="0071027C" w:rsidRPr="00841997" w:rsidRDefault="0071027C" w:rsidP="00AA771C">
            <w:pPr>
              <w:shd w:val="clear" w:color="auto" w:fill="FFFFFF" w:themeFill="background1"/>
              <w:autoSpaceDE w:val="0"/>
              <w:autoSpaceDN w:val="0"/>
              <w:adjustRightInd w:val="0"/>
              <w:spacing w:beforeLines="120" w:before="288" w:afterLines="120" w:after="288" w:line="288" w:lineRule="auto"/>
              <w:jc w:val="both"/>
              <w:rPr>
                <w:rFonts w:ascii="Arial" w:hAnsi="Arial" w:cs="Arial"/>
              </w:rPr>
            </w:pPr>
            <w:r w:rsidRPr="00841997">
              <w:rPr>
                <w:rFonts w:ascii="Arial" w:hAnsi="Arial" w:cs="Arial"/>
              </w:rPr>
              <w:t>5. Dispose safety boxes when 3⁄4 full.</w:t>
            </w:r>
          </w:p>
          <w:p w:rsidR="0071027C" w:rsidRPr="00841997" w:rsidRDefault="0071027C" w:rsidP="00AA771C">
            <w:pPr>
              <w:shd w:val="clear" w:color="auto" w:fill="FFFFFF" w:themeFill="background1"/>
              <w:autoSpaceDE w:val="0"/>
              <w:autoSpaceDN w:val="0"/>
              <w:adjustRightInd w:val="0"/>
              <w:spacing w:beforeLines="120" w:before="288" w:afterLines="120" w:after="288" w:line="288" w:lineRule="auto"/>
              <w:jc w:val="both"/>
              <w:rPr>
                <w:rFonts w:ascii="Arial" w:hAnsi="Arial" w:cs="Arial"/>
              </w:rPr>
            </w:pPr>
            <w:r w:rsidRPr="00841997">
              <w:rPr>
                <w:rFonts w:ascii="Arial" w:hAnsi="Arial" w:cs="Arial"/>
              </w:rPr>
              <w:t>6. Ensure that no sharp items are sticking out of containers.</w:t>
            </w:r>
          </w:p>
          <w:p w:rsidR="0071027C" w:rsidRPr="00841997" w:rsidRDefault="0071027C" w:rsidP="00AA771C">
            <w:pPr>
              <w:shd w:val="clear" w:color="auto" w:fill="FFFFFF" w:themeFill="background1"/>
              <w:autoSpaceDE w:val="0"/>
              <w:autoSpaceDN w:val="0"/>
              <w:adjustRightInd w:val="0"/>
              <w:spacing w:beforeLines="120" w:before="288" w:afterLines="120" w:after="288" w:line="288" w:lineRule="auto"/>
              <w:jc w:val="both"/>
              <w:rPr>
                <w:rFonts w:ascii="Arial" w:hAnsi="Arial" w:cs="Arial"/>
              </w:rPr>
            </w:pPr>
            <w:r w:rsidRPr="00841997">
              <w:rPr>
                <w:rFonts w:ascii="Arial" w:hAnsi="Arial" w:cs="Arial"/>
              </w:rPr>
              <w:t>7. Dispose sharps containers by incineration, burning, encapsulating, or burying.</w:t>
            </w:r>
          </w:p>
        </w:tc>
      </w:tr>
    </w:tbl>
    <w:p w:rsidR="0071027C" w:rsidRPr="00841997" w:rsidRDefault="0071027C" w:rsidP="0071027C">
      <w:pPr>
        <w:pStyle w:val="ListParagraph"/>
        <w:autoSpaceDE w:val="0"/>
        <w:autoSpaceDN w:val="0"/>
        <w:adjustRightInd w:val="0"/>
        <w:spacing w:before="120" w:after="120"/>
        <w:jc w:val="both"/>
        <w:rPr>
          <w:rFonts w:ascii="Arial" w:hAnsi="Arial" w:cs="Arial"/>
        </w:rPr>
      </w:pPr>
    </w:p>
    <w:p w:rsidR="0071027C" w:rsidRPr="00841997" w:rsidRDefault="0071027C" w:rsidP="00274941">
      <w:pPr>
        <w:pStyle w:val="ListParagraph"/>
        <w:numPr>
          <w:ilvl w:val="0"/>
          <w:numId w:val="33"/>
        </w:numPr>
        <w:autoSpaceDE w:val="0"/>
        <w:autoSpaceDN w:val="0"/>
        <w:adjustRightInd w:val="0"/>
        <w:spacing w:before="120" w:after="120"/>
        <w:jc w:val="both"/>
        <w:rPr>
          <w:rFonts w:ascii="Arial" w:hAnsi="Arial" w:cs="Arial"/>
          <w:b/>
          <w:sz w:val="22"/>
          <w:szCs w:val="22"/>
        </w:rPr>
      </w:pPr>
      <w:r w:rsidRPr="00841997">
        <w:rPr>
          <w:rFonts w:ascii="Arial" w:hAnsi="Arial" w:cs="Arial"/>
          <w:b/>
          <w:sz w:val="22"/>
          <w:szCs w:val="22"/>
        </w:rPr>
        <w:t>Safe Disposal of Waste Contaminated with Bodily Fluids</w:t>
      </w:r>
    </w:p>
    <w:p w:rsidR="0071027C" w:rsidRPr="00841997" w:rsidRDefault="0071027C" w:rsidP="0071027C">
      <w:pPr>
        <w:autoSpaceDE w:val="0"/>
        <w:autoSpaceDN w:val="0"/>
        <w:adjustRightInd w:val="0"/>
        <w:spacing w:before="120" w:after="120" w:line="240" w:lineRule="auto"/>
        <w:jc w:val="both"/>
        <w:rPr>
          <w:rFonts w:ascii="Arial" w:hAnsi="Arial" w:cs="Arial"/>
        </w:rPr>
      </w:pPr>
      <w:r w:rsidRPr="00841997">
        <w:rPr>
          <w:rFonts w:ascii="Arial" w:hAnsi="Arial" w:cs="Arial"/>
        </w:rPr>
        <w:t>Proper waste management involves the following steps:</w:t>
      </w:r>
    </w:p>
    <w:p w:rsidR="0071027C" w:rsidRPr="00841997" w:rsidRDefault="0071027C" w:rsidP="00274941">
      <w:pPr>
        <w:widowControl/>
        <w:numPr>
          <w:ilvl w:val="0"/>
          <w:numId w:val="32"/>
        </w:numPr>
        <w:autoSpaceDE w:val="0"/>
        <w:autoSpaceDN w:val="0"/>
        <w:adjustRightInd w:val="0"/>
        <w:spacing w:after="0" w:line="240" w:lineRule="auto"/>
        <w:jc w:val="both"/>
        <w:rPr>
          <w:rFonts w:ascii="Arial" w:hAnsi="Arial" w:cs="Arial"/>
        </w:rPr>
      </w:pPr>
      <w:r w:rsidRPr="00841997">
        <w:rPr>
          <w:rFonts w:ascii="Arial" w:hAnsi="Arial" w:cs="Arial"/>
        </w:rPr>
        <w:t>Segregation</w:t>
      </w:r>
    </w:p>
    <w:p w:rsidR="0071027C" w:rsidRPr="00841997" w:rsidRDefault="0071027C" w:rsidP="00274941">
      <w:pPr>
        <w:widowControl/>
        <w:numPr>
          <w:ilvl w:val="0"/>
          <w:numId w:val="32"/>
        </w:numPr>
        <w:autoSpaceDE w:val="0"/>
        <w:autoSpaceDN w:val="0"/>
        <w:adjustRightInd w:val="0"/>
        <w:spacing w:after="0" w:line="240" w:lineRule="auto"/>
        <w:jc w:val="both"/>
        <w:rPr>
          <w:rFonts w:ascii="Arial" w:hAnsi="Arial" w:cs="Arial"/>
        </w:rPr>
      </w:pPr>
      <w:r w:rsidRPr="00841997">
        <w:rPr>
          <w:rFonts w:ascii="Arial" w:hAnsi="Arial" w:cs="Arial"/>
        </w:rPr>
        <w:t>Handling and Storage</w:t>
      </w:r>
    </w:p>
    <w:p w:rsidR="0071027C" w:rsidRPr="00841997" w:rsidRDefault="0071027C" w:rsidP="00274941">
      <w:pPr>
        <w:widowControl/>
        <w:numPr>
          <w:ilvl w:val="0"/>
          <w:numId w:val="32"/>
        </w:numPr>
        <w:autoSpaceDE w:val="0"/>
        <w:autoSpaceDN w:val="0"/>
        <w:adjustRightInd w:val="0"/>
        <w:spacing w:after="0" w:line="240" w:lineRule="auto"/>
        <w:jc w:val="both"/>
        <w:rPr>
          <w:rFonts w:ascii="Arial" w:hAnsi="Arial" w:cs="Arial"/>
        </w:rPr>
      </w:pPr>
      <w:r w:rsidRPr="00841997">
        <w:rPr>
          <w:rFonts w:ascii="Arial" w:hAnsi="Arial" w:cs="Arial"/>
        </w:rPr>
        <w:t>Transport</w:t>
      </w:r>
    </w:p>
    <w:p w:rsidR="0071027C" w:rsidRPr="00841997" w:rsidRDefault="0071027C" w:rsidP="00274941">
      <w:pPr>
        <w:widowControl/>
        <w:numPr>
          <w:ilvl w:val="0"/>
          <w:numId w:val="32"/>
        </w:numPr>
        <w:autoSpaceDE w:val="0"/>
        <w:autoSpaceDN w:val="0"/>
        <w:adjustRightInd w:val="0"/>
        <w:spacing w:after="0" w:line="240" w:lineRule="auto"/>
        <w:jc w:val="both"/>
        <w:rPr>
          <w:rFonts w:ascii="Arial" w:hAnsi="Arial" w:cs="Arial"/>
        </w:rPr>
      </w:pPr>
      <w:r w:rsidRPr="00841997">
        <w:rPr>
          <w:rFonts w:ascii="Arial" w:hAnsi="Arial" w:cs="Arial"/>
        </w:rPr>
        <w:t>Treatment or Destruction</w:t>
      </w:r>
    </w:p>
    <w:p w:rsidR="0071027C" w:rsidRPr="00841997" w:rsidRDefault="0071027C" w:rsidP="00274941">
      <w:pPr>
        <w:widowControl/>
        <w:numPr>
          <w:ilvl w:val="0"/>
          <w:numId w:val="32"/>
        </w:numPr>
        <w:autoSpaceDE w:val="0"/>
        <w:autoSpaceDN w:val="0"/>
        <w:adjustRightInd w:val="0"/>
        <w:spacing w:after="0" w:line="240" w:lineRule="auto"/>
        <w:jc w:val="both"/>
        <w:rPr>
          <w:rFonts w:ascii="Arial" w:hAnsi="Arial" w:cs="Arial"/>
        </w:rPr>
      </w:pPr>
      <w:r w:rsidRPr="00841997">
        <w:rPr>
          <w:rFonts w:ascii="Arial" w:hAnsi="Arial" w:cs="Arial"/>
        </w:rPr>
        <w:t>Final disposal</w:t>
      </w:r>
    </w:p>
    <w:p w:rsidR="0071027C" w:rsidRPr="00841997" w:rsidRDefault="0071027C" w:rsidP="0071027C">
      <w:pPr>
        <w:autoSpaceDE w:val="0"/>
        <w:autoSpaceDN w:val="0"/>
        <w:adjustRightInd w:val="0"/>
        <w:spacing w:before="120" w:after="120" w:line="240" w:lineRule="auto"/>
        <w:jc w:val="both"/>
        <w:rPr>
          <w:rFonts w:ascii="Arial" w:hAnsi="Arial" w:cs="Arial"/>
          <w:b/>
        </w:rPr>
      </w:pPr>
      <w:r w:rsidRPr="00841997">
        <w:rPr>
          <w:rFonts w:ascii="Arial" w:hAnsi="Arial" w:cs="Arial"/>
          <w:b/>
        </w:rPr>
        <w:t>Segregation</w:t>
      </w:r>
    </w:p>
    <w:p w:rsidR="0071027C" w:rsidRPr="00841997" w:rsidRDefault="0071027C" w:rsidP="0071027C">
      <w:pPr>
        <w:autoSpaceDE w:val="0"/>
        <w:autoSpaceDN w:val="0"/>
        <w:adjustRightInd w:val="0"/>
        <w:spacing w:before="120" w:after="120" w:line="240" w:lineRule="auto"/>
        <w:jc w:val="both"/>
        <w:rPr>
          <w:rFonts w:ascii="Arial" w:hAnsi="Arial" w:cs="Arial"/>
        </w:rPr>
      </w:pPr>
      <w:r w:rsidRPr="00841997">
        <w:rPr>
          <w:rFonts w:ascii="Arial" w:hAnsi="Arial" w:cs="Arial"/>
        </w:rPr>
        <w:t>This refers to separation of waste by type at the point and time it is generated. Different types of waste should be placed in containers that are color-coded. In the absence of color-coded containers, other containers may be used but they should be properly and visibly labeled.</w:t>
      </w:r>
    </w:p>
    <w:p w:rsidR="0071027C" w:rsidRPr="00841997" w:rsidRDefault="0071027C" w:rsidP="0071027C">
      <w:pPr>
        <w:autoSpaceDE w:val="0"/>
        <w:autoSpaceDN w:val="0"/>
        <w:adjustRightInd w:val="0"/>
        <w:spacing w:before="120" w:after="120" w:line="240" w:lineRule="auto"/>
        <w:jc w:val="both"/>
        <w:rPr>
          <w:rFonts w:ascii="Arial" w:hAnsi="Arial" w:cs="Arial"/>
        </w:rPr>
      </w:pPr>
      <w:r w:rsidRPr="00841997">
        <w:rPr>
          <w:rFonts w:ascii="Arial" w:hAnsi="Arial" w:cs="Arial"/>
        </w:rPr>
        <w:t>Note: The segregation of waste at the point and time it is generated will help to achieve proper waste disposal of infectious waste and protect other staff at the workplace and the neighboring community.</w:t>
      </w:r>
    </w:p>
    <w:p w:rsidR="0071027C" w:rsidRPr="00841997" w:rsidRDefault="0071027C" w:rsidP="00274941">
      <w:pPr>
        <w:pStyle w:val="ListParagraph"/>
        <w:numPr>
          <w:ilvl w:val="0"/>
          <w:numId w:val="33"/>
        </w:numPr>
        <w:autoSpaceDE w:val="0"/>
        <w:autoSpaceDN w:val="0"/>
        <w:adjustRightInd w:val="0"/>
        <w:spacing w:before="120" w:after="120"/>
        <w:jc w:val="both"/>
        <w:rPr>
          <w:rFonts w:ascii="Arial" w:hAnsi="Arial" w:cs="Arial"/>
          <w:b/>
          <w:iCs/>
          <w:sz w:val="22"/>
          <w:szCs w:val="22"/>
        </w:rPr>
      </w:pPr>
      <w:r w:rsidRPr="00841997">
        <w:rPr>
          <w:rFonts w:ascii="Arial" w:hAnsi="Arial" w:cs="Arial"/>
          <w:b/>
          <w:iCs/>
          <w:sz w:val="22"/>
          <w:szCs w:val="22"/>
        </w:rPr>
        <w:t>Home-based Healthcare Waste Management</w:t>
      </w:r>
    </w:p>
    <w:p w:rsidR="0071027C" w:rsidRDefault="0071027C" w:rsidP="0071027C">
      <w:pPr>
        <w:autoSpaceDE w:val="0"/>
        <w:autoSpaceDN w:val="0"/>
        <w:adjustRightInd w:val="0"/>
        <w:spacing w:before="120" w:after="120" w:line="240" w:lineRule="auto"/>
        <w:jc w:val="both"/>
        <w:rPr>
          <w:rFonts w:ascii="Arial" w:hAnsi="Arial" w:cs="Arial"/>
        </w:rPr>
      </w:pPr>
      <w:r w:rsidRPr="00841997">
        <w:rPr>
          <w:rFonts w:ascii="Arial" w:hAnsi="Arial" w:cs="Arial"/>
        </w:rPr>
        <w:t>Community Health Nurses and other healthcare service providers providing care in homes and the community should handle and dispose sharps and other infectious waste (such as soiled dressings and supplies) in the same manner it is done in a healthcare setting.</w:t>
      </w:r>
    </w:p>
    <w:p w:rsidR="0071027C" w:rsidRPr="00841997" w:rsidRDefault="0071027C" w:rsidP="0071027C">
      <w:pPr>
        <w:autoSpaceDE w:val="0"/>
        <w:autoSpaceDN w:val="0"/>
        <w:adjustRightInd w:val="0"/>
        <w:spacing w:before="120" w:after="120" w:line="240" w:lineRule="auto"/>
        <w:jc w:val="both"/>
        <w:rPr>
          <w:rFonts w:ascii="Arial" w:hAnsi="Arial" w:cs="Arial"/>
        </w:rPr>
      </w:pPr>
    </w:p>
    <w:p w:rsidR="0071027C" w:rsidRPr="00841997" w:rsidRDefault="0071027C" w:rsidP="00274941">
      <w:pPr>
        <w:pStyle w:val="ListParagraph"/>
        <w:numPr>
          <w:ilvl w:val="0"/>
          <w:numId w:val="33"/>
        </w:numPr>
        <w:autoSpaceDE w:val="0"/>
        <w:autoSpaceDN w:val="0"/>
        <w:adjustRightInd w:val="0"/>
        <w:spacing w:before="120" w:after="120"/>
        <w:jc w:val="both"/>
        <w:rPr>
          <w:rFonts w:ascii="Arial" w:hAnsi="Arial" w:cs="Arial"/>
          <w:b/>
          <w:iCs/>
          <w:sz w:val="22"/>
          <w:szCs w:val="22"/>
        </w:rPr>
      </w:pPr>
      <w:r w:rsidRPr="00841997">
        <w:rPr>
          <w:rFonts w:ascii="Arial" w:hAnsi="Arial" w:cs="Arial"/>
          <w:b/>
          <w:iCs/>
          <w:sz w:val="22"/>
          <w:szCs w:val="22"/>
        </w:rPr>
        <w:t>Proper Processing of Instruments and Other Contaminated Equipment</w:t>
      </w:r>
    </w:p>
    <w:p w:rsidR="0071027C" w:rsidRPr="00841997" w:rsidRDefault="0071027C" w:rsidP="0071027C">
      <w:pPr>
        <w:autoSpaceDE w:val="0"/>
        <w:autoSpaceDN w:val="0"/>
        <w:adjustRightInd w:val="0"/>
        <w:spacing w:before="120" w:after="120" w:line="240" w:lineRule="auto"/>
        <w:jc w:val="both"/>
        <w:rPr>
          <w:rFonts w:ascii="Arial" w:hAnsi="Arial" w:cs="Arial"/>
        </w:rPr>
      </w:pPr>
      <w:r w:rsidRPr="00841997">
        <w:rPr>
          <w:rFonts w:ascii="Arial" w:hAnsi="Arial" w:cs="Arial"/>
        </w:rPr>
        <w:t>There are three basic infection prevention processes recommended for the reduction of disease transmission from soiled instruments and other reusable items. These are: decontamination, cleaning, and sterilization or high-level disinfection (HLD).</w:t>
      </w:r>
    </w:p>
    <w:p w:rsidR="0071027C" w:rsidRPr="00841997" w:rsidRDefault="0071027C" w:rsidP="0071027C">
      <w:pPr>
        <w:autoSpaceDE w:val="0"/>
        <w:autoSpaceDN w:val="0"/>
        <w:adjustRightInd w:val="0"/>
        <w:spacing w:before="120" w:after="120" w:line="240" w:lineRule="auto"/>
        <w:jc w:val="both"/>
        <w:rPr>
          <w:rFonts w:ascii="Arial" w:hAnsi="Arial" w:cs="Arial"/>
        </w:rPr>
      </w:pPr>
      <w:r w:rsidRPr="00841997">
        <w:rPr>
          <w:rFonts w:ascii="Arial" w:hAnsi="Arial" w:cs="Arial"/>
        </w:rPr>
        <w:t xml:space="preserve">Regardless of the operative procedure, the steps in processing surgical instruments and other items are the </w:t>
      </w:r>
      <w:r w:rsidRPr="001B33E6">
        <w:rPr>
          <w:rFonts w:ascii="Arial" w:hAnsi="Arial" w:cs="Arial"/>
        </w:rPr>
        <w:t>same. See Figure 4.1.</w:t>
      </w:r>
    </w:p>
    <w:p w:rsidR="0071027C" w:rsidRDefault="0071027C" w:rsidP="00AA771C">
      <w:pPr>
        <w:autoSpaceDE w:val="0"/>
        <w:autoSpaceDN w:val="0"/>
        <w:adjustRightInd w:val="0"/>
        <w:spacing w:beforeLines="120" w:before="288" w:afterLines="120" w:after="288" w:line="288" w:lineRule="auto"/>
        <w:jc w:val="both"/>
        <w:rPr>
          <w:rFonts w:ascii="Arial Narrow" w:hAnsi="Arial Narrow"/>
          <w:b/>
          <w:sz w:val="24"/>
          <w:szCs w:val="24"/>
          <w:highlight w:val="yellow"/>
        </w:rPr>
        <w:sectPr w:rsidR="0071027C" w:rsidSect="0071027C">
          <w:pgSz w:w="12240" w:h="15840"/>
          <w:pgMar w:top="1440" w:right="1440" w:bottom="1440" w:left="1440" w:header="720" w:footer="720" w:gutter="0"/>
          <w:cols w:space="720"/>
          <w:docGrid w:linePitch="360"/>
        </w:sectPr>
      </w:pPr>
    </w:p>
    <w:p w:rsidR="0071027C" w:rsidRDefault="0071027C" w:rsidP="00AA771C">
      <w:pPr>
        <w:autoSpaceDE w:val="0"/>
        <w:autoSpaceDN w:val="0"/>
        <w:adjustRightInd w:val="0"/>
        <w:spacing w:beforeLines="120" w:before="288" w:afterLines="120" w:after="288" w:line="288" w:lineRule="auto"/>
        <w:jc w:val="both"/>
        <w:rPr>
          <w:rFonts w:ascii="Arial Narrow" w:hAnsi="Arial Narrow"/>
          <w:b/>
          <w:sz w:val="24"/>
          <w:szCs w:val="24"/>
        </w:rPr>
      </w:pPr>
      <w:r w:rsidRPr="001B33E6">
        <w:rPr>
          <w:rFonts w:ascii="Arial Narrow" w:hAnsi="Arial Narrow"/>
          <w:b/>
          <w:sz w:val="24"/>
          <w:szCs w:val="24"/>
        </w:rPr>
        <w:t>Figure 4.1: Infection</w:t>
      </w:r>
      <w:r w:rsidRPr="00C203F3">
        <w:rPr>
          <w:rFonts w:ascii="Arial Narrow" w:hAnsi="Arial Narrow"/>
          <w:b/>
          <w:sz w:val="24"/>
          <w:szCs w:val="24"/>
        </w:rPr>
        <w:t xml:space="preserve"> prevention processes for instruments and reusable items</w:t>
      </w:r>
    </w:p>
    <w:p w:rsidR="0071027C" w:rsidRDefault="0071027C" w:rsidP="00AA771C">
      <w:pPr>
        <w:autoSpaceDE w:val="0"/>
        <w:autoSpaceDN w:val="0"/>
        <w:adjustRightInd w:val="0"/>
        <w:spacing w:beforeLines="120" w:before="288" w:afterLines="120" w:after="288" w:line="288" w:lineRule="auto"/>
        <w:jc w:val="both"/>
        <w:rPr>
          <w:rFonts w:ascii="Arial Narrow" w:hAnsi="Arial Narrow"/>
          <w:sz w:val="24"/>
          <w:szCs w:val="24"/>
        </w:rPr>
      </w:pPr>
      <w:r w:rsidRPr="00C203F3">
        <w:rPr>
          <w:rFonts w:ascii="Arial Narrow" w:hAnsi="Arial Narrow"/>
          <w:noProof/>
          <w:sz w:val="24"/>
          <w:szCs w:val="24"/>
        </w:rPr>
        <w:drawing>
          <wp:inline distT="0" distB="0" distL="0" distR="0">
            <wp:extent cx="5699125" cy="596455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699125" cy="5964555"/>
                    </a:xfrm>
                    <a:prstGeom prst="rect">
                      <a:avLst/>
                    </a:prstGeom>
                    <a:noFill/>
                    <a:ln w="9525">
                      <a:noFill/>
                      <a:miter lim="800000"/>
                      <a:headEnd/>
                      <a:tailEnd/>
                    </a:ln>
                  </pic:spPr>
                </pic:pic>
              </a:graphicData>
            </a:graphic>
          </wp:inline>
        </w:drawing>
      </w:r>
    </w:p>
    <w:p w:rsidR="0071027C" w:rsidRDefault="0071027C" w:rsidP="00AA771C">
      <w:pPr>
        <w:autoSpaceDE w:val="0"/>
        <w:autoSpaceDN w:val="0"/>
        <w:adjustRightInd w:val="0"/>
        <w:spacing w:beforeLines="120" w:before="288" w:afterLines="120" w:after="288" w:line="288" w:lineRule="auto"/>
        <w:jc w:val="both"/>
        <w:rPr>
          <w:rFonts w:ascii="Arial Narrow" w:hAnsi="Arial Narrow"/>
          <w:sz w:val="24"/>
          <w:szCs w:val="24"/>
        </w:rPr>
      </w:pPr>
    </w:p>
    <w:p w:rsidR="0071027C" w:rsidRDefault="0071027C" w:rsidP="00AA771C">
      <w:pPr>
        <w:autoSpaceDE w:val="0"/>
        <w:autoSpaceDN w:val="0"/>
        <w:adjustRightInd w:val="0"/>
        <w:spacing w:beforeLines="120" w:before="288" w:afterLines="120" w:after="288" w:line="288" w:lineRule="auto"/>
        <w:jc w:val="both"/>
        <w:rPr>
          <w:rFonts w:ascii="Arial Narrow" w:hAnsi="Arial Narrow"/>
          <w:sz w:val="24"/>
          <w:szCs w:val="24"/>
        </w:rPr>
      </w:pPr>
    </w:p>
    <w:p w:rsidR="0071027C" w:rsidRPr="008F44CF" w:rsidRDefault="0071027C" w:rsidP="0071027C">
      <w:pPr>
        <w:autoSpaceDE w:val="0"/>
        <w:autoSpaceDN w:val="0"/>
        <w:adjustRightInd w:val="0"/>
        <w:spacing w:before="120" w:after="120" w:line="240" w:lineRule="auto"/>
        <w:jc w:val="both"/>
        <w:rPr>
          <w:rFonts w:ascii="Arial" w:hAnsi="Arial" w:cs="Arial"/>
        </w:rPr>
      </w:pPr>
      <w:r w:rsidRPr="008F44CF">
        <w:rPr>
          <w:rFonts w:ascii="Arial" w:hAnsi="Arial" w:cs="Arial"/>
        </w:rPr>
        <w:t>Decontamination is a process that makes inanimate objects safer to be handled by staff before cleaning. It inactivates HBV, HBC and HIV and reduces, but does not eliminate, the number of other contaminating micro-organisms.</w:t>
      </w:r>
    </w:p>
    <w:p w:rsidR="0071027C" w:rsidRPr="008F44CF" w:rsidRDefault="0071027C" w:rsidP="0071027C">
      <w:pPr>
        <w:autoSpaceDE w:val="0"/>
        <w:autoSpaceDN w:val="0"/>
        <w:adjustRightInd w:val="0"/>
        <w:spacing w:before="120" w:after="120" w:line="240" w:lineRule="auto"/>
        <w:jc w:val="both"/>
        <w:rPr>
          <w:rFonts w:ascii="Arial" w:hAnsi="Arial" w:cs="Arial"/>
        </w:rPr>
      </w:pPr>
      <w:r w:rsidRPr="008F44CF">
        <w:rPr>
          <w:rFonts w:ascii="Arial" w:hAnsi="Arial" w:cs="Arial"/>
        </w:rPr>
        <w:t>Cleaning is the physically removal of all visible dirt, soil, blood or other bodily fluids from inanimate objects. Cleaning also removes a sufficient number of micro-organisms hence reducing risk of infection by those who touch the skin or handle the object. The process entails thoroughly washing with water, soap or detergent, rinsing with clean water and drying.</w:t>
      </w:r>
    </w:p>
    <w:p w:rsidR="0071027C" w:rsidRPr="008F44CF" w:rsidRDefault="0071027C" w:rsidP="0071027C">
      <w:pPr>
        <w:autoSpaceDE w:val="0"/>
        <w:autoSpaceDN w:val="0"/>
        <w:adjustRightInd w:val="0"/>
        <w:spacing w:before="120" w:after="120" w:line="240" w:lineRule="auto"/>
        <w:jc w:val="both"/>
        <w:rPr>
          <w:rFonts w:ascii="Arial" w:hAnsi="Arial" w:cs="Arial"/>
        </w:rPr>
      </w:pPr>
      <w:r w:rsidRPr="008F44CF">
        <w:rPr>
          <w:rFonts w:ascii="Arial" w:hAnsi="Arial" w:cs="Arial"/>
        </w:rPr>
        <w:t>High-level disinfection (HLD) is a process that eliminates all micro-organisms except some bacterial endospores from inanimate objects. It entails boiling, steaming or the use of chemical disinfectants.</w:t>
      </w:r>
    </w:p>
    <w:p w:rsidR="0071027C" w:rsidRPr="008F44CF" w:rsidRDefault="0071027C" w:rsidP="0071027C">
      <w:pPr>
        <w:autoSpaceDE w:val="0"/>
        <w:autoSpaceDN w:val="0"/>
        <w:adjustRightInd w:val="0"/>
        <w:spacing w:before="120" w:after="120" w:line="240" w:lineRule="auto"/>
        <w:jc w:val="both"/>
        <w:rPr>
          <w:rFonts w:ascii="Arial" w:hAnsi="Arial" w:cs="Arial"/>
        </w:rPr>
      </w:pPr>
      <w:r w:rsidRPr="008F44CF">
        <w:rPr>
          <w:rFonts w:ascii="Arial" w:hAnsi="Arial" w:cs="Arial"/>
        </w:rPr>
        <w:t>Sterilization is a process that eliminates all micro-organisms (bacteria, viruses, fungi and parasites) including bacterial endospores from inanimate objects through the use of high-pressure steam (autoclave), dry heat (oven), and chemical sterilants or radiation.</w:t>
      </w:r>
    </w:p>
    <w:p w:rsidR="0071027C" w:rsidRPr="008F44CF" w:rsidRDefault="0071027C" w:rsidP="00AA771C">
      <w:pPr>
        <w:pStyle w:val="ListParagraph"/>
        <w:numPr>
          <w:ilvl w:val="0"/>
          <w:numId w:val="33"/>
        </w:numPr>
        <w:autoSpaceDE w:val="0"/>
        <w:autoSpaceDN w:val="0"/>
        <w:adjustRightInd w:val="0"/>
        <w:spacing w:beforeLines="120" w:before="288" w:afterLines="120" w:after="288" w:line="288" w:lineRule="auto"/>
        <w:jc w:val="both"/>
        <w:rPr>
          <w:rFonts w:ascii="Arial Narrow" w:hAnsi="Arial Narrow"/>
          <w:b/>
          <w:iCs/>
          <w:sz w:val="22"/>
          <w:szCs w:val="22"/>
        </w:rPr>
      </w:pPr>
      <w:r w:rsidRPr="008F44CF">
        <w:rPr>
          <w:rFonts w:ascii="Arial Narrow" w:hAnsi="Arial Narrow"/>
          <w:b/>
          <w:iCs/>
          <w:sz w:val="22"/>
          <w:szCs w:val="22"/>
        </w:rPr>
        <w:t>Proper Handling of Soiled Linen</w:t>
      </w:r>
    </w:p>
    <w:p w:rsidR="0071027C" w:rsidRPr="008F44CF" w:rsidRDefault="0071027C" w:rsidP="00274941">
      <w:pPr>
        <w:pStyle w:val="ListParagraph"/>
        <w:numPr>
          <w:ilvl w:val="0"/>
          <w:numId w:val="32"/>
        </w:numPr>
        <w:autoSpaceDE w:val="0"/>
        <w:autoSpaceDN w:val="0"/>
        <w:adjustRightInd w:val="0"/>
        <w:contextualSpacing w:val="0"/>
        <w:jc w:val="both"/>
        <w:rPr>
          <w:rFonts w:ascii="Arial" w:hAnsi="Arial" w:cs="Arial"/>
          <w:sz w:val="22"/>
          <w:szCs w:val="22"/>
        </w:rPr>
      </w:pPr>
      <w:r w:rsidRPr="008F44CF">
        <w:rPr>
          <w:rFonts w:ascii="Arial" w:hAnsi="Arial" w:cs="Arial"/>
          <w:sz w:val="22"/>
          <w:szCs w:val="22"/>
        </w:rPr>
        <w:t>Housekeeping and laundry personnel should wear utility gloves and other personal protective equipment as indicated when collecting, handling, transporting, sorting and washing soiled linen.</w:t>
      </w:r>
    </w:p>
    <w:p w:rsidR="0071027C" w:rsidRPr="008F44CF" w:rsidRDefault="0071027C" w:rsidP="00274941">
      <w:pPr>
        <w:pStyle w:val="ListParagraph"/>
        <w:numPr>
          <w:ilvl w:val="0"/>
          <w:numId w:val="32"/>
        </w:numPr>
        <w:autoSpaceDE w:val="0"/>
        <w:autoSpaceDN w:val="0"/>
        <w:adjustRightInd w:val="0"/>
        <w:contextualSpacing w:val="0"/>
        <w:jc w:val="both"/>
        <w:rPr>
          <w:rFonts w:ascii="Arial" w:hAnsi="Arial" w:cs="Arial"/>
          <w:sz w:val="22"/>
          <w:szCs w:val="22"/>
        </w:rPr>
      </w:pPr>
      <w:r w:rsidRPr="008F44CF">
        <w:rPr>
          <w:rFonts w:ascii="Arial" w:hAnsi="Arial" w:cs="Arial"/>
          <w:sz w:val="22"/>
          <w:szCs w:val="22"/>
        </w:rPr>
        <w:t>When collecting and transporting soiled linen, personnel should handle it with minimum contact to avoid accidental injury and spreading of micro-organisms.</w:t>
      </w:r>
    </w:p>
    <w:p w:rsidR="0071027C" w:rsidRPr="008F44CF" w:rsidRDefault="0071027C" w:rsidP="00274941">
      <w:pPr>
        <w:pStyle w:val="ListParagraph"/>
        <w:numPr>
          <w:ilvl w:val="0"/>
          <w:numId w:val="32"/>
        </w:numPr>
        <w:autoSpaceDE w:val="0"/>
        <w:autoSpaceDN w:val="0"/>
        <w:adjustRightInd w:val="0"/>
        <w:contextualSpacing w:val="0"/>
        <w:jc w:val="both"/>
        <w:rPr>
          <w:rFonts w:ascii="Arial" w:hAnsi="Arial" w:cs="Arial"/>
          <w:sz w:val="22"/>
          <w:szCs w:val="22"/>
        </w:rPr>
      </w:pPr>
      <w:r w:rsidRPr="008F44CF">
        <w:rPr>
          <w:rFonts w:ascii="Arial" w:hAnsi="Arial" w:cs="Arial"/>
          <w:sz w:val="22"/>
          <w:szCs w:val="22"/>
        </w:rPr>
        <w:t>All cloth items (such as surgical drapes, gowns, wrappers) used during a procedure should be considered as infectious. Even if there is no visible contamination the item must be laundered.</w:t>
      </w:r>
    </w:p>
    <w:p w:rsidR="0071027C" w:rsidRPr="008F44CF" w:rsidRDefault="0071027C" w:rsidP="00274941">
      <w:pPr>
        <w:pStyle w:val="ListParagraph"/>
        <w:numPr>
          <w:ilvl w:val="0"/>
          <w:numId w:val="32"/>
        </w:numPr>
        <w:autoSpaceDE w:val="0"/>
        <w:autoSpaceDN w:val="0"/>
        <w:adjustRightInd w:val="0"/>
        <w:contextualSpacing w:val="0"/>
        <w:jc w:val="both"/>
        <w:rPr>
          <w:rFonts w:ascii="Arial" w:hAnsi="Arial" w:cs="Arial"/>
          <w:sz w:val="22"/>
          <w:szCs w:val="22"/>
        </w:rPr>
      </w:pPr>
      <w:r w:rsidRPr="008F44CF">
        <w:rPr>
          <w:rFonts w:ascii="Arial" w:hAnsi="Arial" w:cs="Arial"/>
          <w:sz w:val="22"/>
          <w:szCs w:val="22"/>
        </w:rPr>
        <w:t>Soiled linen should be carried in covered containers or plastic bags to prevent spills and splashes, and confined to designated areas (interim storage area) until transported to the laundry.</w:t>
      </w:r>
    </w:p>
    <w:p w:rsidR="0071027C" w:rsidRPr="008F44CF" w:rsidRDefault="0071027C" w:rsidP="00274941">
      <w:pPr>
        <w:pStyle w:val="ListParagraph"/>
        <w:numPr>
          <w:ilvl w:val="0"/>
          <w:numId w:val="32"/>
        </w:numPr>
        <w:autoSpaceDE w:val="0"/>
        <w:autoSpaceDN w:val="0"/>
        <w:adjustRightInd w:val="0"/>
        <w:contextualSpacing w:val="0"/>
        <w:jc w:val="both"/>
        <w:rPr>
          <w:rFonts w:ascii="Arial" w:hAnsi="Arial" w:cs="Arial"/>
          <w:sz w:val="22"/>
          <w:szCs w:val="22"/>
        </w:rPr>
      </w:pPr>
      <w:r w:rsidRPr="008F44CF">
        <w:rPr>
          <w:rFonts w:ascii="Arial" w:hAnsi="Arial" w:cs="Arial"/>
          <w:sz w:val="22"/>
          <w:szCs w:val="22"/>
        </w:rPr>
        <w:t>All linen in the laundry area should be carefully sorted before washing. Do not pre-sort or wash linen at the point of use.</w:t>
      </w:r>
    </w:p>
    <w:p w:rsidR="0071027C" w:rsidRPr="008F44CF" w:rsidRDefault="0071027C" w:rsidP="00274941">
      <w:pPr>
        <w:pStyle w:val="ListParagraph"/>
        <w:numPr>
          <w:ilvl w:val="0"/>
          <w:numId w:val="32"/>
        </w:numPr>
        <w:autoSpaceDE w:val="0"/>
        <w:autoSpaceDN w:val="0"/>
        <w:adjustRightInd w:val="0"/>
        <w:contextualSpacing w:val="0"/>
        <w:jc w:val="both"/>
        <w:rPr>
          <w:rFonts w:ascii="Arial" w:hAnsi="Arial" w:cs="Arial"/>
          <w:sz w:val="22"/>
          <w:szCs w:val="22"/>
        </w:rPr>
      </w:pPr>
      <w:r w:rsidRPr="008F44CF">
        <w:rPr>
          <w:rFonts w:ascii="Arial" w:hAnsi="Arial" w:cs="Arial"/>
          <w:sz w:val="22"/>
          <w:szCs w:val="22"/>
        </w:rPr>
        <w:t>When hand-washing soiled linen, soak in hot water with 0.5% sodium hypochlorite solution for 30 minutes, wash separately in hot water and then air dry.</w:t>
      </w:r>
    </w:p>
    <w:p w:rsidR="0071027C" w:rsidRDefault="0071027C" w:rsidP="00274941">
      <w:pPr>
        <w:pStyle w:val="ListParagraph"/>
        <w:numPr>
          <w:ilvl w:val="0"/>
          <w:numId w:val="32"/>
        </w:numPr>
        <w:autoSpaceDE w:val="0"/>
        <w:autoSpaceDN w:val="0"/>
        <w:adjustRightInd w:val="0"/>
        <w:contextualSpacing w:val="0"/>
        <w:jc w:val="both"/>
        <w:rPr>
          <w:rFonts w:ascii="Arial" w:hAnsi="Arial" w:cs="Arial"/>
          <w:sz w:val="22"/>
          <w:szCs w:val="22"/>
        </w:rPr>
      </w:pPr>
      <w:r w:rsidRPr="008F44CF">
        <w:rPr>
          <w:rFonts w:ascii="Arial" w:hAnsi="Arial" w:cs="Arial"/>
          <w:sz w:val="22"/>
          <w:szCs w:val="22"/>
        </w:rPr>
        <w:t>Clean linen must be wrapped or covered during transportation to avoid contamination.</w:t>
      </w:r>
    </w:p>
    <w:p w:rsidR="0071027C" w:rsidRPr="008F44CF" w:rsidRDefault="0071027C" w:rsidP="0071027C">
      <w:pPr>
        <w:pStyle w:val="ListParagraph"/>
        <w:autoSpaceDE w:val="0"/>
        <w:autoSpaceDN w:val="0"/>
        <w:adjustRightInd w:val="0"/>
        <w:contextualSpacing w:val="0"/>
        <w:jc w:val="both"/>
        <w:rPr>
          <w:rFonts w:ascii="Arial" w:hAnsi="Arial" w:cs="Arial"/>
          <w:sz w:val="22"/>
          <w:szCs w:val="22"/>
        </w:rPr>
      </w:pPr>
    </w:p>
    <w:p w:rsidR="0071027C" w:rsidRDefault="0071027C" w:rsidP="00AA771C">
      <w:pPr>
        <w:pStyle w:val="ListParagraph"/>
        <w:numPr>
          <w:ilvl w:val="0"/>
          <w:numId w:val="33"/>
        </w:numPr>
        <w:autoSpaceDE w:val="0"/>
        <w:autoSpaceDN w:val="0"/>
        <w:adjustRightInd w:val="0"/>
        <w:spacing w:beforeLines="120" w:before="288" w:afterLines="120" w:after="288" w:line="288" w:lineRule="auto"/>
        <w:jc w:val="both"/>
        <w:rPr>
          <w:rFonts w:ascii="Arial Narrow" w:hAnsi="Arial Narrow"/>
          <w:b/>
        </w:rPr>
      </w:pPr>
      <w:r w:rsidRPr="00C203F3">
        <w:rPr>
          <w:rFonts w:ascii="Arial Narrow" w:hAnsi="Arial Narrow"/>
          <w:b/>
        </w:rPr>
        <w:t>Cleaning Floors</w:t>
      </w:r>
    </w:p>
    <w:p w:rsidR="0071027C" w:rsidRPr="008F44CF" w:rsidRDefault="0071027C" w:rsidP="0071027C">
      <w:pPr>
        <w:autoSpaceDE w:val="0"/>
        <w:autoSpaceDN w:val="0"/>
        <w:adjustRightInd w:val="0"/>
        <w:spacing w:before="120" w:after="120" w:line="240" w:lineRule="auto"/>
        <w:jc w:val="both"/>
        <w:rPr>
          <w:rFonts w:ascii="Arial" w:hAnsi="Arial" w:cs="Arial"/>
        </w:rPr>
      </w:pPr>
      <w:r w:rsidRPr="008F44CF">
        <w:rPr>
          <w:rFonts w:ascii="Arial" w:hAnsi="Arial" w:cs="Arial"/>
        </w:rPr>
        <w:t>Detergents and hot water are adequate for routine cleaning of floors, beds and toilets. In case of spillage of blood or other bodily fluids, the area should be cleaned with a chlorine-based disinfectant followed by thorough cleaning with soap and hot water.</w:t>
      </w:r>
    </w:p>
    <w:p w:rsidR="0071027C" w:rsidRPr="008F44CF" w:rsidRDefault="0071027C" w:rsidP="0071027C">
      <w:pPr>
        <w:autoSpaceDE w:val="0"/>
        <w:autoSpaceDN w:val="0"/>
        <w:adjustRightInd w:val="0"/>
        <w:spacing w:before="120" w:after="120" w:line="240" w:lineRule="auto"/>
        <w:jc w:val="both"/>
        <w:rPr>
          <w:rFonts w:ascii="Arial" w:hAnsi="Arial" w:cs="Arial"/>
        </w:rPr>
      </w:pPr>
      <w:r w:rsidRPr="008F44CF">
        <w:rPr>
          <w:rFonts w:ascii="Arial" w:hAnsi="Arial" w:cs="Arial"/>
        </w:rPr>
        <w:t>All health care workers must be familiar with standard precautions.</w:t>
      </w:r>
    </w:p>
    <w:p w:rsidR="0071027C" w:rsidRPr="00841997" w:rsidRDefault="0071027C" w:rsidP="0071027C">
      <w:pPr>
        <w:pStyle w:val="Heading3"/>
      </w:pPr>
      <w:bookmarkStart w:id="231" w:name="_Toc374952314"/>
      <w:bookmarkStart w:id="232" w:name="_Toc378258143"/>
      <w:bookmarkStart w:id="233" w:name="_Toc382214006"/>
      <w:r w:rsidRPr="00841997">
        <w:t>5.2.5 Post Exposure Prophylaxis (PEP)</w:t>
      </w:r>
      <w:bookmarkEnd w:id="231"/>
      <w:bookmarkEnd w:id="232"/>
      <w:bookmarkEnd w:id="233"/>
    </w:p>
    <w:p w:rsidR="0071027C" w:rsidRPr="008F44CF" w:rsidRDefault="0071027C" w:rsidP="0071027C">
      <w:pPr>
        <w:autoSpaceDE w:val="0"/>
        <w:autoSpaceDN w:val="0"/>
        <w:adjustRightInd w:val="0"/>
        <w:spacing w:before="120" w:after="120" w:line="240" w:lineRule="auto"/>
        <w:jc w:val="both"/>
        <w:rPr>
          <w:rFonts w:ascii="Arial" w:hAnsi="Arial" w:cs="Arial"/>
        </w:rPr>
      </w:pPr>
      <w:r w:rsidRPr="008F44CF">
        <w:rPr>
          <w:rFonts w:ascii="Arial" w:hAnsi="Arial" w:cs="Arial"/>
        </w:rPr>
        <w:t>Post Exposure Prophylaxis (PEP) is the immediate provision of preventive measures and medication following exposure to potentially infected blood or other bodily fluids in order to minimise the risk of acquiring infection. Several clinical studies have demonstrated that HIV transmission can be reduced by 81% following the immediate administration of antiretroviral agents.</w:t>
      </w:r>
    </w:p>
    <w:p w:rsidR="0071027C" w:rsidRPr="00841997" w:rsidRDefault="0071027C" w:rsidP="0071027C">
      <w:pPr>
        <w:pStyle w:val="Heading4"/>
      </w:pPr>
      <w:r w:rsidRPr="00841997">
        <w:t>5.2.5.1 Occupational Exposure</w:t>
      </w:r>
    </w:p>
    <w:p w:rsidR="0071027C" w:rsidRPr="008F44CF" w:rsidRDefault="0071027C" w:rsidP="0071027C">
      <w:pPr>
        <w:autoSpaceDE w:val="0"/>
        <w:autoSpaceDN w:val="0"/>
        <w:adjustRightInd w:val="0"/>
        <w:spacing w:before="120" w:after="120" w:line="240" w:lineRule="auto"/>
        <w:jc w:val="both"/>
        <w:rPr>
          <w:rFonts w:ascii="Arial" w:hAnsi="Arial" w:cs="Arial"/>
        </w:rPr>
      </w:pPr>
      <w:r w:rsidRPr="008F44CF">
        <w:rPr>
          <w:rFonts w:ascii="Arial" w:hAnsi="Arial" w:cs="Arial"/>
        </w:rPr>
        <w:t xml:space="preserve">Exposure prevention is the primary strategy for reducing occupational HIV transmission, that is, the chance of acquiring infection following exposure to blood and other bodily fluids (semen, vaginal secretions and breast milk) from an infected person. </w:t>
      </w:r>
    </w:p>
    <w:p w:rsidR="0071027C" w:rsidRPr="008F44CF" w:rsidRDefault="0071027C" w:rsidP="0071027C">
      <w:pPr>
        <w:autoSpaceDE w:val="0"/>
        <w:autoSpaceDN w:val="0"/>
        <w:adjustRightInd w:val="0"/>
        <w:spacing w:before="120" w:after="120" w:line="240" w:lineRule="auto"/>
        <w:jc w:val="both"/>
        <w:rPr>
          <w:rFonts w:ascii="Arial" w:hAnsi="Arial" w:cs="Arial"/>
        </w:rPr>
      </w:pPr>
      <w:r w:rsidRPr="008F44CF">
        <w:rPr>
          <w:rFonts w:ascii="Arial" w:hAnsi="Arial" w:cs="Arial"/>
        </w:rPr>
        <w:t>These bodily fluids should be considered as being infectious. Effective post-exposure management entails the following elements: Management of Exposure Site, Exposure Reporting, Assessment of Infection Risk, Appropriate Treatment, Follow-up and Counseling.</w:t>
      </w:r>
    </w:p>
    <w:p w:rsidR="0071027C" w:rsidRPr="008F44CF" w:rsidRDefault="0071027C" w:rsidP="00AA771C">
      <w:pPr>
        <w:pStyle w:val="ListParagraph"/>
        <w:numPr>
          <w:ilvl w:val="0"/>
          <w:numId w:val="35"/>
        </w:numPr>
        <w:autoSpaceDE w:val="0"/>
        <w:autoSpaceDN w:val="0"/>
        <w:adjustRightInd w:val="0"/>
        <w:spacing w:beforeLines="120" w:before="288" w:afterLines="120" w:after="288" w:line="288" w:lineRule="auto"/>
        <w:jc w:val="both"/>
        <w:rPr>
          <w:rFonts w:ascii="Arial" w:hAnsi="Arial" w:cs="Arial"/>
          <w:b/>
          <w:iCs/>
          <w:sz w:val="22"/>
          <w:szCs w:val="22"/>
        </w:rPr>
      </w:pPr>
      <w:r w:rsidRPr="008F44CF">
        <w:rPr>
          <w:rFonts w:ascii="Arial" w:hAnsi="Arial" w:cs="Arial"/>
          <w:b/>
          <w:iCs/>
          <w:sz w:val="22"/>
          <w:szCs w:val="22"/>
        </w:rPr>
        <w:t>Management of Exposure Site</w:t>
      </w:r>
    </w:p>
    <w:p w:rsidR="0071027C" w:rsidRPr="008F44CF" w:rsidRDefault="0071027C" w:rsidP="0071027C">
      <w:pPr>
        <w:autoSpaceDE w:val="0"/>
        <w:autoSpaceDN w:val="0"/>
        <w:adjustRightInd w:val="0"/>
        <w:spacing w:before="120" w:after="120" w:line="240" w:lineRule="auto"/>
        <w:jc w:val="both"/>
        <w:rPr>
          <w:rFonts w:ascii="Arial" w:hAnsi="Arial" w:cs="Arial"/>
        </w:rPr>
      </w:pPr>
      <w:r w:rsidRPr="008F44CF">
        <w:rPr>
          <w:rFonts w:ascii="Arial" w:hAnsi="Arial" w:cs="Arial"/>
        </w:rPr>
        <w:t>Wounds and skin sites that have been in contact with blood or bodily fluids should be washed with soap and water and mucous membranes flushed with water. There is no evidence that using antiseptics for wound care or expressing fluid by squeezing the wound reduces the risk of blood-borne pathogen transmission. While the use of antiseptics is not contraindicated, the application of caustic agents (e.g. bleach) or injection of antiseptics or disinfectants into the wound is not recommended.</w:t>
      </w:r>
    </w:p>
    <w:p w:rsidR="0071027C" w:rsidRPr="008F44CF" w:rsidRDefault="0071027C" w:rsidP="00AA771C">
      <w:pPr>
        <w:pStyle w:val="ListParagraph"/>
        <w:numPr>
          <w:ilvl w:val="0"/>
          <w:numId w:val="35"/>
        </w:numPr>
        <w:autoSpaceDE w:val="0"/>
        <w:autoSpaceDN w:val="0"/>
        <w:adjustRightInd w:val="0"/>
        <w:spacing w:beforeLines="120" w:before="288" w:afterLines="120" w:after="288" w:line="288" w:lineRule="auto"/>
        <w:jc w:val="both"/>
        <w:rPr>
          <w:rFonts w:ascii="Arial" w:hAnsi="Arial" w:cs="Arial"/>
          <w:b/>
          <w:iCs/>
          <w:sz w:val="22"/>
          <w:szCs w:val="22"/>
        </w:rPr>
      </w:pPr>
      <w:r w:rsidRPr="008F44CF">
        <w:rPr>
          <w:rFonts w:ascii="Arial" w:hAnsi="Arial" w:cs="Arial"/>
          <w:b/>
          <w:iCs/>
          <w:sz w:val="22"/>
          <w:szCs w:val="22"/>
        </w:rPr>
        <w:t>Exposure Reporting</w:t>
      </w:r>
    </w:p>
    <w:p w:rsidR="0071027C" w:rsidRPr="008F44CF" w:rsidRDefault="0071027C" w:rsidP="0071027C">
      <w:pPr>
        <w:autoSpaceDE w:val="0"/>
        <w:autoSpaceDN w:val="0"/>
        <w:adjustRightInd w:val="0"/>
        <w:spacing w:before="120" w:after="120" w:line="240" w:lineRule="auto"/>
        <w:jc w:val="both"/>
        <w:rPr>
          <w:rFonts w:ascii="Arial" w:hAnsi="Arial" w:cs="Arial"/>
        </w:rPr>
      </w:pPr>
      <w:r w:rsidRPr="008F44CF">
        <w:rPr>
          <w:rFonts w:ascii="Arial" w:hAnsi="Arial" w:cs="Arial"/>
        </w:rPr>
        <w:t>When an occupational exposure occurs, the circumstances and post exposure management procedure applied should be recorded in the exposed person’s confidential form for easy follow up and care. Information to be recorded in the health worker’s confidential medical report should include:</w:t>
      </w:r>
    </w:p>
    <w:p w:rsidR="0071027C" w:rsidRPr="008F44CF" w:rsidRDefault="0071027C" w:rsidP="00274941">
      <w:pPr>
        <w:pStyle w:val="ListParagraph"/>
        <w:numPr>
          <w:ilvl w:val="0"/>
          <w:numId w:val="32"/>
        </w:numPr>
        <w:autoSpaceDE w:val="0"/>
        <w:autoSpaceDN w:val="0"/>
        <w:adjustRightInd w:val="0"/>
        <w:contextualSpacing w:val="0"/>
        <w:jc w:val="both"/>
        <w:rPr>
          <w:rFonts w:ascii="Arial" w:hAnsi="Arial" w:cs="Arial"/>
          <w:sz w:val="22"/>
          <w:szCs w:val="22"/>
        </w:rPr>
      </w:pPr>
      <w:r w:rsidRPr="008F44CF">
        <w:rPr>
          <w:rFonts w:ascii="Arial" w:hAnsi="Arial" w:cs="Arial"/>
          <w:sz w:val="22"/>
          <w:szCs w:val="22"/>
        </w:rPr>
        <w:t>Date and time of exposure</w:t>
      </w:r>
    </w:p>
    <w:p w:rsidR="0071027C" w:rsidRPr="008F44CF" w:rsidRDefault="0071027C" w:rsidP="00274941">
      <w:pPr>
        <w:pStyle w:val="ListParagraph"/>
        <w:numPr>
          <w:ilvl w:val="0"/>
          <w:numId w:val="32"/>
        </w:numPr>
        <w:autoSpaceDE w:val="0"/>
        <w:autoSpaceDN w:val="0"/>
        <w:adjustRightInd w:val="0"/>
        <w:contextualSpacing w:val="0"/>
        <w:jc w:val="both"/>
        <w:rPr>
          <w:rFonts w:ascii="Arial" w:hAnsi="Arial" w:cs="Arial"/>
          <w:sz w:val="22"/>
          <w:szCs w:val="22"/>
        </w:rPr>
      </w:pPr>
      <w:r w:rsidRPr="008F44CF">
        <w:rPr>
          <w:rFonts w:ascii="Arial" w:hAnsi="Arial" w:cs="Arial"/>
          <w:sz w:val="22"/>
          <w:szCs w:val="22"/>
        </w:rPr>
        <w:t>Details of the procedure being performed and the use of protective equipment at the time of exposure</w:t>
      </w:r>
    </w:p>
    <w:p w:rsidR="0071027C" w:rsidRPr="008F44CF" w:rsidRDefault="0071027C" w:rsidP="00274941">
      <w:pPr>
        <w:pStyle w:val="ListParagraph"/>
        <w:numPr>
          <w:ilvl w:val="0"/>
          <w:numId w:val="32"/>
        </w:numPr>
        <w:autoSpaceDE w:val="0"/>
        <w:autoSpaceDN w:val="0"/>
        <w:adjustRightInd w:val="0"/>
        <w:contextualSpacing w:val="0"/>
        <w:jc w:val="both"/>
        <w:rPr>
          <w:rFonts w:ascii="Arial" w:hAnsi="Arial" w:cs="Arial"/>
          <w:sz w:val="22"/>
          <w:szCs w:val="22"/>
        </w:rPr>
      </w:pPr>
      <w:r w:rsidRPr="008F44CF">
        <w:rPr>
          <w:rFonts w:ascii="Arial" w:hAnsi="Arial" w:cs="Arial"/>
          <w:sz w:val="22"/>
          <w:szCs w:val="22"/>
        </w:rPr>
        <w:t>Type, severity and amount of fluid that the healthcare worker was exposed to</w:t>
      </w:r>
    </w:p>
    <w:p w:rsidR="0071027C" w:rsidRPr="008F44CF" w:rsidRDefault="0071027C" w:rsidP="00274941">
      <w:pPr>
        <w:pStyle w:val="ListParagraph"/>
        <w:numPr>
          <w:ilvl w:val="0"/>
          <w:numId w:val="32"/>
        </w:numPr>
        <w:autoSpaceDE w:val="0"/>
        <w:autoSpaceDN w:val="0"/>
        <w:adjustRightInd w:val="0"/>
        <w:contextualSpacing w:val="0"/>
        <w:jc w:val="both"/>
        <w:rPr>
          <w:rFonts w:ascii="Arial" w:hAnsi="Arial" w:cs="Arial"/>
          <w:sz w:val="22"/>
          <w:szCs w:val="22"/>
        </w:rPr>
      </w:pPr>
      <w:r w:rsidRPr="008F44CF">
        <w:rPr>
          <w:rFonts w:ascii="Arial" w:hAnsi="Arial" w:cs="Arial"/>
          <w:sz w:val="22"/>
          <w:szCs w:val="22"/>
        </w:rPr>
        <w:t>Details of the exposure source person</w:t>
      </w:r>
    </w:p>
    <w:p w:rsidR="0071027C" w:rsidRDefault="0071027C" w:rsidP="00274941">
      <w:pPr>
        <w:pStyle w:val="ListParagraph"/>
        <w:numPr>
          <w:ilvl w:val="0"/>
          <w:numId w:val="32"/>
        </w:numPr>
        <w:autoSpaceDE w:val="0"/>
        <w:autoSpaceDN w:val="0"/>
        <w:adjustRightInd w:val="0"/>
        <w:contextualSpacing w:val="0"/>
        <w:jc w:val="both"/>
        <w:rPr>
          <w:rFonts w:ascii="Arial" w:hAnsi="Arial" w:cs="Arial"/>
          <w:sz w:val="22"/>
          <w:szCs w:val="22"/>
        </w:rPr>
      </w:pPr>
      <w:r w:rsidRPr="008F44CF">
        <w:rPr>
          <w:rFonts w:ascii="Arial" w:hAnsi="Arial" w:cs="Arial"/>
          <w:sz w:val="22"/>
          <w:szCs w:val="22"/>
        </w:rPr>
        <w:t>Medical documentation that provides details about post exposure management</w:t>
      </w:r>
    </w:p>
    <w:p w:rsidR="0071027C" w:rsidRPr="008F44CF" w:rsidRDefault="0071027C" w:rsidP="0071027C">
      <w:pPr>
        <w:pStyle w:val="ListParagraph"/>
        <w:autoSpaceDE w:val="0"/>
        <w:autoSpaceDN w:val="0"/>
        <w:adjustRightInd w:val="0"/>
        <w:contextualSpacing w:val="0"/>
        <w:jc w:val="both"/>
        <w:rPr>
          <w:rFonts w:ascii="Arial" w:hAnsi="Arial" w:cs="Arial"/>
          <w:sz w:val="22"/>
          <w:szCs w:val="22"/>
        </w:rPr>
      </w:pPr>
    </w:p>
    <w:p w:rsidR="0071027C" w:rsidRPr="008F44CF" w:rsidRDefault="0071027C" w:rsidP="00AA771C">
      <w:pPr>
        <w:pStyle w:val="ListParagraph"/>
        <w:numPr>
          <w:ilvl w:val="0"/>
          <w:numId w:val="35"/>
        </w:numPr>
        <w:autoSpaceDE w:val="0"/>
        <w:autoSpaceDN w:val="0"/>
        <w:adjustRightInd w:val="0"/>
        <w:spacing w:beforeLines="120" w:before="288" w:afterLines="120" w:after="288" w:line="288" w:lineRule="auto"/>
        <w:jc w:val="both"/>
        <w:rPr>
          <w:rFonts w:ascii="Arial" w:hAnsi="Arial" w:cs="Arial"/>
          <w:b/>
          <w:iCs/>
          <w:sz w:val="22"/>
          <w:szCs w:val="22"/>
        </w:rPr>
      </w:pPr>
      <w:r w:rsidRPr="008F44CF">
        <w:rPr>
          <w:rFonts w:ascii="Arial" w:hAnsi="Arial" w:cs="Arial"/>
          <w:b/>
          <w:iCs/>
          <w:sz w:val="22"/>
          <w:szCs w:val="22"/>
        </w:rPr>
        <w:t>Risk Assessment for Occupational Exposure</w:t>
      </w:r>
    </w:p>
    <w:p w:rsidR="0071027C" w:rsidRPr="008F44CF" w:rsidRDefault="0071027C" w:rsidP="0071027C">
      <w:pPr>
        <w:autoSpaceDE w:val="0"/>
        <w:autoSpaceDN w:val="0"/>
        <w:adjustRightInd w:val="0"/>
        <w:spacing w:before="120" w:after="120" w:line="240" w:lineRule="auto"/>
        <w:jc w:val="both"/>
        <w:rPr>
          <w:rFonts w:ascii="Arial" w:hAnsi="Arial" w:cs="Arial"/>
        </w:rPr>
      </w:pPr>
      <w:r w:rsidRPr="008F44CF">
        <w:rPr>
          <w:rFonts w:ascii="Arial" w:hAnsi="Arial" w:cs="Arial"/>
        </w:rPr>
        <w:t>In addition to the type of bodily fluids, the risk of acquiring HIV also depends on the type and severity of exposure and the HIV status of the source person.</w:t>
      </w:r>
    </w:p>
    <w:p w:rsidR="0071027C" w:rsidRPr="008F44CF" w:rsidRDefault="0071027C" w:rsidP="0071027C">
      <w:pPr>
        <w:autoSpaceDE w:val="0"/>
        <w:autoSpaceDN w:val="0"/>
        <w:adjustRightInd w:val="0"/>
        <w:spacing w:before="120" w:after="120" w:line="240" w:lineRule="auto"/>
        <w:jc w:val="both"/>
        <w:rPr>
          <w:rFonts w:ascii="Arial" w:hAnsi="Arial" w:cs="Arial"/>
        </w:rPr>
      </w:pPr>
      <w:r w:rsidRPr="008F44CF">
        <w:rPr>
          <w:rFonts w:ascii="Arial" w:hAnsi="Arial" w:cs="Arial"/>
        </w:rPr>
        <w:t>Depending on the sero-status of the source person, the following criteria can be used to determine the risk of exposure:</w:t>
      </w:r>
    </w:p>
    <w:p w:rsidR="0071027C" w:rsidRPr="008F44CF" w:rsidRDefault="0071027C" w:rsidP="00274941">
      <w:pPr>
        <w:pStyle w:val="ListParagraph"/>
        <w:numPr>
          <w:ilvl w:val="0"/>
          <w:numId w:val="32"/>
        </w:numPr>
        <w:autoSpaceDE w:val="0"/>
        <w:autoSpaceDN w:val="0"/>
        <w:adjustRightInd w:val="0"/>
        <w:contextualSpacing w:val="0"/>
        <w:jc w:val="both"/>
        <w:rPr>
          <w:rFonts w:ascii="Arial" w:hAnsi="Arial" w:cs="Arial"/>
          <w:sz w:val="22"/>
          <w:szCs w:val="22"/>
        </w:rPr>
      </w:pPr>
      <w:r w:rsidRPr="008F44CF">
        <w:rPr>
          <w:rFonts w:ascii="Arial" w:hAnsi="Arial" w:cs="Arial"/>
          <w:sz w:val="22"/>
          <w:szCs w:val="22"/>
        </w:rPr>
        <w:t>Percutaneous injury</w:t>
      </w:r>
    </w:p>
    <w:p w:rsidR="0071027C" w:rsidRPr="008F44CF" w:rsidRDefault="0071027C" w:rsidP="00274941">
      <w:pPr>
        <w:pStyle w:val="ListParagraph"/>
        <w:numPr>
          <w:ilvl w:val="0"/>
          <w:numId w:val="32"/>
        </w:numPr>
        <w:autoSpaceDE w:val="0"/>
        <w:autoSpaceDN w:val="0"/>
        <w:adjustRightInd w:val="0"/>
        <w:contextualSpacing w:val="0"/>
        <w:jc w:val="both"/>
        <w:rPr>
          <w:rFonts w:ascii="Arial" w:hAnsi="Arial" w:cs="Arial"/>
          <w:sz w:val="22"/>
          <w:szCs w:val="22"/>
        </w:rPr>
      </w:pPr>
      <w:r w:rsidRPr="008F44CF">
        <w:rPr>
          <w:rFonts w:ascii="Arial" w:hAnsi="Arial" w:cs="Arial"/>
          <w:sz w:val="22"/>
          <w:szCs w:val="22"/>
        </w:rPr>
        <w:t>Mucus membrane exposure</w:t>
      </w:r>
    </w:p>
    <w:p w:rsidR="0071027C" w:rsidRPr="008F44CF" w:rsidRDefault="0071027C" w:rsidP="00274941">
      <w:pPr>
        <w:pStyle w:val="ListParagraph"/>
        <w:numPr>
          <w:ilvl w:val="0"/>
          <w:numId w:val="32"/>
        </w:numPr>
        <w:autoSpaceDE w:val="0"/>
        <w:autoSpaceDN w:val="0"/>
        <w:adjustRightInd w:val="0"/>
        <w:contextualSpacing w:val="0"/>
        <w:jc w:val="both"/>
        <w:rPr>
          <w:rFonts w:ascii="Arial" w:hAnsi="Arial" w:cs="Arial"/>
          <w:sz w:val="22"/>
          <w:szCs w:val="22"/>
        </w:rPr>
      </w:pPr>
      <w:r w:rsidRPr="008F44CF">
        <w:rPr>
          <w:rFonts w:ascii="Arial" w:hAnsi="Arial" w:cs="Arial"/>
          <w:sz w:val="22"/>
          <w:szCs w:val="22"/>
        </w:rPr>
        <w:t>Non intact skin exposure</w:t>
      </w:r>
    </w:p>
    <w:p w:rsidR="0071027C" w:rsidRPr="008F44CF" w:rsidRDefault="0071027C" w:rsidP="00274941">
      <w:pPr>
        <w:pStyle w:val="ListParagraph"/>
        <w:numPr>
          <w:ilvl w:val="0"/>
          <w:numId w:val="32"/>
        </w:numPr>
        <w:autoSpaceDE w:val="0"/>
        <w:autoSpaceDN w:val="0"/>
        <w:adjustRightInd w:val="0"/>
        <w:contextualSpacing w:val="0"/>
        <w:jc w:val="both"/>
        <w:rPr>
          <w:rFonts w:ascii="Arial" w:hAnsi="Arial" w:cs="Arial"/>
          <w:sz w:val="22"/>
          <w:szCs w:val="22"/>
        </w:rPr>
      </w:pPr>
      <w:r w:rsidRPr="008F44CF">
        <w:rPr>
          <w:rFonts w:ascii="Arial" w:hAnsi="Arial" w:cs="Arial"/>
          <w:sz w:val="22"/>
          <w:szCs w:val="22"/>
        </w:rPr>
        <w:t>Bites resulting to blood exposure to either person involved</w:t>
      </w:r>
    </w:p>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b/>
        </w:rPr>
      </w:pPr>
      <w:r w:rsidRPr="008F44CF">
        <w:rPr>
          <w:rFonts w:ascii="Arial" w:hAnsi="Arial" w:cs="Arial"/>
          <w:b/>
        </w:rPr>
        <w:t>Table 5.1 Risk of transmission after occupational exposure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2"/>
        <w:gridCol w:w="2886"/>
        <w:gridCol w:w="3258"/>
      </w:tblGrid>
      <w:tr w:rsidR="0071027C" w:rsidRPr="008F44CF" w:rsidTr="0071027C">
        <w:tc>
          <w:tcPr>
            <w:tcW w:w="3072" w:type="dxa"/>
            <w:tcBorders>
              <w:right w:val="single" w:sz="4" w:space="0" w:color="FFFFFF" w:themeColor="background1"/>
            </w:tcBorders>
            <w:shd w:val="clear" w:color="auto" w:fill="000000" w:themeFill="text1"/>
          </w:tcPr>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rPr>
            </w:pPr>
          </w:p>
        </w:tc>
        <w:tc>
          <w:tcPr>
            <w:tcW w:w="2886" w:type="dxa"/>
            <w:tcBorders>
              <w:left w:val="single" w:sz="4" w:space="0" w:color="FFFFFF" w:themeColor="background1"/>
              <w:right w:val="single" w:sz="4" w:space="0" w:color="FFFFFF" w:themeColor="background1"/>
            </w:tcBorders>
            <w:shd w:val="clear" w:color="auto" w:fill="000000" w:themeFill="text1"/>
          </w:tcPr>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b/>
                <w:color w:val="FFFFFF" w:themeColor="background1"/>
              </w:rPr>
            </w:pPr>
            <w:r w:rsidRPr="008F44CF">
              <w:rPr>
                <w:rFonts w:ascii="Arial" w:hAnsi="Arial" w:cs="Arial"/>
                <w:b/>
                <w:color w:val="FFFFFF" w:themeColor="background1"/>
              </w:rPr>
              <w:t>Mode of Exposure</w:t>
            </w:r>
          </w:p>
        </w:tc>
        <w:tc>
          <w:tcPr>
            <w:tcW w:w="3258" w:type="dxa"/>
            <w:tcBorders>
              <w:left w:val="single" w:sz="4" w:space="0" w:color="FFFFFF" w:themeColor="background1"/>
            </w:tcBorders>
            <w:shd w:val="clear" w:color="auto" w:fill="000000" w:themeFill="text1"/>
          </w:tcPr>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b/>
                <w:color w:val="FFFFFF" w:themeColor="background1"/>
              </w:rPr>
            </w:pPr>
            <w:r w:rsidRPr="008F44CF">
              <w:rPr>
                <w:rFonts w:ascii="Arial" w:hAnsi="Arial" w:cs="Arial"/>
                <w:b/>
                <w:color w:val="FFFFFF" w:themeColor="background1"/>
              </w:rPr>
              <w:t xml:space="preserve">Risk of Infection/Exposure </w:t>
            </w:r>
          </w:p>
        </w:tc>
      </w:tr>
      <w:tr w:rsidR="0071027C" w:rsidRPr="008F44CF" w:rsidTr="0071027C">
        <w:tc>
          <w:tcPr>
            <w:tcW w:w="3072" w:type="dxa"/>
            <w:shd w:val="clear" w:color="auto" w:fill="D9D9D9" w:themeFill="background1" w:themeFillShade="D9"/>
          </w:tcPr>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rPr>
            </w:pPr>
            <w:r w:rsidRPr="008F44CF">
              <w:rPr>
                <w:rFonts w:ascii="Arial" w:hAnsi="Arial" w:cs="Arial"/>
              </w:rPr>
              <w:t>HIV</w:t>
            </w:r>
          </w:p>
        </w:tc>
        <w:tc>
          <w:tcPr>
            <w:tcW w:w="2886" w:type="dxa"/>
            <w:shd w:val="clear" w:color="auto" w:fill="D9D9D9" w:themeFill="background1" w:themeFillShade="D9"/>
          </w:tcPr>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rPr>
            </w:pPr>
            <w:r w:rsidRPr="008F44CF">
              <w:rPr>
                <w:rFonts w:ascii="Arial" w:hAnsi="Arial" w:cs="Arial"/>
              </w:rPr>
              <w:t xml:space="preserve">Percutaneous </w:t>
            </w:r>
          </w:p>
        </w:tc>
        <w:tc>
          <w:tcPr>
            <w:tcW w:w="3258" w:type="dxa"/>
            <w:shd w:val="clear" w:color="auto" w:fill="D9D9D9" w:themeFill="background1" w:themeFillShade="D9"/>
          </w:tcPr>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rPr>
            </w:pPr>
            <w:r w:rsidRPr="008F44CF">
              <w:rPr>
                <w:rFonts w:ascii="Arial" w:hAnsi="Arial" w:cs="Arial"/>
              </w:rPr>
              <w:t>0.3%</w:t>
            </w:r>
          </w:p>
        </w:tc>
      </w:tr>
      <w:tr w:rsidR="0071027C" w:rsidRPr="008F44CF" w:rsidTr="0071027C">
        <w:tc>
          <w:tcPr>
            <w:tcW w:w="3072" w:type="dxa"/>
            <w:shd w:val="clear" w:color="auto" w:fill="auto"/>
          </w:tcPr>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rPr>
            </w:pPr>
            <w:r w:rsidRPr="008F44CF">
              <w:rPr>
                <w:rFonts w:ascii="Arial" w:hAnsi="Arial" w:cs="Arial"/>
              </w:rPr>
              <w:t>HIV</w:t>
            </w:r>
          </w:p>
        </w:tc>
        <w:tc>
          <w:tcPr>
            <w:tcW w:w="2886" w:type="dxa"/>
            <w:shd w:val="clear" w:color="auto" w:fill="auto"/>
          </w:tcPr>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rPr>
            </w:pPr>
            <w:r w:rsidRPr="008F44CF">
              <w:rPr>
                <w:rFonts w:ascii="Arial" w:hAnsi="Arial" w:cs="Arial"/>
              </w:rPr>
              <w:t xml:space="preserve">Mucous membrane </w:t>
            </w:r>
          </w:p>
        </w:tc>
        <w:tc>
          <w:tcPr>
            <w:tcW w:w="3258" w:type="dxa"/>
            <w:shd w:val="clear" w:color="auto" w:fill="auto"/>
          </w:tcPr>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rPr>
            </w:pPr>
            <w:r w:rsidRPr="008F44CF">
              <w:rPr>
                <w:rFonts w:ascii="Arial" w:hAnsi="Arial" w:cs="Arial"/>
              </w:rPr>
              <w:t xml:space="preserve">0.03 – 0.09 % </w:t>
            </w:r>
          </w:p>
        </w:tc>
      </w:tr>
      <w:tr w:rsidR="0071027C" w:rsidRPr="008F44CF" w:rsidTr="0071027C">
        <w:tc>
          <w:tcPr>
            <w:tcW w:w="3072" w:type="dxa"/>
            <w:shd w:val="clear" w:color="auto" w:fill="D9D9D9" w:themeFill="background1" w:themeFillShade="D9"/>
          </w:tcPr>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rPr>
            </w:pPr>
            <w:r w:rsidRPr="008F44CF">
              <w:rPr>
                <w:rFonts w:ascii="Arial" w:hAnsi="Arial" w:cs="Arial"/>
              </w:rPr>
              <w:t>HBC</w:t>
            </w:r>
          </w:p>
        </w:tc>
        <w:tc>
          <w:tcPr>
            <w:tcW w:w="2886" w:type="dxa"/>
            <w:shd w:val="clear" w:color="auto" w:fill="D9D9D9" w:themeFill="background1" w:themeFillShade="D9"/>
          </w:tcPr>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rPr>
            </w:pPr>
            <w:r w:rsidRPr="008F44CF">
              <w:rPr>
                <w:rFonts w:ascii="Arial" w:hAnsi="Arial" w:cs="Arial"/>
              </w:rPr>
              <w:t xml:space="preserve">Percutaneous </w:t>
            </w:r>
          </w:p>
        </w:tc>
        <w:tc>
          <w:tcPr>
            <w:tcW w:w="3258" w:type="dxa"/>
            <w:shd w:val="clear" w:color="auto" w:fill="D9D9D9" w:themeFill="background1" w:themeFillShade="D9"/>
          </w:tcPr>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rPr>
            </w:pPr>
            <w:r w:rsidRPr="008F44CF">
              <w:rPr>
                <w:rFonts w:ascii="Arial" w:hAnsi="Arial" w:cs="Arial"/>
              </w:rPr>
              <w:t>10 – 30 %</w:t>
            </w:r>
          </w:p>
        </w:tc>
      </w:tr>
      <w:tr w:rsidR="0071027C" w:rsidRPr="008F44CF" w:rsidTr="0071027C">
        <w:tc>
          <w:tcPr>
            <w:tcW w:w="3072" w:type="dxa"/>
            <w:shd w:val="clear" w:color="auto" w:fill="auto"/>
          </w:tcPr>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rPr>
            </w:pPr>
            <w:r w:rsidRPr="008F44CF">
              <w:rPr>
                <w:rFonts w:ascii="Arial" w:hAnsi="Arial" w:cs="Arial"/>
              </w:rPr>
              <w:t>HBC</w:t>
            </w:r>
          </w:p>
        </w:tc>
        <w:tc>
          <w:tcPr>
            <w:tcW w:w="2886" w:type="dxa"/>
            <w:shd w:val="clear" w:color="auto" w:fill="auto"/>
          </w:tcPr>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rPr>
            </w:pPr>
            <w:r w:rsidRPr="008F44CF">
              <w:rPr>
                <w:rFonts w:ascii="Arial" w:hAnsi="Arial" w:cs="Arial"/>
              </w:rPr>
              <w:t>Mucous membrane</w:t>
            </w:r>
          </w:p>
        </w:tc>
        <w:tc>
          <w:tcPr>
            <w:tcW w:w="3258" w:type="dxa"/>
            <w:shd w:val="clear" w:color="auto" w:fill="auto"/>
          </w:tcPr>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rPr>
            </w:pPr>
            <w:r w:rsidRPr="008F44CF">
              <w:rPr>
                <w:rFonts w:ascii="Arial" w:hAnsi="Arial" w:cs="Arial"/>
              </w:rPr>
              <w:t>0 – 10 %</w:t>
            </w:r>
          </w:p>
        </w:tc>
      </w:tr>
    </w:tbl>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i/>
        </w:rPr>
      </w:pPr>
      <w:r w:rsidRPr="008F44CF">
        <w:rPr>
          <w:rFonts w:ascii="Arial" w:hAnsi="Arial" w:cs="Arial"/>
          <w:i/>
        </w:rPr>
        <w:t>Note: Standard precautions should be adhered to when contact with any type of body fluid is anticipated.</w:t>
      </w:r>
    </w:p>
    <w:p w:rsidR="0071027C" w:rsidRPr="008F44CF" w:rsidRDefault="0071027C" w:rsidP="00274941">
      <w:pPr>
        <w:pStyle w:val="ListParagraph"/>
        <w:numPr>
          <w:ilvl w:val="0"/>
          <w:numId w:val="35"/>
        </w:numPr>
        <w:autoSpaceDE w:val="0"/>
        <w:autoSpaceDN w:val="0"/>
        <w:adjustRightInd w:val="0"/>
        <w:spacing w:before="120" w:after="120"/>
        <w:jc w:val="both"/>
        <w:rPr>
          <w:rFonts w:ascii="Arial" w:hAnsi="Arial" w:cs="Arial"/>
          <w:b/>
          <w:iCs/>
          <w:sz w:val="22"/>
          <w:szCs w:val="22"/>
        </w:rPr>
      </w:pPr>
      <w:r w:rsidRPr="008F44CF">
        <w:rPr>
          <w:rFonts w:ascii="Arial" w:hAnsi="Arial" w:cs="Arial"/>
          <w:b/>
          <w:iCs/>
          <w:sz w:val="22"/>
          <w:szCs w:val="22"/>
        </w:rPr>
        <w:t>Evaluation of the Exposed HCW</w:t>
      </w:r>
    </w:p>
    <w:p w:rsidR="0071027C" w:rsidRDefault="0071027C" w:rsidP="0071027C">
      <w:pPr>
        <w:autoSpaceDE w:val="0"/>
        <w:autoSpaceDN w:val="0"/>
        <w:adjustRightInd w:val="0"/>
        <w:spacing w:before="120" w:after="120" w:line="240" w:lineRule="auto"/>
        <w:jc w:val="both"/>
        <w:rPr>
          <w:rFonts w:ascii="Arial" w:hAnsi="Arial" w:cs="Arial"/>
        </w:rPr>
      </w:pPr>
      <w:r w:rsidRPr="008F44CF">
        <w:rPr>
          <w:rFonts w:ascii="Arial" w:hAnsi="Arial" w:cs="Arial"/>
        </w:rPr>
        <w:t>Healthcare workers exposed to HIV should be evaluated within hours rather than days. A starter pack should be initiated within 2 hrs after exposure and before testing the exposed person. Thereafter, exposed healthcare workers should be counseled and tested for HIV at baseline in order to establish infection status at the time of exposure. PEP should be discontinued if an exposed healthcare worker refuses to test. To facilitate an effective choice of HIV PEP drugs, the evaluation should include information on the type of medication the exposed person might be taking and any current or underlying medical conditions or circumstances (such as pregnancy, breast feeding, renal or hepatic disease) that might influence drug selection. Vaccination against Hepatitis B should be considered in the case of large volume needle-stick injury.</w:t>
      </w:r>
    </w:p>
    <w:p w:rsidR="0071027C" w:rsidRPr="008F44CF" w:rsidRDefault="0071027C" w:rsidP="0071027C">
      <w:pPr>
        <w:autoSpaceDE w:val="0"/>
        <w:autoSpaceDN w:val="0"/>
        <w:adjustRightInd w:val="0"/>
        <w:spacing w:before="120" w:after="120" w:line="240" w:lineRule="auto"/>
        <w:jc w:val="both"/>
        <w:rPr>
          <w:rFonts w:ascii="Arial" w:hAnsi="Arial" w:cs="Arial"/>
        </w:rPr>
      </w:pPr>
    </w:p>
    <w:p w:rsidR="0071027C" w:rsidRPr="008F44CF" w:rsidRDefault="0071027C" w:rsidP="00274941">
      <w:pPr>
        <w:pStyle w:val="ListParagraph"/>
        <w:numPr>
          <w:ilvl w:val="0"/>
          <w:numId w:val="35"/>
        </w:numPr>
        <w:autoSpaceDE w:val="0"/>
        <w:autoSpaceDN w:val="0"/>
        <w:adjustRightInd w:val="0"/>
        <w:spacing w:before="120" w:after="120"/>
        <w:jc w:val="both"/>
        <w:rPr>
          <w:rFonts w:ascii="Arial" w:hAnsi="Arial" w:cs="Arial"/>
          <w:b/>
          <w:iCs/>
          <w:sz w:val="22"/>
          <w:szCs w:val="22"/>
        </w:rPr>
      </w:pPr>
      <w:r w:rsidRPr="008F44CF">
        <w:rPr>
          <w:rFonts w:ascii="Arial" w:hAnsi="Arial" w:cs="Arial"/>
          <w:b/>
          <w:iCs/>
          <w:sz w:val="22"/>
          <w:szCs w:val="22"/>
        </w:rPr>
        <w:t>Evaluation of the Source Person</w:t>
      </w:r>
    </w:p>
    <w:p w:rsidR="0071027C" w:rsidRPr="008F44CF" w:rsidRDefault="0071027C" w:rsidP="0071027C">
      <w:pPr>
        <w:autoSpaceDE w:val="0"/>
        <w:autoSpaceDN w:val="0"/>
        <w:adjustRightInd w:val="0"/>
        <w:spacing w:before="120" w:after="120" w:line="240" w:lineRule="auto"/>
        <w:jc w:val="both"/>
        <w:rPr>
          <w:rFonts w:ascii="Arial" w:hAnsi="Arial" w:cs="Arial"/>
        </w:rPr>
      </w:pPr>
      <w:r w:rsidRPr="008F44CF">
        <w:rPr>
          <w:rFonts w:ascii="Arial" w:hAnsi="Arial" w:cs="Arial"/>
        </w:rPr>
        <w:t>Evaluation of the source person should be performed when the exposed healthcare worker agrees to take PEP.</w:t>
      </w:r>
    </w:p>
    <w:p w:rsidR="0071027C" w:rsidRPr="008F44CF" w:rsidRDefault="0071027C" w:rsidP="00274941">
      <w:pPr>
        <w:widowControl/>
        <w:numPr>
          <w:ilvl w:val="0"/>
          <w:numId w:val="28"/>
        </w:numPr>
        <w:autoSpaceDE w:val="0"/>
        <w:autoSpaceDN w:val="0"/>
        <w:adjustRightInd w:val="0"/>
        <w:spacing w:after="0" w:line="240" w:lineRule="auto"/>
        <w:jc w:val="both"/>
        <w:rPr>
          <w:rFonts w:ascii="Arial" w:hAnsi="Arial" w:cs="Arial"/>
        </w:rPr>
      </w:pPr>
      <w:r w:rsidRPr="008F44CF">
        <w:rPr>
          <w:rFonts w:ascii="Arial" w:hAnsi="Arial" w:cs="Arial"/>
        </w:rPr>
        <w:t>If the HIV, HBV and HCV status of the source person is unknown perform these tests after obtaining consent. The exposed healthcare worker should not be involved in obtaining consent from the source person.</w:t>
      </w:r>
    </w:p>
    <w:p w:rsidR="0071027C" w:rsidRPr="008F44CF" w:rsidRDefault="0071027C" w:rsidP="00274941">
      <w:pPr>
        <w:widowControl/>
        <w:numPr>
          <w:ilvl w:val="0"/>
          <w:numId w:val="28"/>
        </w:numPr>
        <w:autoSpaceDE w:val="0"/>
        <w:autoSpaceDN w:val="0"/>
        <w:adjustRightInd w:val="0"/>
        <w:spacing w:after="0" w:line="240" w:lineRule="auto"/>
        <w:jc w:val="both"/>
        <w:rPr>
          <w:rFonts w:ascii="Arial" w:hAnsi="Arial" w:cs="Arial"/>
        </w:rPr>
      </w:pPr>
      <w:r w:rsidRPr="008F44CF">
        <w:rPr>
          <w:rFonts w:ascii="Arial" w:hAnsi="Arial" w:cs="Arial"/>
        </w:rPr>
        <w:t>If the source person is unknown, evaluation will depend on other risk criteria.</w:t>
      </w:r>
    </w:p>
    <w:p w:rsidR="0071027C" w:rsidRDefault="0071027C" w:rsidP="00274941">
      <w:pPr>
        <w:widowControl/>
        <w:numPr>
          <w:ilvl w:val="0"/>
          <w:numId w:val="28"/>
        </w:numPr>
        <w:autoSpaceDE w:val="0"/>
        <w:autoSpaceDN w:val="0"/>
        <w:adjustRightInd w:val="0"/>
        <w:spacing w:after="0" w:line="240" w:lineRule="auto"/>
        <w:jc w:val="both"/>
        <w:rPr>
          <w:rFonts w:ascii="Arial" w:hAnsi="Arial" w:cs="Arial"/>
        </w:rPr>
      </w:pPr>
      <w:r w:rsidRPr="008F44CF">
        <w:rPr>
          <w:rFonts w:ascii="Arial" w:hAnsi="Arial" w:cs="Arial"/>
        </w:rPr>
        <w:t>Do not test discarded needles or syringes for viral contamination.</w:t>
      </w:r>
    </w:p>
    <w:p w:rsidR="0071027C" w:rsidRPr="008F44CF" w:rsidRDefault="0071027C" w:rsidP="0071027C">
      <w:pPr>
        <w:widowControl/>
        <w:autoSpaceDE w:val="0"/>
        <w:autoSpaceDN w:val="0"/>
        <w:adjustRightInd w:val="0"/>
        <w:spacing w:before="120" w:after="120" w:line="240" w:lineRule="auto"/>
        <w:ind w:left="720"/>
        <w:jc w:val="both"/>
        <w:rPr>
          <w:rFonts w:ascii="Arial" w:hAnsi="Arial" w:cs="Arial"/>
        </w:rPr>
      </w:pPr>
    </w:p>
    <w:p w:rsidR="0071027C" w:rsidRPr="008F44CF" w:rsidRDefault="0071027C" w:rsidP="00274941">
      <w:pPr>
        <w:pStyle w:val="ListParagraph"/>
        <w:numPr>
          <w:ilvl w:val="0"/>
          <w:numId w:val="35"/>
        </w:numPr>
        <w:autoSpaceDE w:val="0"/>
        <w:autoSpaceDN w:val="0"/>
        <w:adjustRightInd w:val="0"/>
        <w:spacing w:before="120" w:after="120"/>
        <w:jc w:val="both"/>
        <w:rPr>
          <w:rFonts w:ascii="Arial" w:hAnsi="Arial" w:cs="Arial"/>
          <w:b/>
          <w:iCs/>
          <w:sz w:val="22"/>
          <w:szCs w:val="22"/>
        </w:rPr>
      </w:pPr>
      <w:r w:rsidRPr="008F44CF">
        <w:rPr>
          <w:rFonts w:ascii="Arial" w:hAnsi="Arial" w:cs="Arial"/>
          <w:b/>
          <w:iCs/>
          <w:sz w:val="22"/>
          <w:szCs w:val="22"/>
        </w:rPr>
        <w:t>Drugs for HIV PEP</w:t>
      </w:r>
    </w:p>
    <w:p w:rsidR="0071027C" w:rsidRPr="008F44CF" w:rsidRDefault="0071027C" w:rsidP="0071027C">
      <w:pPr>
        <w:autoSpaceDE w:val="0"/>
        <w:autoSpaceDN w:val="0"/>
        <w:adjustRightInd w:val="0"/>
        <w:spacing w:before="120" w:after="120" w:line="240" w:lineRule="auto"/>
        <w:jc w:val="both"/>
        <w:rPr>
          <w:rFonts w:ascii="Arial" w:hAnsi="Arial" w:cs="Arial"/>
        </w:rPr>
      </w:pPr>
      <w:r w:rsidRPr="008F44CF">
        <w:rPr>
          <w:rFonts w:ascii="Arial" w:hAnsi="Arial" w:cs="Arial"/>
        </w:rPr>
        <w:t>For most cases of exposure to HIV a combination of AZT and 3TC should be used. However, for exposure that poses an increased risk for transmission see the following table.</w:t>
      </w:r>
    </w:p>
    <w:p w:rsidR="0071027C" w:rsidRPr="008F44CF" w:rsidRDefault="0071027C" w:rsidP="0071027C">
      <w:pPr>
        <w:autoSpaceDE w:val="0"/>
        <w:autoSpaceDN w:val="0"/>
        <w:adjustRightInd w:val="0"/>
        <w:spacing w:after="0" w:line="240" w:lineRule="auto"/>
        <w:jc w:val="both"/>
        <w:rPr>
          <w:rFonts w:ascii="Arial" w:hAnsi="Arial" w:cs="Arial"/>
        </w:rPr>
      </w:pPr>
    </w:p>
    <w:p w:rsidR="0071027C" w:rsidRPr="00C203F3" w:rsidRDefault="0071027C" w:rsidP="00AA771C">
      <w:pPr>
        <w:autoSpaceDE w:val="0"/>
        <w:autoSpaceDN w:val="0"/>
        <w:adjustRightInd w:val="0"/>
        <w:spacing w:beforeLines="120" w:before="288" w:afterLines="120" w:after="288" w:line="288" w:lineRule="auto"/>
        <w:jc w:val="both"/>
        <w:rPr>
          <w:rFonts w:ascii="Arial Narrow" w:hAnsi="Arial Narrow"/>
          <w:b/>
          <w:sz w:val="24"/>
          <w:szCs w:val="24"/>
          <w:highlight w:val="yellow"/>
        </w:rPr>
        <w:sectPr w:rsidR="0071027C" w:rsidRPr="00C203F3" w:rsidSect="0071027C">
          <w:pgSz w:w="12240" w:h="15840"/>
          <w:pgMar w:top="1440" w:right="1440" w:bottom="1440" w:left="1440" w:header="720" w:footer="720" w:gutter="0"/>
          <w:cols w:space="720"/>
          <w:docGrid w:linePitch="360"/>
        </w:sectPr>
      </w:pPr>
    </w:p>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b/>
        </w:rPr>
      </w:pPr>
      <w:r w:rsidRPr="008F44CF">
        <w:rPr>
          <w:rFonts w:ascii="Arial" w:hAnsi="Arial" w:cs="Arial"/>
          <w:b/>
        </w:rPr>
        <w:t xml:space="preserve">Table 5.2 </w:t>
      </w:r>
      <w:r w:rsidRPr="008F44CF">
        <w:rPr>
          <w:rFonts w:ascii="Arial" w:eastAsia="HelveticaNeueLTStd-Cn" w:hAnsi="Arial" w:cs="Arial"/>
          <w:b/>
        </w:rPr>
        <w:t>Recommended Regimens Following Percutaneous HIV Exposure</w:t>
      </w:r>
    </w:p>
    <w:tbl>
      <w:tblPr>
        <w:tblW w:w="13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8"/>
        <w:gridCol w:w="1620"/>
        <w:gridCol w:w="1530"/>
        <w:gridCol w:w="3600"/>
        <w:gridCol w:w="3960"/>
        <w:gridCol w:w="1530"/>
      </w:tblGrid>
      <w:tr w:rsidR="0071027C" w:rsidRPr="008F44CF" w:rsidTr="0071027C">
        <w:tc>
          <w:tcPr>
            <w:tcW w:w="13518" w:type="dxa"/>
            <w:gridSpan w:val="6"/>
            <w:shd w:val="clear" w:color="auto" w:fill="000000" w:themeFill="text1"/>
          </w:tcPr>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b/>
                <w:color w:val="FFFFFF" w:themeColor="background1"/>
              </w:rPr>
            </w:pPr>
            <w:r w:rsidRPr="008F44CF">
              <w:rPr>
                <w:rFonts w:ascii="Arial" w:hAnsi="Arial" w:cs="Arial"/>
                <w:b/>
                <w:color w:val="FFFFFF" w:themeColor="background1"/>
              </w:rPr>
              <w:t>INFECTION STATUS OF THE SOURCE</w:t>
            </w:r>
          </w:p>
        </w:tc>
      </w:tr>
      <w:tr w:rsidR="0071027C" w:rsidRPr="008F44CF" w:rsidTr="0071027C">
        <w:trPr>
          <w:trHeight w:val="1214"/>
        </w:trPr>
        <w:tc>
          <w:tcPr>
            <w:tcW w:w="1278" w:type="dxa"/>
            <w:shd w:val="clear" w:color="auto" w:fill="CCFFFF"/>
          </w:tcPr>
          <w:p w:rsidR="0071027C" w:rsidRPr="008F44CF" w:rsidRDefault="0071027C" w:rsidP="00AA771C">
            <w:pPr>
              <w:autoSpaceDE w:val="0"/>
              <w:autoSpaceDN w:val="0"/>
              <w:adjustRightInd w:val="0"/>
              <w:spacing w:beforeLines="120" w:before="288" w:afterLines="120" w:after="288" w:line="288" w:lineRule="auto"/>
              <w:rPr>
                <w:rFonts w:ascii="Arial" w:hAnsi="Arial" w:cs="Arial"/>
                <w:b/>
              </w:rPr>
            </w:pPr>
            <w:r w:rsidRPr="008F44CF">
              <w:rPr>
                <w:rFonts w:ascii="Arial" w:hAnsi="Arial" w:cs="Arial"/>
                <w:b/>
              </w:rPr>
              <w:t>Exposure</w:t>
            </w:r>
          </w:p>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b/>
              </w:rPr>
            </w:pPr>
            <w:r w:rsidRPr="008F44CF">
              <w:rPr>
                <w:rFonts w:ascii="Arial" w:hAnsi="Arial" w:cs="Arial"/>
                <w:b/>
              </w:rPr>
              <w:t>Type</w:t>
            </w:r>
          </w:p>
        </w:tc>
        <w:tc>
          <w:tcPr>
            <w:tcW w:w="1620" w:type="dxa"/>
          </w:tcPr>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b/>
              </w:rPr>
            </w:pPr>
            <w:r w:rsidRPr="008F44CF">
              <w:rPr>
                <w:rFonts w:ascii="Arial" w:hAnsi="Arial" w:cs="Arial"/>
                <w:b/>
              </w:rPr>
              <w:t>HIV Positive Class 1+</w:t>
            </w:r>
          </w:p>
        </w:tc>
        <w:tc>
          <w:tcPr>
            <w:tcW w:w="1530" w:type="dxa"/>
            <w:shd w:val="clear" w:color="auto" w:fill="CCFFFF"/>
          </w:tcPr>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b/>
              </w:rPr>
            </w:pPr>
            <w:r w:rsidRPr="008F44CF">
              <w:rPr>
                <w:rFonts w:ascii="Arial" w:hAnsi="Arial" w:cs="Arial"/>
                <w:b/>
              </w:rPr>
              <w:t>HIV Positive Class 2+</w:t>
            </w:r>
          </w:p>
        </w:tc>
        <w:tc>
          <w:tcPr>
            <w:tcW w:w="3600" w:type="dxa"/>
          </w:tcPr>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b/>
              </w:rPr>
            </w:pPr>
            <w:r w:rsidRPr="008F44CF">
              <w:rPr>
                <w:rFonts w:ascii="Arial" w:hAnsi="Arial" w:cs="Arial"/>
                <w:b/>
              </w:rPr>
              <w:t>Source of unknown HIV status †</w:t>
            </w:r>
          </w:p>
        </w:tc>
        <w:tc>
          <w:tcPr>
            <w:tcW w:w="3960" w:type="dxa"/>
            <w:shd w:val="clear" w:color="auto" w:fill="CCFFFF"/>
          </w:tcPr>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b/>
              </w:rPr>
            </w:pPr>
            <w:r w:rsidRPr="008F44CF">
              <w:rPr>
                <w:rFonts w:ascii="Arial" w:hAnsi="Arial" w:cs="Arial"/>
                <w:b/>
              </w:rPr>
              <w:t>Unknown source</w:t>
            </w:r>
          </w:p>
        </w:tc>
        <w:tc>
          <w:tcPr>
            <w:tcW w:w="1530" w:type="dxa"/>
          </w:tcPr>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b/>
              </w:rPr>
            </w:pPr>
            <w:r w:rsidRPr="008F44CF">
              <w:rPr>
                <w:rFonts w:ascii="Arial" w:hAnsi="Arial" w:cs="Arial"/>
                <w:b/>
              </w:rPr>
              <w:t xml:space="preserve">HIV negative </w:t>
            </w:r>
          </w:p>
        </w:tc>
      </w:tr>
      <w:tr w:rsidR="0071027C" w:rsidRPr="008F44CF" w:rsidTr="0071027C">
        <w:trPr>
          <w:trHeight w:val="1079"/>
        </w:trPr>
        <w:tc>
          <w:tcPr>
            <w:tcW w:w="1278" w:type="dxa"/>
            <w:shd w:val="clear" w:color="auto" w:fill="CCFFFF"/>
          </w:tcPr>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Less</w:t>
            </w:r>
          </w:p>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severe¶</w:t>
            </w:r>
          </w:p>
        </w:tc>
        <w:tc>
          <w:tcPr>
            <w:tcW w:w="1620" w:type="dxa"/>
          </w:tcPr>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Recommend</w:t>
            </w:r>
          </w:p>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basic 2-drug</w:t>
            </w:r>
          </w:p>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PEP++</w:t>
            </w:r>
          </w:p>
        </w:tc>
        <w:tc>
          <w:tcPr>
            <w:tcW w:w="1530" w:type="dxa"/>
            <w:shd w:val="clear" w:color="auto" w:fill="CCFFFF"/>
          </w:tcPr>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Recommend</w:t>
            </w:r>
          </w:p>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expanded</w:t>
            </w:r>
          </w:p>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3-drug PEP</w:t>
            </w:r>
          </w:p>
        </w:tc>
        <w:tc>
          <w:tcPr>
            <w:tcW w:w="3600" w:type="dxa"/>
          </w:tcPr>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Generally, no PEP warranted however, consider basis 2- drug PEP** or source with HIV risk factors</w:t>
            </w:r>
          </w:p>
        </w:tc>
        <w:tc>
          <w:tcPr>
            <w:tcW w:w="3960" w:type="dxa"/>
            <w:shd w:val="clear" w:color="auto" w:fill="CCFFFF"/>
          </w:tcPr>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Generally, no PEP warranted;</w:t>
            </w:r>
          </w:p>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however, consider basic 2-drug PEP** in setting where exposure to HIV infected persons is likely</w:t>
            </w:r>
          </w:p>
        </w:tc>
        <w:tc>
          <w:tcPr>
            <w:tcW w:w="1530" w:type="dxa"/>
          </w:tcPr>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No PEP</w:t>
            </w:r>
          </w:p>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warranted</w:t>
            </w:r>
          </w:p>
        </w:tc>
      </w:tr>
      <w:tr w:rsidR="0071027C" w:rsidRPr="008F44CF" w:rsidTr="0071027C">
        <w:trPr>
          <w:trHeight w:val="917"/>
        </w:trPr>
        <w:tc>
          <w:tcPr>
            <w:tcW w:w="1278" w:type="dxa"/>
            <w:shd w:val="clear" w:color="auto" w:fill="CCFFFF"/>
          </w:tcPr>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Large</w:t>
            </w:r>
          </w:p>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volume§§</w:t>
            </w:r>
          </w:p>
        </w:tc>
        <w:tc>
          <w:tcPr>
            <w:tcW w:w="1620" w:type="dxa"/>
          </w:tcPr>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Recommend</w:t>
            </w:r>
          </w:p>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expanded</w:t>
            </w:r>
          </w:p>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3-drug PEP</w:t>
            </w:r>
          </w:p>
        </w:tc>
        <w:tc>
          <w:tcPr>
            <w:tcW w:w="1530" w:type="dxa"/>
            <w:shd w:val="clear" w:color="auto" w:fill="CCFFFF"/>
          </w:tcPr>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Recommend</w:t>
            </w:r>
          </w:p>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expanded</w:t>
            </w:r>
          </w:p>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3-drug PEP</w:t>
            </w:r>
          </w:p>
        </w:tc>
        <w:tc>
          <w:tcPr>
            <w:tcW w:w="3600" w:type="dxa"/>
          </w:tcPr>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Generally, no PEP warranted; however, consider basic 2-drug PEP** for source with HIV risk factors++</w:t>
            </w:r>
          </w:p>
        </w:tc>
        <w:tc>
          <w:tcPr>
            <w:tcW w:w="3960" w:type="dxa"/>
            <w:shd w:val="clear" w:color="auto" w:fill="CCFFFF"/>
          </w:tcPr>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Generally, no PEP warranted; however, consider basic 2- drug PEP** in setting where exposure to HIV-infected persons is likely</w:t>
            </w:r>
          </w:p>
        </w:tc>
        <w:tc>
          <w:tcPr>
            <w:tcW w:w="1530" w:type="dxa"/>
          </w:tcPr>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No PEP</w:t>
            </w:r>
          </w:p>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warranted</w:t>
            </w:r>
          </w:p>
        </w:tc>
      </w:tr>
    </w:tbl>
    <w:p w:rsidR="0071027C" w:rsidRPr="008F44CF" w:rsidRDefault="0071027C" w:rsidP="0071027C">
      <w:pPr>
        <w:tabs>
          <w:tab w:val="left" w:pos="1902"/>
        </w:tabs>
        <w:autoSpaceDE w:val="0"/>
        <w:autoSpaceDN w:val="0"/>
        <w:adjustRightInd w:val="0"/>
        <w:spacing w:before="120" w:after="120" w:line="240" w:lineRule="auto"/>
        <w:jc w:val="both"/>
        <w:rPr>
          <w:rFonts w:ascii="Arial" w:hAnsi="Arial" w:cs="Arial"/>
          <w:b/>
        </w:rPr>
      </w:pPr>
      <w:r w:rsidRPr="008F44CF">
        <w:rPr>
          <w:rFonts w:ascii="Arial" w:hAnsi="Arial" w:cs="Arial"/>
          <w:b/>
        </w:rPr>
        <w:t>Legend:</w:t>
      </w:r>
      <w:r w:rsidRPr="008F44CF">
        <w:rPr>
          <w:rFonts w:ascii="Arial" w:hAnsi="Arial" w:cs="Arial"/>
          <w:b/>
        </w:rPr>
        <w:tab/>
      </w:r>
    </w:p>
    <w:p w:rsidR="0071027C" w:rsidRPr="008F44CF" w:rsidRDefault="0071027C" w:rsidP="0071027C">
      <w:pPr>
        <w:autoSpaceDE w:val="0"/>
        <w:autoSpaceDN w:val="0"/>
        <w:adjustRightInd w:val="0"/>
        <w:spacing w:before="120" w:after="120" w:line="240" w:lineRule="auto"/>
        <w:jc w:val="both"/>
        <w:rPr>
          <w:rFonts w:ascii="Arial" w:eastAsia="HelveticaNeueLTStd-Cn" w:hAnsi="Arial" w:cs="Arial"/>
        </w:rPr>
      </w:pPr>
      <w:r w:rsidRPr="008F44CF">
        <w:rPr>
          <w:rFonts w:ascii="Arial" w:eastAsia="HelveticaNeueLTStd-Cn" w:hAnsi="Arial" w:cs="Arial"/>
        </w:rPr>
        <w:t>* - HIV positive</w:t>
      </w:r>
    </w:p>
    <w:p w:rsidR="0071027C" w:rsidRPr="008F44CF" w:rsidRDefault="0071027C" w:rsidP="0071027C">
      <w:pPr>
        <w:autoSpaceDE w:val="0"/>
        <w:autoSpaceDN w:val="0"/>
        <w:adjustRightInd w:val="0"/>
        <w:spacing w:before="120" w:after="120" w:line="240" w:lineRule="auto"/>
        <w:jc w:val="both"/>
        <w:rPr>
          <w:rFonts w:ascii="Arial" w:eastAsia="HelveticaNeueLTStd-Cn" w:hAnsi="Arial" w:cs="Arial"/>
        </w:rPr>
      </w:pPr>
      <w:r w:rsidRPr="008F44CF">
        <w:rPr>
          <w:rFonts w:ascii="Arial" w:eastAsia="HelveticaNeueLTStd-Cn" w:hAnsi="Arial" w:cs="Arial"/>
        </w:rPr>
        <w:t>Class 1 – asymptomatic HIV infection or known low viral load (i.e. &lt;1,500 RNA copies /mL) Class 2 – symptomatic HIV infection, AIDS, acute sero-conversion, or known high viral load. If drug resistance is a concern, obtain expert consultation. Initiation of post exposure prophylaxis (PEP) should not be delayed pending expert consultation, and, because expert consultation alone cannot substitute for face-to-face counseling, resources should be available to provide immediate evaluation and follow- up care for all exposed persons.</w:t>
      </w:r>
    </w:p>
    <w:p w:rsidR="0071027C" w:rsidRPr="008F44CF" w:rsidRDefault="0071027C" w:rsidP="0071027C">
      <w:pPr>
        <w:autoSpaceDE w:val="0"/>
        <w:autoSpaceDN w:val="0"/>
        <w:adjustRightInd w:val="0"/>
        <w:spacing w:before="120" w:after="120" w:line="240" w:lineRule="auto"/>
        <w:jc w:val="both"/>
        <w:rPr>
          <w:rFonts w:ascii="Arial" w:eastAsia="HelveticaNeueLTStd-Cn" w:hAnsi="Arial" w:cs="Arial"/>
        </w:rPr>
      </w:pPr>
      <w:r w:rsidRPr="008F44CF">
        <w:rPr>
          <w:rFonts w:ascii="Arial" w:eastAsia="HelveticaNeueLTStd-Cn" w:hAnsi="Arial" w:cs="Arial"/>
        </w:rPr>
        <w:t xml:space="preserve"> Source of unknown HIV status (e. g. deceased source person with no samples available for HIV testing)</w:t>
      </w:r>
    </w:p>
    <w:p w:rsidR="0071027C" w:rsidRPr="008F44CF" w:rsidRDefault="0071027C" w:rsidP="0071027C">
      <w:pPr>
        <w:autoSpaceDE w:val="0"/>
        <w:autoSpaceDN w:val="0"/>
        <w:adjustRightInd w:val="0"/>
        <w:spacing w:before="120" w:after="120" w:line="240" w:lineRule="auto"/>
        <w:jc w:val="both"/>
        <w:rPr>
          <w:rFonts w:ascii="Arial" w:eastAsia="HelveticaNeueLTStd-Cn" w:hAnsi="Arial" w:cs="Arial"/>
        </w:rPr>
      </w:pPr>
      <w:r w:rsidRPr="008F44CF">
        <w:rPr>
          <w:rFonts w:ascii="Arial" w:eastAsia="HelveticaNeueLTStd-Cn" w:hAnsi="Arial" w:cs="Arial"/>
        </w:rPr>
        <w:t>Unknown source (e. g. a needle from a sharps disposal container)</w:t>
      </w:r>
    </w:p>
    <w:p w:rsidR="0071027C" w:rsidRPr="008F44CF" w:rsidRDefault="0071027C" w:rsidP="0071027C">
      <w:pPr>
        <w:autoSpaceDE w:val="0"/>
        <w:autoSpaceDN w:val="0"/>
        <w:adjustRightInd w:val="0"/>
        <w:spacing w:before="120" w:after="120" w:line="240" w:lineRule="auto"/>
        <w:jc w:val="both"/>
        <w:rPr>
          <w:rFonts w:ascii="Arial" w:eastAsia="HelveticaNeueLTStd-Cn" w:hAnsi="Arial" w:cs="Arial"/>
        </w:rPr>
      </w:pPr>
      <w:r w:rsidRPr="008F44CF">
        <w:rPr>
          <w:rFonts w:ascii="Arial" w:eastAsia="HelveticaNeueLTStd-Cn" w:hAnsi="Arial" w:cs="Arial"/>
        </w:rPr>
        <w:t>Less severe (e. g. solid needle and superficial injury)</w:t>
      </w:r>
    </w:p>
    <w:p w:rsidR="0071027C" w:rsidRPr="008F44CF" w:rsidRDefault="0071027C" w:rsidP="0071027C">
      <w:pPr>
        <w:autoSpaceDE w:val="0"/>
        <w:autoSpaceDN w:val="0"/>
        <w:adjustRightInd w:val="0"/>
        <w:spacing w:before="120" w:after="120" w:line="240" w:lineRule="auto"/>
        <w:jc w:val="both"/>
        <w:rPr>
          <w:rFonts w:ascii="Arial" w:eastAsia="HelveticaNeueLTStd-Cn" w:hAnsi="Arial" w:cs="Arial"/>
        </w:rPr>
      </w:pPr>
      <w:r w:rsidRPr="008F44CF">
        <w:rPr>
          <w:rFonts w:ascii="Arial" w:eastAsia="HelveticaNeueLTStd-Cn" w:hAnsi="Arial" w:cs="Arial"/>
        </w:rPr>
        <w:t>** The designation “consider PEP” indicates that PEP is optional and should be based on an individualized decision between the exposed person and the treating clinician. If PEP is offered and taken and the source is later determined to be HIV- negative, PEP should be discontinued.</w:t>
      </w:r>
    </w:p>
    <w:p w:rsidR="0071027C" w:rsidRPr="008F44CF" w:rsidRDefault="0071027C" w:rsidP="0071027C">
      <w:pPr>
        <w:autoSpaceDE w:val="0"/>
        <w:autoSpaceDN w:val="0"/>
        <w:adjustRightInd w:val="0"/>
        <w:spacing w:before="120" w:after="120" w:line="240" w:lineRule="auto"/>
        <w:jc w:val="both"/>
        <w:rPr>
          <w:rFonts w:ascii="Arial" w:hAnsi="Arial" w:cs="Arial"/>
          <w:b/>
        </w:rPr>
        <w:sectPr w:rsidR="0071027C" w:rsidRPr="008F44CF" w:rsidSect="0071027C">
          <w:pgSz w:w="15840" w:h="12240" w:orient="landscape"/>
          <w:pgMar w:top="1440" w:right="1440" w:bottom="1440" w:left="1440" w:header="720" w:footer="720" w:gutter="0"/>
          <w:cols w:space="720"/>
          <w:docGrid w:linePitch="360"/>
        </w:sectPr>
      </w:pPr>
      <w:r w:rsidRPr="008F44CF">
        <w:rPr>
          <w:rFonts w:ascii="Arial" w:eastAsia="HelveticaNeueLTStd-Cn" w:hAnsi="Arial" w:cs="Arial"/>
        </w:rPr>
        <w:t>More severe (e. g. large-bore hollow needle, deep puncture, visible blood on device, or needle used in patient’s artery or vein)</w:t>
      </w:r>
    </w:p>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b/>
        </w:rPr>
      </w:pPr>
      <w:r w:rsidRPr="008F44CF">
        <w:rPr>
          <w:rFonts w:ascii="Arial" w:hAnsi="Arial" w:cs="Arial"/>
          <w:b/>
        </w:rPr>
        <w:t>Table 5:3 Recommended</w:t>
      </w:r>
      <w:r w:rsidRPr="008F44CF">
        <w:rPr>
          <w:rFonts w:ascii="Arial" w:eastAsia="HelveticaNeueLTStd-Cn" w:hAnsi="Arial" w:cs="Arial"/>
          <w:b/>
        </w:rPr>
        <w:t xml:space="preserve"> regimen following mucous membrane or non-intact skin* exposure</w:t>
      </w:r>
    </w:p>
    <w:tbl>
      <w:tblPr>
        <w:tblW w:w="13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6"/>
        <w:gridCol w:w="1902"/>
        <w:gridCol w:w="2250"/>
        <w:gridCol w:w="3060"/>
        <w:gridCol w:w="3420"/>
        <w:gridCol w:w="1350"/>
      </w:tblGrid>
      <w:tr w:rsidR="0071027C" w:rsidRPr="008F44CF" w:rsidTr="0071027C">
        <w:tc>
          <w:tcPr>
            <w:tcW w:w="13518" w:type="dxa"/>
            <w:gridSpan w:val="6"/>
            <w:shd w:val="clear" w:color="auto" w:fill="000000" w:themeFill="text1"/>
          </w:tcPr>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b/>
                <w:color w:val="FFFFFF" w:themeColor="background1"/>
              </w:rPr>
            </w:pPr>
            <w:r w:rsidRPr="008F44CF">
              <w:rPr>
                <w:rFonts w:ascii="Arial" w:hAnsi="Arial" w:cs="Arial"/>
                <w:b/>
                <w:color w:val="FFFFFF" w:themeColor="background1"/>
              </w:rPr>
              <w:t>INFECTION STATUS OF THE SOURCE</w:t>
            </w:r>
          </w:p>
        </w:tc>
      </w:tr>
      <w:tr w:rsidR="0071027C" w:rsidRPr="008F44CF" w:rsidTr="0071027C">
        <w:trPr>
          <w:trHeight w:val="800"/>
        </w:trPr>
        <w:tc>
          <w:tcPr>
            <w:tcW w:w="1536" w:type="dxa"/>
            <w:shd w:val="clear" w:color="auto" w:fill="CCFFFF"/>
          </w:tcPr>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rPr>
            </w:pPr>
            <w:r w:rsidRPr="008F44CF">
              <w:rPr>
                <w:rFonts w:ascii="Arial" w:hAnsi="Arial" w:cs="Arial"/>
              </w:rPr>
              <w:t>Exposure</w:t>
            </w:r>
          </w:p>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hAnsi="Arial" w:cs="Arial"/>
              </w:rPr>
              <w:t>Type</w:t>
            </w:r>
          </w:p>
        </w:tc>
        <w:tc>
          <w:tcPr>
            <w:tcW w:w="1902" w:type="dxa"/>
          </w:tcPr>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hAnsi="Arial" w:cs="Arial"/>
              </w:rPr>
              <w:t>HIV Positive Class 1+</w:t>
            </w:r>
          </w:p>
        </w:tc>
        <w:tc>
          <w:tcPr>
            <w:tcW w:w="2250" w:type="dxa"/>
            <w:shd w:val="clear" w:color="auto" w:fill="CCFFFF"/>
          </w:tcPr>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hAnsi="Arial" w:cs="Arial"/>
              </w:rPr>
              <w:t>HIV Positive Class 2+</w:t>
            </w:r>
          </w:p>
        </w:tc>
        <w:tc>
          <w:tcPr>
            <w:tcW w:w="3060" w:type="dxa"/>
          </w:tcPr>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hAnsi="Arial" w:cs="Arial"/>
              </w:rPr>
              <w:t>Source of unknown HIV status †</w:t>
            </w:r>
          </w:p>
        </w:tc>
        <w:tc>
          <w:tcPr>
            <w:tcW w:w="3420" w:type="dxa"/>
            <w:shd w:val="clear" w:color="auto" w:fill="CCFFFF"/>
          </w:tcPr>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hAnsi="Arial" w:cs="Arial"/>
              </w:rPr>
              <w:t>Unknown source</w:t>
            </w:r>
          </w:p>
        </w:tc>
        <w:tc>
          <w:tcPr>
            <w:tcW w:w="1350" w:type="dxa"/>
          </w:tcPr>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hAnsi="Arial" w:cs="Arial"/>
              </w:rPr>
              <w:t xml:space="preserve">HIV negative </w:t>
            </w:r>
          </w:p>
        </w:tc>
      </w:tr>
      <w:tr w:rsidR="0071027C" w:rsidRPr="008F44CF" w:rsidTr="0071027C">
        <w:trPr>
          <w:trHeight w:val="1079"/>
        </w:trPr>
        <w:tc>
          <w:tcPr>
            <w:tcW w:w="1536" w:type="dxa"/>
            <w:shd w:val="clear" w:color="auto" w:fill="CCFFFF"/>
          </w:tcPr>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Small</w:t>
            </w:r>
          </w:p>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volume**</w:t>
            </w:r>
          </w:p>
        </w:tc>
        <w:tc>
          <w:tcPr>
            <w:tcW w:w="1902" w:type="dxa"/>
          </w:tcPr>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Consider</w:t>
            </w:r>
          </w:p>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basic 2-drug</w:t>
            </w:r>
          </w:p>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PEP++</w:t>
            </w:r>
          </w:p>
        </w:tc>
        <w:tc>
          <w:tcPr>
            <w:tcW w:w="2250" w:type="dxa"/>
            <w:shd w:val="clear" w:color="auto" w:fill="CCFFFF"/>
          </w:tcPr>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Recommend</w:t>
            </w:r>
          </w:p>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Basic 2-drug PEP</w:t>
            </w:r>
          </w:p>
        </w:tc>
        <w:tc>
          <w:tcPr>
            <w:tcW w:w="3060" w:type="dxa"/>
          </w:tcPr>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Generally, no PEP warranted however,</w:t>
            </w:r>
          </w:p>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consider basis 2- drug PEP** for source with</w:t>
            </w:r>
          </w:p>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HIV risk factors</w:t>
            </w:r>
          </w:p>
        </w:tc>
        <w:tc>
          <w:tcPr>
            <w:tcW w:w="3420" w:type="dxa"/>
            <w:shd w:val="clear" w:color="auto" w:fill="CCFFFF"/>
          </w:tcPr>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Generally, no PEP warranted; however, consider basic 2-drug PEP** in setting where exposure to HIV infected persons is</w:t>
            </w:r>
          </w:p>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likely</w:t>
            </w:r>
          </w:p>
        </w:tc>
        <w:tc>
          <w:tcPr>
            <w:tcW w:w="1350" w:type="dxa"/>
          </w:tcPr>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No PEP</w:t>
            </w:r>
          </w:p>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warranted</w:t>
            </w:r>
          </w:p>
        </w:tc>
      </w:tr>
      <w:tr w:rsidR="0071027C" w:rsidRPr="008F44CF" w:rsidTr="0071027C">
        <w:trPr>
          <w:trHeight w:val="917"/>
        </w:trPr>
        <w:tc>
          <w:tcPr>
            <w:tcW w:w="1536" w:type="dxa"/>
            <w:shd w:val="clear" w:color="auto" w:fill="CCFFFF"/>
          </w:tcPr>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Large</w:t>
            </w:r>
          </w:p>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volume§§</w:t>
            </w:r>
          </w:p>
        </w:tc>
        <w:tc>
          <w:tcPr>
            <w:tcW w:w="1902" w:type="dxa"/>
          </w:tcPr>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Recommend</w:t>
            </w:r>
          </w:p>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Basic 2-drug PEP</w:t>
            </w:r>
          </w:p>
        </w:tc>
        <w:tc>
          <w:tcPr>
            <w:tcW w:w="2250" w:type="dxa"/>
            <w:shd w:val="clear" w:color="auto" w:fill="CCFFFF"/>
          </w:tcPr>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Recommend</w:t>
            </w:r>
          </w:p>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expanded</w:t>
            </w:r>
          </w:p>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3-drug PEP</w:t>
            </w:r>
          </w:p>
        </w:tc>
        <w:tc>
          <w:tcPr>
            <w:tcW w:w="3060" w:type="dxa"/>
          </w:tcPr>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Generally, no PEP warranted; however, consider basic 2-drug PEP** for source with HIV risk factors++</w:t>
            </w:r>
          </w:p>
        </w:tc>
        <w:tc>
          <w:tcPr>
            <w:tcW w:w="3420" w:type="dxa"/>
            <w:shd w:val="clear" w:color="auto" w:fill="CCFFFF"/>
          </w:tcPr>
          <w:p w:rsidR="0071027C" w:rsidRPr="008F44CF" w:rsidRDefault="0071027C" w:rsidP="00AA771C">
            <w:pPr>
              <w:autoSpaceDE w:val="0"/>
              <w:autoSpaceDN w:val="0"/>
              <w:adjustRightInd w:val="0"/>
              <w:spacing w:beforeLines="120" w:before="288" w:afterLines="120" w:after="288" w:line="288" w:lineRule="auto"/>
              <w:rPr>
                <w:rFonts w:ascii="Arial" w:eastAsia="HelveticaNeueLTStd-Cn" w:hAnsi="Arial" w:cs="Arial"/>
              </w:rPr>
            </w:pPr>
            <w:r w:rsidRPr="008F44CF">
              <w:rPr>
                <w:rFonts w:ascii="Arial" w:eastAsia="HelveticaNeueLTStd-Cn" w:hAnsi="Arial" w:cs="Arial"/>
              </w:rPr>
              <w:t>Generally, no PEP warranted; however, consider basic 2- drug PEP** in setting where exposure to HIV-infected persons is likely</w:t>
            </w:r>
          </w:p>
        </w:tc>
        <w:tc>
          <w:tcPr>
            <w:tcW w:w="1350" w:type="dxa"/>
          </w:tcPr>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No PEP</w:t>
            </w:r>
          </w:p>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warranted</w:t>
            </w:r>
          </w:p>
        </w:tc>
      </w:tr>
    </w:tbl>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b/>
        </w:rPr>
      </w:pPr>
      <w:r w:rsidRPr="008F44CF">
        <w:rPr>
          <w:rFonts w:ascii="Arial" w:hAnsi="Arial" w:cs="Arial"/>
          <w:b/>
        </w:rPr>
        <w:t>Legend:</w:t>
      </w:r>
    </w:p>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 For skin exposures, follow-up is indicated only if there is evidence of compromised skin integrity (e.g. dermatitis, abrasion, or open wound).</w:t>
      </w:r>
    </w:p>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 HIV- Positive: Class 1 - asymptomatic HIV infection or known low viral load (e. g. &lt;1,500 RNA copies/mL). Class 2 - symptomatic HIV infection, AIDS, acute seroconversion, or known high viral load. If drug resistance is a concern, obtain expert consultation. Initiation of post-exposure prophylaxis (PEP) should not be delayed pending expert consultation, and, because expert consultation alone cannot substitute for face-to-face counselling, resources should be available to provide immediate evaluation and follow-up care for all exposures.</w:t>
      </w:r>
    </w:p>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Source of unknown HIV status (e.g. deceased source person with no samples available for HIV testing).</w:t>
      </w:r>
    </w:p>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 xml:space="preserve"> Unknown source (e.g. splash from inappropriately disposed blood)</w:t>
      </w:r>
    </w:p>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 Small volume (i.e. a few drops).</w:t>
      </w:r>
    </w:p>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The designation, “consider PEP,” indicates that PEP is optional and should be based on an individualized decision between the exposed person and the treating clinician. If PEP is offered and taken and the source is later determined to be HIV- negative, PEP should be discontinued.</w:t>
      </w:r>
    </w:p>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 xml:space="preserve"> Large volume (i.e. major blood splash)</w:t>
      </w:r>
    </w:p>
    <w:p w:rsidR="0071027C" w:rsidRPr="00C203F3" w:rsidRDefault="0071027C" w:rsidP="00AA771C">
      <w:pPr>
        <w:autoSpaceDE w:val="0"/>
        <w:autoSpaceDN w:val="0"/>
        <w:adjustRightInd w:val="0"/>
        <w:spacing w:beforeLines="120" w:before="288" w:afterLines="120" w:after="288" w:line="288" w:lineRule="auto"/>
        <w:jc w:val="both"/>
        <w:rPr>
          <w:rFonts w:ascii="Arial Narrow" w:hAnsi="Arial Narrow"/>
          <w:b/>
          <w:sz w:val="24"/>
          <w:szCs w:val="24"/>
        </w:rPr>
        <w:sectPr w:rsidR="0071027C" w:rsidRPr="00C203F3" w:rsidSect="0071027C">
          <w:pgSz w:w="15840" w:h="12240" w:orient="landscape"/>
          <w:pgMar w:top="1440" w:right="1440" w:bottom="1440" w:left="1440" w:header="720" w:footer="720" w:gutter="0"/>
          <w:cols w:space="720"/>
          <w:docGrid w:linePitch="360"/>
        </w:sectPr>
      </w:pPr>
    </w:p>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b/>
        </w:rPr>
      </w:pPr>
      <w:r w:rsidRPr="008F44CF">
        <w:rPr>
          <w:rFonts w:ascii="Arial" w:hAnsi="Arial" w:cs="Arial"/>
          <w:b/>
        </w:rPr>
        <w:t xml:space="preserve">Table 5:4 </w:t>
      </w:r>
      <w:r w:rsidRPr="008F44CF">
        <w:rPr>
          <w:rFonts w:ascii="Arial" w:eastAsia="HelveticaNeueLTStd-Cn" w:hAnsi="Arial" w:cs="Arial"/>
          <w:b/>
        </w:rPr>
        <w:t>ARV regimens according to level of risk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2"/>
        <w:gridCol w:w="2796"/>
        <w:gridCol w:w="3348"/>
      </w:tblGrid>
      <w:tr w:rsidR="0071027C" w:rsidRPr="008F44CF" w:rsidTr="0071027C">
        <w:tc>
          <w:tcPr>
            <w:tcW w:w="3072" w:type="dxa"/>
            <w:tcBorders>
              <w:right w:val="single" w:sz="4" w:space="0" w:color="FFFFFF" w:themeColor="background1"/>
            </w:tcBorders>
            <w:shd w:val="clear" w:color="auto" w:fill="000000" w:themeFill="text1"/>
          </w:tcPr>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b/>
                <w:color w:val="FFFFFF" w:themeColor="background1"/>
              </w:rPr>
            </w:pPr>
            <w:r w:rsidRPr="008F44CF">
              <w:rPr>
                <w:rFonts w:ascii="Arial" w:hAnsi="Arial" w:cs="Arial"/>
                <w:b/>
                <w:color w:val="FFFFFF" w:themeColor="background1"/>
              </w:rPr>
              <w:t>Risk category</w:t>
            </w:r>
          </w:p>
        </w:tc>
        <w:tc>
          <w:tcPr>
            <w:tcW w:w="2796" w:type="dxa"/>
            <w:tcBorders>
              <w:left w:val="single" w:sz="4" w:space="0" w:color="FFFFFF" w:themeColor="background1"/>
              <w:right w:val="single" w:sz="4" w:space="0" w:color="FFFFFF" w:themeColor="background1"/>
            </w:tcBorders>
            <w:shd w:val="clear" w:color="auto" w:fill="000000" w:themeFill="text1"/>
          </w:tcPr>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b/>
                <w:color w:val="FFFFFF" w:themeColor="background1"/>
              </w:rPr>
            </w:pPr>
            <w:r w:rsidRPr="008F44CF">
              <w:rPr>
                <w:rFonts w:ascii="Arial" w:hAnsi="Arial" w:cs="Arial"/>
                <w:b/>
                <w:color w:val="FFFFFF" w:themeColor="background1"/>
              </w:rPr>
              <w:t xml:space="preserve">ARV regimen </w:t>
            </w:r>
          </w:p>
        </w:tc>
        <w:tc>
          <w:tcPr>
            <w:tcW w:w="3348" w:type="dxa"/>
            <w:tcBorders>
              <w:left w:val="single" w:sz="4" w:space="0" w:color="FFFFFF" w:themeColor="background1"/>
            </w:tcBorders>
            <w:shd w:val="clear" w:color="auto" w:fill="000000" w:themeFill="text1"/>
          </w:tcPr>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b/>
                <w:color w:val="FFFFFF" w:themeColor="background1"/>
              </w:rPr>
            </w:pPr>
            <w:r w:rsidRPr="008F44CF">
              <w:rPr>
                <w:rFonts w:ascii="Arial" w:hAnsi="Arial" w:cs="Arial"/>
                <w:b/>
                <w:color w:val="FFFFFF" w:themeColor="background1"/>
              </w:rPr>
              <w:t xml:space="preserve"> Drug regime</w:t>
            </w:r>
          </w:p>
        </w:tc>
      </w:tr>
      <w:tr w:rsidR="0071027C" w:rsidRPr="008F44CF" w:rsidTr="0071027C">
        <w:tc>
          <w:tcPr>
            <w:tcW w:w="3072" w:type="dxa"/>
            <w:shd w:val="clear" w:color="auto" w:fill="CCFFFF"/>
          </w:tcPr>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rPr>
            </w:pPr>
            <w:r w:rsidRPr="008F44CF">
              <w:rPr>
                <w:rFonts w:ascii="Arial" w:eastAsia="HelveticaNeueLTStd-Cn" w:hAnsi="Arial" w:cs="Arial"/>
              </w:rPr>
              <w:t>Low risk</w:t>
            </w:r>
          </w:p>
        </w:tc>
        <w:tc>
          <w:tcPr>
            <w:tcW w:w="2796" w:type="dxa"/>
          </w:tcPr>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Dual therapy( two</w:t>
            </w:r>
          </w:p>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rPr>
            </w:pPr>
            <w:r w:rsidRPr="008F44CF">
              <w:rPr>
                <w:rFonts w:ascii="Arial" w:eastAsia="HelveticaNeueLTStd-Cn" w:hAnsi="Arial" w:cs="Arial"/>
              </w:rPr>
              <w:t>drugs)</w:t>
            </w:r>
          </w:p>
        </w:tc>
        <w:tc>
          <w:tcPr>
            <w:tcW w:w="3348" w:type="dxa"/>
            <w:shd w:val="clear" w:color="auto" w:fill="CCFFFF"/>
          </w:tcPr>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Zidovudine</w:t>
            </w:r>
          </w:p>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(ZDV)+Lamivudine</w:t>
            </w:r>
          </w:p>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rPr>
            </w:pPr>
            <w:r w:rsidRPr="008F44CF">
              <w:rPr>
                <w:rFonts w:ascii="Arial" w:eastAsia="HelveticaNeueLTStd-Cn" w:hAnsi="Arial" w:cs="Arial"/>
              </w:rPr>
              <w:t>(3TC)</w:t>
            </w:r>
          </w:p>
        </w:tc>
      </w:tr>
      <w:tr w:rsidR="0071027C" w:rsidRPr="008F44CF" w:rsidTr="0071027C">
        <w:tc>
          <w:tcPr>
            <w:tcW w:w="3072" w:type="dxa"/>
            <w:shd w:val="clear" w:color="auto" w:fill="CCFFFF"/>
          </w:tcPr>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rPr>
            </w:pPr>
            <w:r w:rsidRPr="008F44CF">
              <w:rPr>
                <w:rFonts w:ascii="Arial" w:eastAsia="HelveticaNeueLTStd-Cn" w:hAnsi="Arial" w:cs="Arial"/>
              </w:rPr>
              <w:t>High risk</w:t>
            </w:r>
          </w:p>
        </w:tc>
        <w:tc>
          <w:tcPr>
            <w:tcW w:w="2796" w:type="dxa"/>
          </w:tcPr>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Triple therapy (three</w:t>
            </w:r>
          </w:p>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rPr>
            </w:pPr>
            <w:r w:rsidRPr="008F44CF">
              <w:rPr>
                <w:rFonts w:ascii="Arial" w:eastAsia="HelveticaNeueLTStd-Cn" w:hAnsi="Arial" w:cs="Arial"/>
              </w:rPr>
              <w:t>drugs)</w:t>
            </w:r>
          </w:p>
        </w:tc>
        <w:tc>
          <w:tcPr>
            <w:tcW w:w="3348" w:type="dxa"/>
            <w:shd w:val="clear" w:color="auto" w:fill="CCFFFF"/>
          </w:tcPr>
          <w:p w:rsidR="0071027C" w:rsidRPr="008F44CF" w:rsidRDefault="0071027C" w:rsidP="00AA771C">
            <w:pPr>
              <w:autoSpaceDE w:val="0"/>
              <w:autoSpaceDN w:val="0"/>
              <w:adjustRightInd w:val="0"/>
              <w:spacing w:beforeLines="120" w:before="288" w:afterLines="120" w:after="288" w:line="288" w:lineRule="auto"/>
              <w:jc w:val="both"/>
              <w:rPr>
                <w:rFonts w:ascii="Arial" w:eastAsia="HelveticaNeueLTStd-Cn" w:hAnsi="Arial" w:cs="Arial"/>
              </w:rPr>
            </w:pPr>
            <w:r w:rsidRPr="008F44CF">
              <w:rPr>
                <w:rFonts w:ascii="Arial" w:eastAsia="HelveticaNeueLTStd-Cn" w:hAnsi="Arial" w:cs="Arial"/>
              </w:rPr>
              <w:t>ZDV+3TC+Efavirenz</w:t>
            </w:r>
          </w:p>
          <w:p w:rsidR="0071027C" w:rsidRPr="008F44CF" w:rsidRDefault="0071027C" w:rsidP="00AA771C">
            <w:pPr>
              <w:autoSpaceDE w:val="0"/>
              <w:autoSpaceDN w:val="0"/>
              <w:adjustRightInd w:val="0"/>
              <w:spacing w:beforeLines="120" w:before="288" w:afterLines="120" w:after="288" w:line="288" w:lineRule="auto"/>
              <w:jc w:val="both"/>
              <w:rPr>
                <w:rFonts w:ascii="Arial" w:hAnsi="Arial" w:cs="Arial"/>
              </w:rPr>
            </w:pPr>
            <w:r w:rsidRPr="008F44CF">
              <w:rPr>
                <w:rFonts w:ascii="Arial" w:eastAsia="HelveticaNeueLTStd-Cn" w:hAnsi="Arial" w:cs="Arial"/>
              </w:rPr>
              <w:t>(EFV), or Lopinavir/r</w:t>
            </w:r>
          </w:p>
        </w:tc>
      </w:tr>
    </w:tbl>
    <w:p w:rsidR="0071027C" w:rsidRDefault="0071027C" w:rsidP="00AA771C">
      <w:pPr>
        <w:autoSpaceDE w:val="0"/>
        <w:autoSpaceDN w:val="0"/>
        <w:adjustRightInd w:val="0"/>
        <w:spacing w:beforeLines="120" w:before="288" w:afterLines="120" w:after="288" w:line="288" w:lineRule="auto"/>
        <w:jc w:val="both"/>
        <w:rPr>
          <w:rFonts w:ascii="Arial Narrow" w:hAnsi="Arial Narrow"/>
          <w:sz w:val="24"/>
          <w:szCs w:val="24"/>
        </w:rPr>
      </w:pPr>
    </w:p>
    <w:p w:rsidR="0071027C" w:rsidRPr="00FE4245" w:rsidRDefault="0071027C" w:rsidP="00274941">
      <w:pPr>
        <w:pStyle w:val="ListParagraph"/>
        <w:numPr>
          <w:ilvl w:val="0"/>
          <w:numId w:val="35"/>
        </w:numPr>
        <w:autoSpaceDE w:val="0"/>
        <w:autoSpaceDN w:val="0"/>
        <w:adjustRightInd w:val="0"/>
        <w:spacing w:before="120" w:after="120"/>
        <w:jc w:val="both"/>
        <w:rPr>
          <w:rFonts w:ascii="Arial" w:hAnsi="Arial" w:cs="Arial"/>
          <w:b/>
          <w:iCs/>
          <w:sz w:val="22"/>
          <w:szCs w:val="22"/>
        </w:rPr>
      </w:pPr>
      <w:r w:rsidRPr="00FE4245">
        <w:rPr>
          <w:rFonts w:ascii="Arial" w:hAnsi="Arial" w:cs="Arial"/>
          <w:b/>
          <w:iCs/>
          <w:sz w:val="22"/>
          <w:szCs w:val="22"/>
        </w:rPr>
        <w:t>Timing of Post Exposure Prophylaxis (PEP)</w:t>
      </w:r>
    </w:p>
    <w:p w:rsidR="0071027C" w:rsidRPr="00FE4245" w:rsidRDefault="0071027C" w:rsidP="0071027C">
      <w:pPr>
        <w:autoSpaceDE w:val="0"/>
        <w:autoSpaceDN w:val="0"/>
        <w:adjustRightInd w:val="0"/>
        <w:spacing w:before="120" w:after="120" w:line="240" w:lineRule="auto"/>
        <w:jc w:val="both"/>
        <w:rPr>
          <w:rFonts w:ascii="Arial" w:hAnsi="Arial" w:cs="Arial"/>
        </w:rPr>
      </w:pPr>
      <w:r w:rsidRPr="00FE4245">
        <w:rPr>
          <w:rFonts w:ascii="Arial" w:hAnsi="Arial" w:cs="Arial"/>
        </w:rPr>
        <w:t>PEP should be initiated as soon as possible preferably within 2 hours after exposure. Studies suggest that PEP may be substantially less effective if started more than 24-36 hours post-exposure and not effective after 72 hours.</w:t>
      </w:r>
    </w:p>
    <w:p w:rsidR="0071027C" w:rsidRPr="00FE4245" w:rsidRDefault="0071027C" w:rsidP="00274941">
      <w:pPr>
        <w:pStyle w:val="ListParagraph"/>
        <w:numPr>
          <w:ilvl w:val="0"/>
          <w:numId w:val="35"/>
        </w:numPr>
        <w:autoSpaceDE w:val="0"/>
        <w:autoSpaceDN w:val="0"/>
        <w:adjustRightInd w:val="0"/>
        <w:spacing w:before="120" w:after="120"/>
        <w:jc w:val="both"/>
        <w:rPr>
          <w:rFonts w:ascii="Arial" w:hAnsi="Arial" w:cs="Arial"/>
          <w:b/>
          <w:iCs/>
          <w:sz w:val="22"/>
          <w:szCs w:val="22"/>
        </w:rPr>
      </w:pPr>
      <w:r w:rsidRPr="00FE4245">
        <w:rPr>
          <w:rFonts w:ascii="Arial" w:hAnsi="Arial" w:cs="Arial"/>
          <w:b/>
          <w:iCs/>
          <w:sz w:val="22"/>
          <w:szCs w:val="22"/>
        </w:rPr>
        <w:t>Follow-up of HIV Exposed Persons</w:t>
      </w:r>
    </w:p>
    <w:p w:rsidR="0071027C" w:rsidRPr="00FE4245" w:rsidRDefault="0071027C" w:rsidP="0071027C">
      <w:pPr>
        <w:autoSpaceDE w:val="0"/>
        <w:autoSpaceDN w:val="0"/>
        <w:adjustRightInd w:val="0"/>
        <w:spacing w:before="120" w:after="120" w:line="240" w:lineRule="auto"/>
        <w:jc w:val="both"/>
        <w:rPr>
          <w:rFonts w:ascii="Arial" w:hAnsi="Arial" w:cs="Arial"/>
        </w:rPr>
      </w:pPr>
      <w:r w:rsidRPr="00FE4245">
        <w:rPr>
          <w:rFonts w:ascii="Arial" w:hAnsi="Arial" w:cs="Arial"/>
        </w:rPr>
        <w:t>Follow-up is based on clinical examination and laboratory testing to determine the sero-conversion and adverse effects of the ARV drugs.</w:t>
      </w:r>
    </w:p>
    <w:p w:rsidR="0071027C" w:rsidRPr="00FE4245" w:rsidRDefault="0071027C" w:rsidP="0071027C">
      <w:pPr>
        <w:autoSpaceDE w:val="0"/>
        <w:autoSpaceDN w:val="0"/>
        <w:adjustRightInd w:val="0"/>
        <w:spacing w:before="120" w:after="120" w:line="240" w:lineRule="auto"/>
        <w:jc w:val="both"/>
        <w:rPr>
          <w:rFonts w:ascii="Arial" w:hAnsi="Arial" w:cs="Arial"/>
        </w:rPr>
      </w:pPr>
      <w:r w:rsidRPr="00FE4245">
        <w:rPr>
          <w:rFonts w:ascii="Arial" w:hAnsi="Arial" w:cs="Arial"/>
        </w:rPr>
        <w:t>HIV antibody tests should be performed for at least 6 months post-exposure (i.e. at 6 weeks, 12 weeks and 6 months). HIV testing should also be performed for any exposed person who has an illness that is compatible with an acute retroviral syndrome, irrespective of the interval since exposure.</w:t>
      </w:r>
    </w:p>
    <w:p w:rsidR="0071027C" w:rsidRPr="00FE4245" w:rsidRDefault="0071027C" w:rsidP="0071027C">
      <w:pPr>
        <w:autoSpaceDE w:val="0"/>
        <w:autoSpaceDN w:val="0"/>
        <w:adjustRightInd w:val="0"/>
        <w:spacing w:before="120" w:after="120" w:line="240" w:lineRule="auto"/>
        <w:jc w:val="both"/>
        <w:rPr>
          <w:rFonts w:ascii="Arial" w:hAnsi="Arial" w:cs="Arial"/>
        </w:rPr>
      </w:pPr>
      <w:r w:rsidRPr="00FE4245">
        <w:rPr>
          <w:rFonts w:ascii="Arial" w:hAnsi="Arial" w:cs="Arial"/>
        </w:rPr>
        <w:t>If PEP is administered, the exposed person should be monitored for drug toxicity by testing at baseline and 2 weeks after starting PEP. Minimally, it should include a full blood picture (FBP), renal function test (RFT) and hepatic function tests (LFTs).</w:t>
      </w:r>
    </w:p>
    <w:p w:rsidR="0071027C" w:rsidRPr="00FE4245" w:rsidRDefault="0071027C" w:rsidP="0071027C">
      <w:pPr>
        <w:autoSpaceDE w:val="0"/>
        <w:autoSpaceDN w:val="0"/>
        <w:adjustRightInd w:val="0"/>
        <w:spacing w:before="120" w:after="120" w:line="240" w:lineRule="auto"/>
        <w:jc w:val="both"/>
        <w:rPr>
          <w:rFonts w:ascii="Arial" w:hAnsi="Arial" w:cs="Arial"/>
        </w:rPr>
      </w:pPr>
      <w:r w:rsidRPr="00FE4245">
        <w:rPr>
          <w:rFonts w:ascii="Arial" w:hAnsi="Arial" w:cs="Arial"/>
        </w:rPr>
        <w:t>Exposed persons should be re-evaluated within 72 hours, after additional information about the source including serologic status, viral load, current treatment, any resistance test results or information about factors that would modify recommendations is obtained.</w:t>
      </w:r>
    </w:p>
    <w:p w:rsidR="0071027C" w:rsidRPr="00FE4245" w:rsidRDefault="0071027C" w:rsidP="0071027C">
      <w:pPr>
        <w:autoSpaceDE w:val="0"/>
        <w:autoSpaceDN w:val="0"/>
        <w:adjustRightInd w:val="0"/>
        <w:spacing w:before="120" w:after="120" w:line="240" w:lineRule="auto"/>
        <w:jc w:val="both"/>
        <w:rPr>
          <w:rFonts w:ascii="Arial" w:hAnsi="Arial" w:cs="Arial"/>
        </w:rPr>
      </w:pPr>
      <w:r w:rsidRPr="00FE4245">
        <w:rPr>
          <w:rFonts w:ascii="Arial" w:hAnsi="Arial" w:cs="Arial"/>
        </w:rPr>
        <w:t>Prophylaxis should be continued for four weeks if tolerated. If ARV prophylaxis fails and the exposed person becomes HIV infected, he/she should be referred to a CTC for proper HIV care and management.</w:t>
      </w:r>
    </w:p>
    <w:p w:rsidR="0071027C" w:rsidRPr="00841997" w:rsidRDefault="0071027C" w:rsidP="0071027C">
      <w:pPr>
        <w:pStyle w:val="Heading4"/>
      </w:pPr>
      <w:r w:rsidRPr="00841997">
        <w:t>5.2.5.2 HIV PEP in Sexual Exposure</w:t>
      </w:r>
    </w:p>
    <w:p w:rsidR="0071027C" w:rsidRPr="00FE4245" w:rsidRDefault="0071027C" w:rsidP="0071027C">
      <w:pPr>
        <w:autoSpaceDE w:val="0"/>
        <w:autoSpaceDN w:val="0"/>
        <w:adjustRightInd w:val="0"/>
        <w:spacing w:before="120" w:after="120" w:line="240" w:lineRule="auto"/>
        <w:jc w:val="both"/>
        <w:rPr>
          <w:rFonts w:ascii="Arial" w:hAnsi="Arial" w:cs="Arial"/>
        </w:rPr>
      </w:pPr>
      <w:r w:rsidRPr="00FE4245">
        <w:rPr>
          <w:rFonts w:ascii="Arial" w:hAnsi="Arial" w:cs="Arial"/>
        </w:rPr>
        <w:t>Sexual exposure comprises an act of unprotected voluntary or forced sexual intercourse (rape/sexual assault), as well as in the case of slipped or broken condom during sex with discordant partner. The consequences of sexual exposure include a potential risk of acquiring sexually transmitted diseases including HIV/HBV and unwanted/unplanned pregnancy.</w:t>
      </w:r>
    </w:p>
    <w:p w:rsidR="0071027C" w:rsidRPr="00FE4245" w:rsidRDefault="0071027C" w:rsidP="00274941">
      <w:pPr>
        <w:pStyle w:val="ListParagraph"/>
        <w:numPr>
          <w:ilvl w:val="0"/>
          <w:numId w:val="36"/>
        </w:numPr>
        <w:autoSpaceDE w:val="0"/>
        <w:autoSpaceDN w:val="0"/>
        <w:adjustRightInd w:val="0"/>
        <w:spacing w:before="120" w:after="120"/>
        <w:jc w:val="both"/>
        <w:rPr>
          <w:rFonts w:ascii="Arial" w:hAnsi="Arial" w:cs="Arial"/>
          <w:sz w:val="22"/>
          <w:szCs w:val="22"/>
        </w:rPr>
      </w:pPr>
      <w:r w:rsidRPr="00FE4245">
        <w:rPr>
          <w:rFonts w:ascii="Arial" w:hAnsi="Arial" w:cs="Arial"/>
          <w:b/>
          <w:iCs/>
          <w:sz w:val="22"/>
          <w:szCs w:val="22"/>
        </w:rPr>
        <w:t>Appropriate Management of Exposed Persons</w:t>
      </w:r>
    </w:p>
    <w:p w:rsidR="0071027C" w:rsidRPr="00FE4245" w:rsidRDefault="0071027C" w:rsidP="0071027C">
      <w:pPr>
        <w:autoSpaceDE w:val="0"/>
        <w:autoSpaceDN w:val="0"/>
        <w:adjustRightInd w:val="0"/>
        <w:spacing w:before="120" w:after="120" w:line="240" w:lineRule="auto"/>
        <w:jc w:val="both"/>
        <w:rPr>
          <w:rFonts w:ascii="Arial" w:hAnsi="Arial" w:cs="Arial"/>
        </w:rPr>
      </w:pPr>
      <w:r w:rsidRPr="00FE4245">
        <w:rPr>
          <w:rFonts w:ascii="Arial" w:hAnsi="Arial" w:cs="Arial"/>
        </w:rPr>
        <w:t>Informed consent (whenever possible) should be obtained before examination and collection of any forensic evidence that might be needed in subsequent investigations. Younger children need to be managed at specialized sites that have the expertise in dealing with traumatized children and the prescription of ART.</w:t>
      </w:r>
    </w:p>
    <w:p w:rsidR="0071027C" w:rsidRPr="00FE4245" w:rsidRDefault="0071027C" w:rsidP="0071027C">
      <w:pPr>
        <w:autoSpaceDE w:val="0"/>
        <w:autoSpaceDN w:val="0"/>
        <w:adjustRightInd w:val="0"/>
        <w:spacing w:before="120" w:after="120" w:line="240" w:lineRule="auto"/>
        <w:jc w:val="both"/>
        <w:rPr>
          <w:rFonts w:ascii="Arial" w:hAnsi="Arial" w:cs="Arial"/>
        </w:rPr>
      </w:pPr>
      <w:r w:rsidRPr="00FE4245">
        <w:rPr>
          <w:rFonts w:ascii="Arial" w:hAnsi="Arial" w:cs="Arial"/>
        </w:rPr>
        <w:t>Healthcare providers are responsible to provide appropriate comprehensive care for rape survivors, including</w:t>
      </w:r>
    </w:p>
    <w:p w:rsidR="0071027C" w:rsidRPr="00FE4245" w:rsidRDefault="0071027C" w:rsidP="00274941">
      <w:pPr>
        <w:widowControl/>
        <w:numPr>
          <w:ilvl w:val="0"/>
          <w:numId w:val="29"/>
        </w:numPr>
        <w:autoSpaceDE w:val="0"/>
        <w:autoSpaceDN w:val="0"/>
        <w:adjustRightInd w:val="0"/>
        <w:spacing w:before="120" w:after="120" w:line="240" w:lineRule="auto"/>
        <w:jc w:val="both"/>
        <w:rPr>
          <w:rFonts w:ascii="Arial" w:hAnsi="Arial" w:cs="Arial"/>
        </w:rPr>
      </w:pPr>
      <w:r w:rsidRPr="00FE4245">
        <w:rPr>
          <w:rFonts w:ascii="Arial" w:hAnsi="Arial" w:cs="Arial"/>
        </w:rPr>
        <w:t>Management of life threatening conditions and sustained injuries,</w:t>
      </w:r>
    </w:p>
    <w:p w:rsidR="0071027C" w:rsidRPr="00FE4245" w:rsidRDefault="0071027C" w:rsidP="00274941">
      <w:pPr>
        <w:widowControl/>
        <w:numPr>
          <w:ilvl w:val="0"/>
          <w:numId w:val="29"/>
        </w:numPr>
        <w:autoSpaceDE w:val="0"/>
        <w:autoSpaceDN w:val="0"/>
        <w:adjustRightInd w:val="0"/>
        <w:spacing w:before="120" w:after="120" w:line="240" w:lineRule="auto"/>
        <w:jc w:val="both"/>
        <w:rPr>
          <w:rFonts w:ascii="Arial" w:hAnsi="Arial" w:cs="Arial"/>
        </w:rPr>
      </w:pPr>
      <w:r w:rsidRPr="00FE4245">
        <w:rPr>
          <w:rFonts w:ascii="Arial" w:hAnsi="Arial" w:cs="Arial"/>
        </w:rPr>
        <w:t>Immediate detailed history taking, precise documentation of the victim’s details an circumstances of the assault as well as confidential reporting to appropriate institutions,</w:t>
      </w:r>
    </w:p>
    <w:p w:rsidR="0071027C" w:rsidRPr="00FE4245" w:rsidRDefault="0071027C" w:rsidP="00274941">
      <w:pPr>
        <w:widowControl/>
        <w:numPr>
          <w:ilvl w:val="0"/>
          <w:numId w:val="29"/>
        </w:numPr>
        <w:autoSpaceDE w:val="0"/>
        <w:autoSpaceDN w:val="0"/>
        <w:adjustRightInd w:val="0"/>
        <w:spacing w:before="120" w:after="120" w:line="240" w:lineRule="auto"/>
        <w:jc w:val="both"/>
        <w:rPr>
          <w:rFonts w:ascii="Arial" w:hAnsi="Arial" w:cs="Arial"/>
        </w:rPr>
      </w:pPr>
      <w:r w:rsidRPr="00FE4245">
        <w:rPr>
          <w:rFonts w:ascii="Arial" w:hAnsi="Arial" w:cs="Arial"/>
        </w:rPr>
        <w:t>Thorough physical and genital examination as well as collection of specimen (blood/saliva/hair/semen/high vaginal swab/dry and wet mount preparations, etc.) for laboratory investigations for STIs and forensic evidence, as soon as possible (within 24 hours) after the rape incident,</w:t>
      </w:r>
    </w:p>
    <w:p w:rsidR="0071027C" w:rsidRPr="00FE4245" w:rsidRDefault="0071027C" w:rsidP="00274941">
      <w:pPr>
        <w:widowControl/>
        <w:numPr>
          <w:ilvl w:val="0"/>
          <w:numId w:val="29"/>
        </w:numPr>
        <w:autoSpaceDE w:val="0"/>
        <w:autoSpaceDN w:val="0"/>
        <w:adjustRightInd w:val="0"/>
        <w:spacing w:before="120" w:after="120" w:line="240" w:lineRule="auto"/>
        <w:jc w:val="both"/>
        <w:rPr>
          <w:rFonts w:ascii="Arial" w:hAnsi="Arial" w:cs="Arial"/>
        </w:rPr>
      </w:pPr>
      <w:r w:rsidRPr="00FE4245">
        <w:rPr>
          <w:rFonts w:ascii="Arial" w:hAnsi="Arial" w:cs="Arial"/>
        </w:rPr>
        <w:t>Evaluation and prophylaxis for HIV, HBV, STIs and pregnancy when indicated, i.e. PEP using antiretroviral therapy, presumptive treatment of STIs and emergency contraception,</w:t>
      </w:r>
    </w:p>
    <w:p w:rsidR="0071027C" w:rsidRPr="00FE4245" w:rsidRDefault="0071027C" w:rsidP="00274941">
      <w:pPr>
        <w:widowControl/>
        <w:numPr>
          <w:ilvl w:val="0"/>
          <w:numId w:val="29"/>
        </w:numPr>
        <w:autoSpaceDE w:val="0"/>
        <w:autoSpaceDN w:val="0"/>
        <w:adjustRightInd w:val="0"/>
        <w:spacing w:before="120" w:after="120" w:line="240" w:lineRule="auto"/>
        <w:jc w:val="both"/>
        <w:rPr>
          <w:rFonts w:ascii="Arial" w:hAnsi="Arial" w:cs="Arial"/>
        </w:rPr>
      </w:pPr>
      <w:r w:rsidRPr="00FE4245">
        <w:rPr>
          <w:rFonts w:ascii="Arial" w:hAnsi="Arial" w:cs="Arial"/>
        </w:rPr>
        <w:t>Counselling, crisis prevention and provision of on-going psychosocial support to rape survivors, so as to reduce/minimize immediate rape trauma disorder and long-term post-traumatic stress disorder,</w:t>
      </w:r>
    </w:p>
    <w:p w:rsidR="0071027C" w:rsidRPr="00FE4245" w:rsidRDefault="0071027C" w:rsidP="00274941">
      <w:pPr>
        <w:widowControl/>
        <w:numPr>
          <w:ilvl w:val="0"/>
          <w:numId w:val="29"/>
        </w:numPr>
        <w:autoSpaceDE w:val="0"/>
        <w:autoSpaceDN w:val="0"/>
        <w:adjustRightInd w:val="0"/>
        <w:spacing w:before="120" w:after="120" w:line="240" w:lineRule="auto"/>
        <w:jc w:val="both"/>
        <w:rPr>
          <w:rFonts w:ascii="Arial" w:hAnsi="Arial" w:cs="Arial"/>
        </w:rPr>
      </w:pPr>
      <w:r w:rsidRPr="00FE4245">
        <w:rPr>
          <w:rFonts w:ascii="Arial" w:hAnsi="Arial" w:cs="Arial"/>
        </w:rPr>
        <w:t>Provision of mental health care,</w:t>
      </w:r>
    </w:p>
    <w:p w:rsidR="0071027C" w:rsidRPr="00FE4245" w:rsidRDefault="0071027C" w:rsidP="00274941">
      <w:pPr>
        <w:widowControl/>
        <w:numPr>
          <w:ilvl w:val="0"/>
          <w:numId w:val="29"/>
        </w:numPr>
        <w:autoSpaceDE w:val="0"/>
        <w:autoSpaceDN w:val="0"/>
        <w:adjustRightInd w:val="0"/>
        <w:spacing w:before="120" w:after="120" w:line="240" w:lineRule="auto"/>
        <w:jc w:val="both"/>
        <w:rPr>
          <w:rFonts w:ascii="Arial" w:hAnsi="Arial" w:cs="Arial"/>
        </w:rPr>
      </w:pPr>
      <w:r w:rsidRPr="00FE4245">
        <w:rPr>
          <w:rFonts w:ascii="Arial" w:hAnsi="Arial" w:cs="Arial"/>
        </w:rPr>
        <w:t>Follow-up care to monitor other possible infections and provision of psychological support, regardless of whether PEP prophylaxis has been started or not,</w:t>
      </w:r>
    </w:p>
    <w:p w:rsidR="0071027C" w:rsidRDefault="0071027C" w:rsidP="00274941">
      <w:pPr>
        <w:widowControl/>
        <w:numPr>
          <w:ilvl w:val="0"/>
          <w:numId w:val="29"/>
        </w:numPr>
        <w:autoSpaceDE w:val="0"/>
        <w:autoSpaceDN w:val="0"/>
        <w:adjustRightInd w:val="0"/>
        <w:spacing w:before="120" w:after="120" w:line="240" w:lineRule="auto"/>
        <w:jc w:val="both"/>
        <w:rPr>
          <w:rFonts w:ascii="Arial" w:hAnsi="Arial" w:cs="Arial"/>
        </w:rPr>
      </w:pPr>
      <w:r w:rsidRPr="00FE4245">
        <w:rPr>
          <w:rFonts w:ascii="Arial" w:hAnsi="Arial" w:cs="Arial"/>
        </w:rPr>
        <w:t>Referral of the survivor to appropriate organs (police/legal services), according to local laws and regulations.</w:t>
      </w:r>
    </w:p>
    <w:p w:rsidR="0071027C" w:rsidRPr="00FE4245" w:rsidRDefault="0071027C" w:rsidP="0071027C">
      <w:pPr>
        <w:widowControl/>
        <w:autoSpaceDE w:val="0"/>
        <w:autoSpaceDN w:val="0"/>
        <w:adjustRightInd w:val="0"/>
        <w:spacing w:before="120" w:after="120" w:line="240" w:lineRule="auto"/>
        <w:ind w:left="360"/>
        <w:jc w:val="both"/>
        <w:rPr>
          <w:rFonts w:ascii="Arial" w:hAnsi="Arial" w:cs="Arial"/>
        </w:rPr>
      </w:pPr>
    </w:p>
    <w:p w:rsidR="0071027C" w:rsidRPr="00FE4245" w:rsidRDefault="0071027C" w:rsidP="00274941">
      <w:pPr>
        <w:pStyle w:val="ListParagraph"/>
        <w:numPr>
          <w:ilvl w:val="0"/>
          <w:numId w:val="36"/>
        </w:numPr>
        <w:autoSpaceDE w:val="0"/>
        <w:autoSpaceDN w:val="0"/>
        <w:adjustRightInd w:val="0"/>
        <w:spacing w:before="120" w:after="120"/>
        <w:jc w:val="both"/>
        <w:rPr>
          <w:rFonts w:ascii="Arial" w:hAnsi="Arial" w:cs="Arial"/>
          <w:b/>
          <w:iCs/>
          <w:sz w:val="22"/>
          <w:szCs w:val="22"/>
        </w:rPr>
      </w:pPr>
      <w:r w:rsidRPr="00FE4245">
        <w:rPr>
          <w:rFonts w:ascii="Arial" w:hAnsi="Arial" w:cs="Arial"/>
          <w:b/>
          <w:iCs/>
          <w:sz w:val="22"/>
          <w:szCs w:val="22"/>
        </w:rPr>
        <w:t>Risk of HIV Transmission after Sexual Exposure</w:t>
      </w:r>
    </w:p>
    <w:p w:rsidR="0071027C" w:rsidRPr="00FE4245" w:rsidRDefault="0071027C" w:rsidP="0071027C">
      <w:pPr>
        <w:autoSpaceDE w:val="0"/>
        <w:autoSpaceDN w:val="0"/>
        <w:adjustRightInd w:val="0"/>
        <w:spacing w:before="120" w:after="120" w:line="240" w:lineRule="auto"/>
        <w:jc w:val="both"/>
        <w:rPr>
          <w:rFonts w:ascii="Arial" w:hAnsi="Arial" w:cs="Arial"/>
        </w:rPr>
      </w:pPr>
      <w:r w:rsidRPr="00FE4245">
        <w:rPr>
          <w:rFonts w:ascii="Arial" w:hAnsi="Arial" w:cs="Arial"/>
        </w:rPr>
        <w:t>Risk of transmission of HIV varies with type of sexual exposure as shown in the table below:</w:t>
      </w:r>
    </w:p>
    <w:p w:rsidR="0071027C" w:rsidRPr="00FE4245" w:rsidRDefault="0071027C" w:rsidP="00AA771C">
      <w:pPr>
        <w:autoSpaceDE w:val="0"/>
        <w:autoSpaceDN w:val="0"/>
        <w:adjustRightInd w:val="0"/>
        <w:spacing w:beforeLines="120" w:before="288" w:afterLines="120" w:after="288" w:line="288" w:lineRule="auto"/>
        <w:jc w:val="both"/>
        <w:rPr>
          <w:rFonts w:ascii="Arial" w:eastAsia="HelveticaNeueLTStd-Cn" w:hAnsi="Arial" w:cs="Arial"/>
          <w:b/>
        </w:rPr>
      </w:pPr>
      <w:r w:rsidRPr="00FE4245">
        <w:rPr>
          <w:rFonts w:ascii="Arial" w:hAnsi="Arial" w:cs="Arial"/>
          <w:b/>
        </w:rPr>
        <w:t xml:space="preserve">Table 5:5 </w:t>
      </w:r>
      <w:r w:rsidRPr="00FE4245">
        <w:rPr>
          <w:rFonts w:ascii="Arial" w:eastAsia="HelveticaNeueLTStd-Cn" w:hAnsi="Arial" w:cs="Arial"/>
          <w:b/>
        </w:rPr>
        <w:t>Risk of HIV Transmission after Sexual Exposure</w:t>
      </w:r>
    </w:p>
    <w:tbl>
      <w:tblPr>
        <w:tblW w:w="0" w:type="auto"/>
        <w:jc w:val="center"/>
        <w:tblInd w:w="-2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4"/>
        <w:gridCol w:w="3420"/>
      </w:tblGrid>
      <w:tr w:rsidR="0071027C" w:rsidRPr="00FE4245" w:rsidTr="0071027C">
        <w:trPr>
          <w:jc w:val="center"/>
        </w:trPr>
        <w:tc>
          <w:tcPr>
            <w:tcW w:w="5524" w:type="dxa"/>
            <w:tcBorders>
              <w:right w:val="single" w:sz="4" w:space="0" w:color="FFFFFF" w:themeColor="background1"/>
            </w:tcBorders>
            <w:shd w:val="clear" w:color="auto" w:fill="000000" w:themeFill="text1"/>
          </w:tcPr>
          <w:p w:rsidR="0071027C" w:rsidRPr="00FE4245" w:rsidRDefault="0071027C" w:rsidP="00AA771C">
            <w:pPr>
              <w:autoSpaceDE w:val="0"/>
              <w:autoSpaceDN w:val="0"/>
              <w:adjustRightInd w:val="0"/>
              <w:spacing w:beforeLines="120" w:before="288" w:afterLines="120" w:after="288" w:line="288" w:lineRule="auto"/>
              <w:rPr>
                <w:rFonts w:ascii="Arial" w:hAnsi="Arial" w:cs="Arial"/>
                <w:b/>
                <w:color w:val="FFFFFF" w:themeColor="background1"/>
              </w:rPr>
            </w:pPr>
            <w:r w:rsidRPr="00FE4245">
              <w:rPr>
                <w:rFonts w:ascii="Arial" w:hAnsi="Arial" w:cs="Arial"/>
                <w:b/>
                <w:color w:val="FFFFFF" w:themeColor="background1"/>
              </w:rPr>
              <w:t>Types of exposure (from an HIV positive source)</w:t>
            </w:r>
          </w:p>
        </w:tc>
        <w:tc>
          <w:tcPr>
            <w:tcW w:w="3420" w:type="dxa"/>
            <w:tcBorders>
              <w:left w:val="single" w:sz="4" w:space="0" w:color="FFFFFF" w:themeColor="background1"/>
            </w:tcBorders>
            <w:shd w:val="clear" w:color="auto" w:fill="000000" w:themeFill="text1"/>
          </w:tcPr>
          <w:p w:rsidR="0071027C" w:rsidRPr="00FE4245" w:rsidRDefault="0071027C" w:rsidP="00AA771C">
            <w:pPr>
              <w:autoSpaceDE w:val="0"/>
              <w:autoSpaceDN w:val="0"/>
              <w:adjustRightInd w:val="0"/>
              <w:spacing w:beforeLines="120" w:before="288" w:afterLines="120" w:after="288" w:line="288" w:lineRule="auto"/>
              <w:rPr>
                <w:rFonts w:ascii="Arial" w:hAnsi="Arial" w:cs="Arial"/>
                <w:b/>
                <w:color w:val="FFFFFF" w:themeColor="background1"/>
              </w:rPr>
            </w:pPr>
            <w:r w:rsidRPr="00FE4245">
              <w:rPr>
                <w:rFonts w:ascii="Arial" w:hAnsi="Arial" w:cs="Arial"/>
                <w:b/>
                <w:color w:val="FFFFFF" w:themeColor="background1"/>
              </w:rPr>
              <w:t>Risk of infection per exposure</w:t>
            </w:r>
          </w:p>
        </w:tc>
      </w:tr>
      <w:tr w:rsidR="0071027C" w:rsidRPr="00FE4245" w:rsidTr="0071027C">
        <w:trPr>
          <w:jc w:val="center"/>
        </w:trPr>
        <w:tc>
          <w:tcPr>
            <w:tcW w:w="5524" w:type="dxa"/>
            <w:shd w:val="clear" w:color="auto" w:fill="CCFFFF"/>
          </w:tcPr>
          <w:p w:rsidR="0071027C" w:rsidRPr="00FE4245" w:rsidRDefault="0071027C" w:rsidP="00AA771C">
            <w:pPr>
              <w:autoSpaceDE w:val="0"/>
              <w:autoSpaceDN w:val="0"/>
              <w:adjustRightInd w:val="0"/>
              <w:spacing w:beforeLines="120" w:before="288" w:afterLines="120" w:after="288" w:line="288" w:lineRule="auto"/>
              <w:jc w:val="both"/>
              <w:rPr>
                <w:rFonts w:ascii="Arial" w:hAnsi="Arial" w:cs="Arial"/>
              </w:rPr>
            </w:pPr>
            <w:r w:rsidRPr="00FE4245">
              <w:rPr>
                <w:rFonts w:ascii="Arial" w:eastAsia="HelveticaNeueLTStd-Cn" w:hAnsi="Arial" w:cs="Arial"/>
              </w:rPr>
              <w:t>Receptive oral sex</w:t>
            </w:r>
          </w:p>
        </w:tc>
        <w:tc>
          <w:tcPr>
            <w:tcW w:w="3420" w:type="dxa"/>
            <w:shd w:val="clear" w:color="auto" w:fill="CCFFFF"/>
          </w:tcPr>
          <w:p w:rsidR="0071027C" w:rsidRPr="00FE4245" w:rsidRDefault="0071027C" w:rsidP="00AA771C">
            <w:pPr>
              <w:autoSpaceDE w:val="0"/>
              <w:autoSpaceDN w:val="0"/>
              <w:adjustRightInd w:val="0"/>
              <w:spacing w:beforeLines="120" w:before="288" w:afterLines="120" w:after="288" w:line="288" w:lineRule="auto"/>
              <w:jc w:val="both"/>
              <w:rPr>
                <w:rFonts w:ascii="Arial" w:hAnsi="Arial" w:cs="Arial"/>
              </w:rPr>
            </w:pPr>
            <w:r w:rsidRPr="00FE4245">
              <w:rPr>
                <w:rFonts w:ascii="Arial" w:eastAsia="HelveticaNeueLTStd-Cn" w:hAnsi="Arial" w:cs="Arial"/>
              </w:rPr>
              <w:t>0-0.04%</w:t>
            </w:r>
          </w:p>
        </w:tc>
      </w:tr>
      <w:tr w:rsidR="0071027C" w:rsidRPr="00FE4245" w:rsidTr="0071027C">
        <w:trPr>
          <w:jc w:val="center"/>
        </w:trPr>
        <w:tc>
          <w:tcPr>
            <w:tcW w:w="5524" w:type="dxa"/>
            <w:shd w:val="clear" w:color="auto" w:fill="CCFFFF"/>
          </w:tcPr>
          <w:p w:rsidR="0071027C" w:rsidRPr="00FE4245" w:rsidRDefault="0071027C" w:rsidP="00AA771C">
            <w:pPr>
              <w:autoSpaceDE w:val="0"/>
              <w:autoSpaceDN w:val="0"/>
              <w:adjustRightInd w:val="0"/>
              <w:spacing w:beforeLines="120" w:before="288" w:afterLines="120" w:after="288" w:line="288" w:lineRule="auto"/>
              <w:jc w:val="both"/>
              <w:rPr>
                <w:rFonts w:ascii="Arial" w:hAnsi="Arial" w:cs="Arial"/>
              </w:rPr>
            </w:pPr>
            <w:r w:rsidRPr="00FE4245">
              <w:rPr>
                <w:rFonts w:ascii="Arial" w:eastAsia="HelveticaNeueLTStd-Cn" w:hAnsi="Arial" w:cs="Arial"/>
              </w:rPr>
              <w:t>Insertive vaginal sex</w:t>
            </w:r>
          </w:p>
        </w:tc>
        <w:tc>
          <w:tcPr>
            <w:tcW w:w="3420" w:type="dxa"/>
            <w:shd w:val="clear" w:color="auto" w:fill="CCFFFF"/>
          </w:tcPr>
          <w:p w:rsidR="0071027C" w:rsidRPr="00FE4245" w:rsidRDefault="0071027C" w:rsidP="00AA771C">
            <w:pPr>
              <w:autoSpaceDE w:val="0"/>
              <w:autoSpaceDN w:val="0"/>
              <w:adjustRightInd w:val="0"/>
              <w:spacing w:beforeLines="120" w:before="288" w:afterLines="120" w:after="288" w:line="288" w:lineRule="auto"/>
              <w:jc w:val="both"/>
              <w:rPr>
                <w:rFonts w:ascii="Arial" w:hAnsi="Arial" w:cs="Arial"/>
              </w:rPr>
            </w:pPr>
            <w:r w:rsidRPr="00FE4245">
              <w:rPr>
                <w:rFonts w:ascii="Arial" w:eastAsia="HelveticaNeueLTStd-Cn" w:hAnsi="Arial" w:cs="Arial"/>
              </w:rPr>
              <w:t>0.03-0.09%</w:t>
            </w:r>
          </w:p>
        </w:tc>
      </w:tr>
      <w:tr w:rsidR="0071027C" w:rsidRPr="00FE4245" w:rsidTr="0071027C">
        <w:trPr>
          <w:jc w:val="center"/>
        </w:trPr>
        <w:tc>
          <w:tcPr>
            <w:tcW w:w="5524" w:type="dxa"/>
            <w:shd w:val="clear" w:color="auto" w:fill="CCFFFF"/>
          </w:tcPr>
          <w:p w:rsidR="0071027C" w:rsidRPr="00FE4245" w:rsidRDefault="0071027C" w:rsidP="00AA771C">
            <w:pPr>
              <w:autoSpaceDE w:val="0"/>
              <w:autoSpaceDN w:val="0"/>
              <w:adjustRightInd w:val="0"/>
              <w:spacing w:beforeLines="120" w:before="288" w:afterLines="120" w:after="288" w:line="288" w:lineRule="auto"/>
              <w:jc w:val="both"/>
              <w:rPr>
                <w:rFonts w:ascii="Arial" w:hAnsi="Arial" w:cs="Arial"/>
              </w:rPr>
            </w:pPr>
            <w:r w:rsidRPr="00FE4245">
              <w:rPr>
                <w:rFonts w:ascii="Arial" w:eastAsia="HelveticaNeueLTStd-Cn" w:hAnsi="Arial" w:cs="Arial"/>
              </w:rPr>
              <w:t>Receptive vaginal sex</w:t>
            </w:r>
          </w:p>
        </w:tc>
        <w:tc>
          <w:tcPr>
            <w:tcW w:w="3420" w:type="dxa"/>
            <w:shd w:val="clear" w:color="auto" w:fill="CCFFFF"/>
          </w:tcPr>
          <w:p w:rsidR="0071027C" w:rsidRPr="00FE4245" w:rsidRDefault="0071027C" w:rsidP="00AA771C">
            <w:pPr>
              <w:autoSpaceDE w:val="0"/>
              <w:autoSpaceDN w:val="0"/>
              <w:adjustRightInd w:val="0"/>
              <w:spacing w:beforeLines="120" w:before="288" w:afterLines="120" w:after="288" w:line="288" w:lineRule="auto"/>
              <w:jc w:val="both"/>
              <w:rPr>
                <w:rFonts w:ascii="Arial" w:hAnsi="Arial" w:cs="Arial"/>
              </w:rPr>
            </w:pPr>
            <w:r w:rsidRPr="00FE4245">
              <w:rPr>
                <w:rFonts w:ascii="Arial" w:eastAsia="HelveticaNeueLTStd-Cn" w:hAnsi="Arial" w:cs="Arial"/>
              </w:rPr>
              <w:t>0.1-0.3%</w:t>
            </w:r>
          </w:p>
        </w:tc>
      </w:tr>
      <w:tr w:rsidR="0071027C" w:rsidRPr="00FE4245" w:rsidTr="0071027C">
        <w:trPr>
          <w:jc w:val="center"/>
        </w:trPr>
        <w:tc>
          <w:tcPr>
            <w:tcW w:w="5524" w:type="dxa"/>
            <w:shd w:val="clear" w:color="auto" w:fill="CCFFFF"/>
          </w:tcPr>
          <w:p w:rsidR="0071027C" w:rsidRPr="00FE4245" w:rsidRDefault="0071027C" w:rsidP="00AA771C">
            <w:pPr>
              <w:autoSpaceDE w:val="0"/>
              <w:autoSpaceDN w:val="0"/>
              <w:adjustRightInd w:val="0"/>
              <w:spacing w:beforeLines="120" w:before="288" w:afterLines="120" w:after="288" w:line="288" w:lineRule="auto"/>
              <w:jc w:val="both"/>
              <w:rPr>
                <w:rFonts w:ascii="Arial" w:hAnsi="Arial" w:cs="Arial"/>
              </w:rPr>
            </w:pPr>
            <w:r w:rsidRPr="00FE4245">
              <w:rPr>
                <w:rFonts w:ascii="Arial" w:eastAsia="HelveticaNeueLTStd-Cn" w:hAnsi="Arial" w:cs="Arial"/>
              </w:rPr>
              <w:t>Insertive anal sex</w:t>
            </w:r>
          </w:p>
        </w:tc>
        <w:tc>
          <w:tcPr>
            <w:tcW w:w="3420" w:type="dxa"/>
            <w:shd w:val="clear" w:color="auto" w:fill="CCFFFF"/>
          </w:tcPr>
          <w:p w:rsidR="0071027C" w:rsidRPr="00FE4245" w:rsidRDefault="0071027C" w:rsidP="00AA771C">
            <w:pPr>
              <w:autoSpaceDE w:val="0"/>
              <w:autoSpaceDN w:val="0"/>
              <w:adjustRightInd w:val="0"/>
              <w:spacing w:beforeLines="120" w:before="288" w:afterLines="120" w:after="288" w:line="288" w:lineRule="auto"/>
              <w:jc w:val="both"/>
              <w:rPr>
                <w:rFonts w:ascii="Arial" w:hAnsi="Arial" w:cs="Arial"/>
              </w:rPr>
            </w:pPr>
            <w:r w:rsidRPr="00FE4245">
              <w:rPr>
                <w:rFonts w:ascii="Arial" w:eastAsia="HelveticaNeueLTStd-Cn" w:hAnsi="Arial" w:cs="Arial"/>
              </w:rPr>
              <w:t>0.03%</w:t>
            </w:r>
          </w:p>
        </w:tc>
      </w:tr>
      <w:tr w:rsidR="0071027C" w:rsidRPr="00FE4245" w:rsidTr="0071027C">
        <w:trPr>
          <w:jc w:val="center"/>
        </w:trPr>
        <w:tc>
          <w:tcPr>
            <w:tcW w:w="5524" w:type="dxa"/>
            <w:shd w:val="clear" w:color="auto" w:fill="CCFFFF"/>
          </w:tcPr>
          <w:p w:rsidR="0071027C" w:rsidRPr="00FE4245" w:rsidRDefault="0071027C" w:rsidP="00AA771C">
            <w:pPr>
              <w:autoSpaceDE w:val="0"/>
              <w:autoSpaceDN w:val="0"/>
              <w:adjustRightInd w:val="0"/>
              <w:spacing w:beforeLines="120" w:before="288" w:afterLines="120" w:after="288" w:line="288" w:lineRule="auto"/>
              <w:jc w:val="both"/>
              <w:rPr>
                <w:rFonts w:ascii="Arial" w:hAnsi="Arial" w:cs="Arial"/>
              </w:rPr>
            </w:pPr>
            <w:r w:rsidRPr="00FE4245">
              <w:rPr>
                <w:rFonts w:ascii="Arial" w:eastAsia="HelveticaNeueLTStd-Cn" w:hAnsi="Arial" w:cs="Arial"/>
              </w:rPr>
              <w:t>Receptive anal sex</w:t>
            </w:r>
          </w:p>
        </w:tc>
        <w:tc>
          <w:tcPr>
            <w:tcW w:w="3420" w:type="dxa"/>
            <w:shd w:val="clear" w:color="auto" w:fill="CCFFFF"/>
          </w:tcPr>
          <w:p w:rsidR="0071027C" w:rsidRPr="00FE4245" w:rsidRDefault="0071027C" w:rsidP="00AA771C">
            <w:pPr>
              <w:autoSpaceDE w:val="0"/>
              <w:autoSpaceDN w:val="0"/>
              <w:adjustRightInd w:val="0"/>
              <w:spacing w:beforeLines="120" w:before="288" w:afterLines="120" w:after="288" w:line="288" w:lineRule="auto"/>
              <w:jc w:val="both"/>
              <w:rPr>
                <w:rFonts w:ascii="Arial" w:hAnsi="Arial" w:cs="Arial"/>
              </w:rPr>
            </w:pPr>
            <w:r w:rsidRPr="00FE4245">
              <w:rPr>
                <w:rFonts w:ascii="Arial" w:eastAsia="HelveticaNeueLTStd-Cn" w:hAnsi="Arial" w:cs="Arial"/>
              </w:rPr>
              <w:t>0.5-3%</w:t>
            </w:r>
          </w:p>
        </w:tc>
      </w:tr>
    </w:tbl>
    <w:p w:rsidR="0071027C" w:rsidRPr="00C203F3" w:rsidRDefault="0071027C" w:rsidP="00AA771C">
      <w:pPr>
        <w:autoSpaceDE w:val="0"/>
        <w:autoSpaceDN w:val="0"/>
        <w:adjustRightInd w:val="0"/>
        <w:spacing w:beforeLines="120" w:before="288" w:afterLines="120" w:after="288" w:line="288" w:lineRule="auto"/>
        <w:jc w:val="both"/>
        <w:rPr>
          <w:rFonts w:ascii="Arial Narrow" w:hAnsi="Arial Narrow"/>
          <w:sz w:val="24"/>
          <w:szCs w:val="24"/>
        </w:rPr>
      </w:pPr>
    </w:p>
    <w:p w:rsidR="0071027C" w:rsidRPr="00FE4245" w:rsidRDefault="0071027C" w:rsidP="0071027C">
      <w:pPr>
        <w:autoSpaceDE w:val="0"/>
        <w:autoSpaceDN w:val="0"/>
        <w:adjustRightInd w:val="0"/>
        <w:spacing w:before="120" w:after="120" w:line="240" w:lineRule="auto"/>
        <w:jc w:val="both"/>
        <w:rPr>
          <w:rFonts w:ascii="Arial" w:hAnsi="Arial" w:cs="Arial"/>
        </w:rPr>
      </w:pPr>
      <w:r w:rsidRPr="00FE4245">
        <w:rPr>
          <w:rFonts w:ascii="Arial" w:hAnsi="Arial" w:cs="Arial"/>
        </w:rPr>
        <w:t>When deciding whether to offer PEP or not, consider that risk of transmission following sexual exposure is high if any of the following factors were present:</w:t>
      </w:r>
    </w:p>
    <w:p w:rsidR="0071027C" w:rsidRPr="00FE4245" w:rsidRDefault="0071027C" w:rsidP="00274941">
      <w:pPr>
        <w:widowControl/>
        <w:numPr>
          <w:ilvl w:val="0"/>
          <w:numId w:val="30"/>
        </w:numPr>
        <w:autoSpaceDE w:val="0"/>
        <w:autoSpaceDN w:val="0"/>
        <w:adjustRightInd w:val="0"/>
        <w:spacing w:after="0" w:line="240" w:lineRule="auto"/>
        <w:jc w:val="both"/>
        <w:rPr>
          <w:rFonts w:ascii="Arial" w:hAnsi="Arial" w:cs="Arial"/>
        </w:rPr>
      </w:pPr>
      <w:r w:rsidRPr="00FE4245">
        <w:rPr>
          <w:rFonts w:ascii="Arial" w:hAnsi="Arial" w:cs="Arial"/>
        </w:rPr>
        <w:t>Blood</w:t>
      </w:r>
    </w:p>
    <w:p w:rsidR="0071027C" w:rsidRPr="00FE4245" w:rsidRDefault="0071027C" w:rsidP="00274941">
      <w:pPr>
        <w:widowControl/>
        <w:numPr>
          <w:ilvl w:val="0"/>
          <w:numId w:val="30"/>
        </w:numPr>
        <w:autoSpaceDE w:val="0"/>
        <w:autoSpaceDN w:val="0"/>
        <w:adjustRightInd w:val="0"/>
        <w:spacing w:after="0" w:line="240" w:lineRule="auto"/>
        <w:jc w:val="both"/>
        <w:rPr>
          <w:rFonts w:ascii="Arial" w:hAnsi="Arial" w:cs="Arial"/>
        </w:rPr>
      </w:pPr>
      <w:r w:rsidRPr="00FE4245">
        <w:rPr>
          <w:rFonts w:ascii="Arial" w:hAnsi="Arial" w:cs="Arial"/>
        </w:rPr>
        <w:t>Survivor or assailant with a sexually transmitted disease with inflammation such as gonorrhoea, chlamydia, herpes, syphilis, bacterial vaginosis, trichomoniasis, etc.</w:t>
      </w:r>
    </w:p>
    <w:p w:rsidR="0071027C" w:rsidRPr="00FE4245" w:rsidRDefault="0071027C" w:rsidP="00274941">
      <w:pPr>
        <w:widowControl/>
        <w:numPr>
          <w:ilvl w:val="0"/>
          <w:numId w:val="30"/>
        </w:numPr>
        <w:autoSpaceDE w:val="0"/>
        <w:autoSpaceDN w:val="0"/>
        <w:adjustRightInd w:val="0"/>
        <w:spacing w:after="0" w:line="240" w:lineRule="auto"/>
        <w:jc w:val="both"/>
        <w:rPr>
          <w:rFonts w:ascii="Arial" w:hAnsi="Arial" w:cs="Arial"/>
        </w:rPr>
      </w:pPr>
      <w:r w:rsidRPr="00FE4245">
        <w:rPr>
          <w:rFonts w:ascii="Arial" w:hAnsi="Arial" w:cs="Arial"/>
        </w:rPr>
        <w:t>Multiple assailants or multiple penetrations by assailant(s)</w:t>
      </w:r>
    </w:p>
    <w:p w:rsidR="0071027C" w:rsidRPr="00FE4245" w:rsidRDefault="0071027C" w:rsidP="00274941">
      <w:pPr>
        <w:widowControl/>
        <w:numPr>
          <w:ilvl w:val="0"/>
          <w:numId w:val="30"/>
        </w:numPr>
        <w:autoSpaceDE w:val="0"/>
        <w:autoSpaceDN w:val="0"/>
        <w:adjustRightInd w:val="0"/>
        <w:spacing w:after="0" w:line="240" w:lineRule="auto"/>
        <w:jc w:val="both"/>
        <w:rPr>
          <w:rFonts w:ascii="Arial" w:hAnsi="Arial" w:cs="Arial"/>
        </w:rPr>
      </w:pPr>
      <w:r w:rsidRPr="00FE4245">
        <w:rPr>
          <w:rFonts w:ascii="Arial" w:hAnsi="Arial" w:cs="Arial"/>
        </w:rPr>
        <w:t>Ejaculation by assailant</w:t>
      </w:r>
    </w:p>
    <w:p w:rsidR="0071027C" w:rsidRPr="00FE4245" w:rsidRDefault="0071027C" w:rsidP="00274941">
      <w:pPr>
        <w:widowControl/>
        <w:numPr>
          <w:ilvl w:val="0"/>
          <w:numId w:val="30"/>
        </w:numPr>
        <w:autoSpaceDE w:val="0"/>
        <w:autoSpaceDN w:val="0"/>
        <w:adjustRightInd w:val="0"/>
        <w:spacing w:after="0" w:line="240" w:lineRule="auto"/>
        <w:jc w:val="both"/>
        <w:rPr>
          <w:rFonts w:ascii="Arial" w:hAnsi="Arial" w:cs="Arial"/>
        </w:rPr>
      </w:pPr>
      <w:r w:rsidRPr="00FE4245">
        <w:rPr>
          <w:rFonts w:ascii="Arial" w:hAnsi="Arial" w:cs="Arial"/>
        </w:rPr>
        <w:t>Anal penetration</w:t>
      </w:r>
    </w:p>
    <w:p w:rsidR="0071027C" w:rsidRPr="00FE4245" w:rsidRDefault="0071027C" w:rsidP="00274941">
      <w:pPr>
        <w:widowControl/>
        <w:numPr>
          <w:ilvl w:val="0"/>
          <w:numId w:val="30"/>
        </w:numPr>
        <w:autoSpaceDE w:val="0"/>
        <w:autoSpaceDN w:val="0"/>
        <w:adjustRightInd w:val="0"/>
        <w:spacing w:after="0" w:line="240" w:lineRule="auto"/>
        <w:jc w:val="both"/>
        <w:rPr>
          <w:rFonts w:ascii="Arial" w:hAnsi="Arial" w:cs="Arial"/>
        </w:rPr>
      </w:pPr>
      <w:r w:rsidRPr="00FE4245">
        <w:rPr>
          <w:rFonts w:ascii="Arial" w:hAnsi="Arial" w:cs="Arial"/>
        </w:rPr>
        <w:t>Obvious trauma to the genital area</w:t>
      </w:r>
    </w:p>
    <w:p w:rsidR="0071027C" w:rsidRDefault="0071027C" w:rsidP="00274941">
      <w:pPr>
        <w:widowControl/>
        <w:numPr>
          <w:ilvl w:val="0"/>
          <w:numId w:val="30"/>
        </w:numPr>
        <w:autoSpaceDE w:val="0"/>
        <w:autoSpaceDN w:val="0"/>
        <w:adjustRightInd w:val="0"/>
        <w:spacing w:after="0" w:line="240" w:lineRule="auto"/>
        <w:jc w:val="both"/>
        <w:rPr>
          <w:rFonts w:ascii="Arial" w:hAnsi="Arial" w:cs="Arial"/>
        </w:rPr>
      </w:pPr>
      <w:r w:rsidRPr="00FE4245">
        <w:rPr>
          <w:rFonts w:ascii="Arial" w:hAnsi="Arial" w:cs="Arial"/>
        </w:rPr>
        <w:t>The assailant(s) is HIV positive</w:t>
      </w:r>
    </w:p>
    <w:p w:rsidR="0071027C" w:rsidRPr="00FE4245" w:rsidRDefault="0071027C" w:rsidP="0071027C">
      <w:pPr>
        <w:widowControl/>
        <w:autoSpaceDE w:val="0"/>
        <w:autoSpaceDN w:val="0"/>
        <w:adjustRightInd w:val="0"/>
        <w:spacing w:before="120" w:after="120" w:line="240" w:lineRule="auto"/>
        <w:ind w:left="360"/>
        <w:jc w:val="both"/>
        <w:rPr>
          <w:rFonts w:ascii="Arial" w:hAnsi="Arial" w:cs="Arial"/>
        </w:rPr>
      </w:pPr>
    </w:p>
    <w:p w:rsidR="0071027C" w:rsidRPr="00FE4245" w:rsidRDefault="0071027C" w:rsidP="00274941">
      <w:pPr>
        <w:pStyle w:val="ListParagraph"/>
        <w:numPr>
          <w:ilvl w:val="0"/>
          <w:numId w:val="36"/>
        </w:numPr>
        <w:autoSpaceDE w:val="0"/>
        <w:autoSpaceDN w:val="0"/>
        <w:adjustRightInd w:val="0"/>
        <w:spacing w:before="120" w:after="120"/>
        <w:contextualSpacing w:val="0"/>
        <w:jc w:val="both"/>
        <w:rPr>
          <w:rFonts w:ascii="Arial" w:hAnsi="Arial" w:cs="Arial"/>
          <w:b/>
          <w:iCs/>
          <w:sz w:val="22"/>
          <w:szCs w:val="22"/>
        </w:rPr>
      </w:pPr>
      <w:r w:rsidRPr="00FE4245">
        <w:rPr>
          <w:rFonts w:ascii="Arial" w:hAnsi="Arial" w:cs="Arial"/>
          <w:b/>
          <w:iCs/>
          <w:sz w:val="22"/>
          <w:szCs w:val="22"/>
        </w:rPr>
        <w:t>Factors to be Considered Before Initiation of PEP</w:t>
      </w:r>
    </w:p>
    <w:p w:rsidR="0071027C" w:rsidRPr="00FE4245" w:rsidRDefault="0071027C" w:rsidP="0071027C">
      <w:pPr>
        <w:autoSpaceDE w:val="0"/>
        <w:autoSpaceDN w:val="0"/>
        <w:adjustRightInd w:val="0"/>
        <w:spacing w:before="120" w:after="120" w:line="240" w:lineRule="auto"/>
        <w:jc w:val="both"/>
        <w:rPr>
          <w:rFonts w:ascii="Arial" w:hAnsi="Arial" w:cs="Arial"/>
        </w:rPr>
      </w:pPr>
      <w:r w:rsidRPr="00FE4245">
        <w:rPr>
          <w:rFonts w:ascii="Arial" w:hAnsi="Arial" w:cs="Arial"/>
        </w:rPr>
        <w:t xml:space="preserve">Factors to be considered before initiation of PEP for non occupational exposure are similar to those for occupational exposure. They include HIV status of potentially exposed person and HIV status of exposure source person if available. If unknown, PEP can be initiated while the status is being assessed and discontinued if serostatus of exposure source person is confirmed negative. </w:t>
      </w:r>
    </w:p>
    <w:p w:rsidR="0071027C" w:rsidRPr="00FE4245" w:rsidRDefault="0071027C" w:rsidP="0071027C">
      <w:pPr>
        <w:autoSpaceDE w:val="0"/>
        <w:autoSpaceDN w:val="0"/>
        <w:adjustRightInd w:val="0"/>
        <w:spacing w:before="120" w:after="120" w:line="240" w:lineRule="auto"/>
        <w:jc w:val="both"/>
        <w:rPr>
          <w:rFonts w:ascii="Arial" w:hAnsi="Arial" w:cs="Arial"/>
        </w:rPr>
      </w:pPr>
      <w:r w:rsidRPr="00FE4245">
        <w:rPr>
          <w:rFonts w:ascii="Arial" w:hAnsi="Arial" w:cs="Arial"/>
        </w:rPr>
        <w:t>The decision to begin PEP should not be based on the likelihood that the perpetrator is infected or delayed pending the test results of the exposure source (unless immediately available). Rather, it should be based on the perpetrator’s transmission risk behavior and the presence of other sexually transmitted diseases, particularly genital ulcers, which can facilitate HIV transmission.</w:t>
      </w:r>
    </w:p>
    <w:p w:rsidR="0071027C" w:rsidRPr="00FE4245" w:rsidRDefault="0071027C" w:rsidP="0071027C">
      <w:pPr>
        <w:autoSpaceDE w:val="0"/>
        <w:autoSpaceDN w:val="0"/>
        <w:adjustRightInd w:val="0"/>
        <w:spacing w:before="120" w:after="120" w:line="240" w:lineRule="auto"/>
        <w:jc w:val="both"/>
        <w:rPr>
          <w:rFonts w:ascii="Arial" w:hAnsi="Arial" w:cs="Arial"/>
        </w:rPr>
      </w:pPr>
      <w:r w:rsidRPr="00FE4245">
        <w:rPr>
          <w:rFonts w:ascii="Arial" w:hAnsi="Arial" w:cs="Arial"/>
        </w:rPr>
        <w:t>Note: Exposure to persons who have recently seroconverted may carry a higher risk of transmission because of high HIV viremia.</w:t>
      </w:r>
    </w:p>
    <w:p w:rsidR="0071027C" w:rsidRPr="00FE4245" w:rsidRDefault="0071027C" w:rsidP="00274941">
      <w:pPr>
        <w:pStyle w:val="ListParagraph"/>
        <w:numPr>
          <w:ilvl w:val="0"/>
          <w:numId w:val="36"/>
        </w:numPr>
        <w:autoSpaceDE w:val="0"/>
        <w:autoSpaceDN w:val="0"/>
        <w:adjustRightInd w:val="0"/>
        <w:spacing w:before="120" w:after="120"/>
        <w:contextualSpacing w:val="0"/>
        <w:jc w:val="both"/>
        <w:rPr>
          <w:rFonts w:ascii="Arial" w:hAnsi="Arial" w:cs="Arial"/>
          <w:b/>
          <w:iCs/>
          <w:sz w:val="22"/>
          <w:szCs w:val="22"/>
        </w:rPr>
      </w:pPr>
      <w:r w:rsidRPr="00FE4245">
        <w:rPr>
          <w:rFonts w:ascii="Arial" w:hAnsi="Arial" w:cs="Arial"/>
          <w:b/>
          <w:iCs/>
          <w:sz w:val="22"/>
          <w:szCs w:val="22"/>
        </w:rPr>
        <w:t>Basic Steps to be Taken after Sexual Exposure</w:t>
      </w:r>
    </w:p>
    <w:p w:rsidR="0071027C" w:rsidRPr="00FE4245" w:rsidRDefault="0071027C" w:rsidP="00274941">
      <w:pPr>
        <w:widowControl/>
        <w:numPr>
          <w:ilvl w:val="0"/>
          <w:numId w:val="30"/>
        </w:numPr>
        <w:autoSpaceDE w:val="0"/>
        <w:autoSpaceDN w:val="0"/>
        <w:adjustRightInd w:val="0"/>
        <w:spacing w:after="0" w:line="240" w:lineRule="auto"/>
        <w:jc w:val="both"/>
        <w:rPr>
          <w:rFonts w:ascii="Arial" w:hAnsi="Arial" w:cs="Arial"/>
        </w:rPr>
      </w:pPr>
      <w:r w:rsidRPr="00FE4245">
        <w:rPr>
          <w:rFonts w:ascii="Arial" w:hAnsi="Arial" w:cs="Arial"/>
        </w:rPr>
        <w:t>Perform counseling and testing at baseline before administering PEP. It is important to establish survivor’s baseline.</w:t>
      </w:r>
    </w:p>
    <w:p w:rsidR="0071027C" w:rsidRPr="00FE4245" w:rsidRDefault="0071027C" w:rsidP="00274941">
      <w:pPr>
        <w:widowControl/>
        <w:numPr>
          <w:ilvl w:val="0"/>
          <w:numId w:val="30"/>
        </w:numPr>
        <w:autoSpaceDE w:val="0"/>
        <w:autoSpaceDN w:val="0"/>
        <w:adjustRightInd w:val="0"/>
        <w:spacing w:after="0" w:line="240" w:lineRule="auto"/>
        <w:jc w:val="both"/>
        <w:rPr>
          <w:rFonts w:ascii="Arial" w:hAnsi="Arial" w:cs="Arial"/>
        </w:rPr>
      </w:pPr>
      <w:r w:rsidRPr="00FE4245">
        <w:rPr>
          <w:rFonts w:ascii="Arial" w:hAnsi="Arial" w:cs="Arial"/>
        </w:rPr>
        <w:t>Determine HIV status before administering PEP in order to prevent the potential for developing drug resistance, should the individual be HIV positive.</w:t>
      </w:r>
    </w:p>
    <w:p w:rsidR="0071027C" w:rsidRPr="00FE4245" w:rsidRDefault="0071027C" w:rsidP="00274941">
      <w:pPr>
        <w:widowControl/>
        <w:numPr>
          <w:ilvl w:val="0"/>
          <w:numId w:val="30"/>
        </w:numPr>
        <w:autoSpaceDE w:val="0"/>
        <w:autoSpaceDN w:val="0"/>
        <w:adjustRightInd w:val="0"/>
        <w:spacing w:after="0" w:line="240" w:lineRule="auto"/>
        <w:jc w:val="both"/>
        <w:rPr>
          <w:rFonts w:ascii="Arial" w:hAnsi="Arial" w:cs="Arial"/>
        </w:rPr>
      </w:pPr>
      <w:r w:rsidRPr="00FE4245">
        <w:rPr>
          <w:rFonts w:ascii="Arial" w:hAnsi="Arial" w:cs="Arial"/>
        </w:rPr>
        <w:t>If the rape survivor is HIV negative administer the initial (first) dose of PEP as early as possible. The efficacy of PEP decreases with the length of time. Offer PEP promptly, preferably within 2 hours but not later than 72 hours of being raped. If the rape survivor is HIV positive, refer the person to CTC for enrolment and further management. Do not offer PEP.</w:t>
      </w:r>
    </w:p>
    <w:p w:rsidR="0071027C" w:rsidRPr="00FE4245" w:rsidRDefault="0071027C" w:rsidP="00274941">
      <w:pPr>
        <w:widowControl/>
        <w:numPr>
          <w:ilvl w:val="0"/>
          <w:numId w:val="30"/>
        </w:numPr>
        <w:autoSpaceDE w:val="0"/>
        <w:autoSpaceDN w:val="0"/>
        <w:adjustRightInd w:val="0"/>
        <w:spacing w:after="0" w:line="240" w:lineRule="auto"/>
        <w:jc w:val="both"/>
        <w:rPr>
          <w:rFonts w:ascii="Arial" w:hAnsi="Arial" w:cs="Arial"/>
        </w:rPr>
      </w:pPr>
      <w:r w:rsidRPr="00FE4245">
        <w:rPr>
          <w:rFonts w:ascii="Arial" w:hAnsi="Arial" w:cs="Arial"/>
        </w:rPr>
        <w:t>Rape survivors presenting later than 72 hours after being raped should not be offered PEP.</w:t>
      </w:r>
    </w:p>
    <w:p w:rsidR="0071027C" w:rsidRPr="00FE4245" w:rsidRDefault="0071027C" w:rsidP="00274941">
      <w:pPr>
        <w:widowControl/>
        <w:numPr>
          <w:ilvl w:val="0"/>
          <w:numId w:val="30"/>
        </w:numPr>
        <w:autoSpaceDE w:val="0"/>
        <w:autoSpaceDN w:val="0"/>
        <w:adjustRightInd w:val="0"/>
        <w:spacing w:after="0" w:line="240" w:lineRule="auto"/>
        <w:jc w:val="both"/>
        <w:rPr>
          <w:rFonts w:ascii="Arial" w:hAnsi="Arial" w:cs="Arial"/>
        </w:rPr>
      </w:pPr>
      <w:r w:rsidRPr="00FE4245">
        <w:rPr>
          <w:rFonts w:ascii="Arial" w:hAnsi="Arial" w:cs="Arial"/>
        </w:rPr>
        <w:t>If the rape survivor is not psychologically ready, the baseline HIV test can be delayed by up to 3 days after commencement of PEP. If the test result is positive, PEP should be stopped and the patient should be referred to a CTC. It should also be explained to the rape survivor that the HIV infection is not the consequence of the sexual assault but from previous exposure.</w:t>
      </w:r>
    </w:p>
    <w:p w:rsidR="0071027C" w:rsidRPr="00FE4245" w:rsidRDefault="0071027C" w:rsidP="00274941">
      <w:pPr>
        <w:widowControl/>
        <w:numPr>
          <w:ilvl w:val="0"/>
          <w:numId w:val="30"/>
        </w:numPr>
        <w:autoSpaceDE w:val="0"/>
        <w:autoSpaceDN w:val="0"/>
        <w:adjustRightInd w:val="0"/>
        <w:spacing w:after="0" w:line="240" w:lineRule="auto"/>
        <w:jc w:val="both"/>
        <w:rPr>
          <w:rFonts w:ascii="Arial" w:hAnsi="Arial" w:cs="Arial"/>
        </w:rPr>
      </w:pPr>
      <w:r w:rsidRPr="00FE4245">
        <w:rPr>
          <w:rFonts w:ascii="Arial" w:hAnsi="Arial" w:cs="Arial"/>
        </w:rPr>
        <w:t>Provide psychosocial support and ensure adherence to PEP regime. The loss rate is high in this group of patients.</w:t>
      </w:r>
    </w:p>
    <w:p w:rsidR="0071027C" w:rsidRPr="00FE4245" w:rsidRDefault="0071027C" w:rsidP="00274941">
      <w:pPr>
        <w:widowControl/>
        <w:numPr>
          <w:ilvl w:val="0"/>
          <w:numId w:val="30"/>
        </w:numPr>
        <w:autoSpaceDE w:val="0"/>
        <w:autoSpaceDN w:val="0"/>
        <w:adjustRightInd w:val="0"/>
        <w:spacing w:after="0" w:line="240" w:lineRule="auto"/>
        <w:jc w:val="both"/>
        <w:rPr>
          <w:rFonts w:ascii="Arial" w:hAnsi="Arial" w:cs="Arial"/>
        </w:rPr>
      </w:pPr>
      <w:r w:rsidRPr="00FE4245">
        <w:rPr>
          <w:rFonts w:ascii="Arial" w:hAnsi="Arial" w:cs="Arial"/>
        </w:rPr>
        <w:t>Monitor for ARV drug toxicity and manage the conditions (if present) accordingly.</w:t>
      </w:r>
    </w:p>
    <w:p w:rsidR="0071027C" w:rsidRPr="00FE4245" w:rsidRDefault="0071027C" w:rsidP="0071027C">
      <w:pPr>
        <w:autoSpaceDE w:val="0"/>
        <w:autoSpaceDN w:val="0"/>
        <w:adjustRightInd w:val="0"/>
        <w:spacing w:before="120" w:after="120" w:line="240" w:lineRule="auto"/>
        <w:jc w:val="both"/>
        <w:rPr>
          <w:rFonts w:ascii="Arial" w:hAnsi="Arial" w:cs="Arial"/>
          <w:b/>
          <w:i/>
          <w:iCs/>
        </w:rPr>
      </w:pPr>
    </w:p>
    <w:p w:rsidR="0071027C" w:rsidRPr="00FE4245" w:rsidRDefault="0071027C" w:rsidP="0071027C">
      <w:pPr>
        <w:autoSpaceDE w:val="0"/>
        <w:autoSpaceDN w:val="0"/>
        <w:adjustRightInd w:val="0"/>
        <w:spacing w:before="120" w:after="120" w:line="240" w:lineRule="auto"/>
        <w:jc w:val="both"/>
        <w:rPr>
          <w:rFonts w:ascii="Arial" w:hAnsi="Arial" w:cs="Arial"/>
        </w:rPr>
      </w:pPr>
      <w:r w:rsidRPr="00FE4245">
        <w:rPr>
          <w:rFonts w:ascii="Arial" w:hAnsi="Arial" w:cs="Arial"/>
        </w:rPr>
        <w:t>The recommended treatment regimen 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6"/>
      </w:tblGrid>
      <w:tr w:rsidR="0071027C" w:rsidRPr="00FE4245" w:rsidTr="0071027C">
        <w:tc>
          <w:tcPr>
            <w:tcW w:w="9216" w:type="dxa"/>
            <w:shd w:val="clear" w:color="auto" w:fill="CCFFFF"/>
          </w:tcPr>
          <w:p w:rsidR="0071027C" w:rsidRPr="00FE4245" w:rsidRDefault="0071027C" w:rsidP="0071027C">
            <w:pPr>
              <w:autoSpaceDE w:val="0"/>
              <w:autoSpaceDN w:val="0"/>
              <w:adjustRightInd w:val="0"/>
              <w:spacing w:before="120" w:after="120" w:line="240" w:lineRule="auto"/>
              <w:jc w:val="both"/>
              <w:rPr>
                <w:rFonts w:ascii="Arial" w:hAnsi="Arial" w:cs="Arial"/>
                <w:i/>
                <w:iCs/>
              </w:rPr>
            </w:pPr>
            <w:r w:rsidRPr="00FE4245">
              <w:rPr>
                <w:rFonts w:ascii="Arial" w:eastAsia="HelveticaNeueLTStd-Cn" w:hAnsi="Arial" w:cs="Arial"/>
              </w:rPr>
              <w:t>AZT 300 mg 12 hourly+150mg 3TC 12 hourly daily for 4 week</w:t>
            </w:r>
          </w:p>
        </w:tc>
      </w:tr>
    </w:tbl>
    <w:p w:rsidR="0071027C" w:rsidRPr="00FE4245" w:rsidRDefault="0071027C" w:rsidP="0071027C">
      <w:pPr>
        <w:autoSpaceDE w:val="0"/>
        <w:autoSpaceDN w:val="0"/>
        <w:adjustRightInd w:val="0"/>
        <w:spacing w:before="120" w:after="120" w:line="240" w:lineRule="auto"/>
        <w:jc w:val="both"/>
        <w:rPr>
          <w:rFonts w:ascii="Arial" w:hAnsi="Arial" w:cs="Arial"/>
        </w:rPr>
      </w:pPr>
    </w:p>
    <w:p w:rsidR="0071027C" w:rsidRPr="00FE4245" w:rsidRDefault="0071027C" w:rsidP="0071027C">
      <w:pPr>
        <w:autoSpaceDE w:val="0"/>
        <w:autoSpaceDN w:val="0"/>
        <w:adjustRightInd w:val="0"/>
        <w:spacing w:before="120" w:after="120" w:line="240" w:lineRule="auto"/>
        <w:jc w:val="both"/>
        <w:rPr>
          <w:rFonts w:ascii="Arial" w:hAnsi="Arial" w:cs="Arial"/>
        </w:rPr>
      </w:pPr>
      <w:r w:rsidRPr="00FE4245">
        <w:rPr>
          <w:rFonts w:ascii="Arial" w:hAnsi="Arial" w:cs="Arial"/>
        </w:rPr>
        <w:t>A third drug, EFV or Lopinavir/r should be added if:</w:t>
      </w:r>
    </w:p>
    <w:p w:rsidR="0071027C" w:rsidRPr="00FE4245" w:rsidRDefault="0071027C" w:rsidP="00274941">
      <w:pPr>
        <w:widowControl/>
        <w:numPr>
          <w:ilvl w:val="0"/>
          <w:numId w:val="30"/>
        </w:numPr>
        <w:autoSpaceDE w:val="0"/>
        <w:autoSpaceDN w:val="0"/>
        <w:adjustRightInd w:val="0"/>
        <w:spacing w:after="0" w:line="240" w:lineRule="auto"/>
        <w:jc w:val="both"/>
        <w:rPr>
          <w:rFonts w:ascii="Arial" w:hAnsi="Arial" w:cs="Arial"/>
        </w:rPr>
      </w:pPr>
      <w:r w:rsidRPr="00FE4245">
        <w:rPr>
          <w:rFonts w:ascii="Arial" w:hAnsi="Arial" w:cs="Arial"/>
        </w:rPr>
        <w:t>There have been multiple perpetrators</w:t>
      </w:r>
    </w:p>
    <w:p w:rsidR="0071027C" w:rsidRPr="00FE4245" w:rsidRDefault="0071027C" w:rsidP="00274941">
      <w:pPr>
        <w:widowControl/>
        <w:numPr>
          <w:ilvl w:val="0"/>
          <w:numId w:val="30"/>
        </w:numPr>
        <w:autoSpaceDE w:val="0"/>
        <w:autoSpaceDN w:val="0"/>
        <w:adjustRightInd w:val="0"/>
        <w:spacing w:after="0" w:line="240" w:lineRule="auto"/>
        <w:jc w:val="both"/>
        <w:rPr>
          <w:rFonts w:ascii="Arial" w:hAnsi="Arial" w:cs="Arial"/>
        </w:rPr>
      </w:pPr>
      <w:r w:rsidRPr="00FE4245">
        <w:rPr>
          <w:rFonts w:ascii="Arial" w:hAnsi="Arial" w:cs="Arial"/>
        </w:rPr>
        <w:t>Anal penetration occurred</w:t>
      </w:r>
    </w:p>
    <w:p w:rsidR="0071027C" w:rsidRPr="00FE4245" w:rsidRDefault="0071027C" w:rsidP="00274941">
      <w:pPr>
        <w:widowControl/>
        <w:numPr>
          <w:ilvl w:val="0"/>
          <w:numId w:val="30"/>
        </w:numPr>
        <w:autoSpaceDE w:val="0"/>
        <w:autoSpaceDN w:val="0"/>
        <w:adjustRightInd w:val="0"/>
        <w:spacing w:after="0" w:line="240" w:lineRule="auto"/>
        <w:jc w:val="both"/>
        <w:rPr>
          <w:rFonts w:ascii="Arial" w:hAnsi="Arial" w:cs="Arial"/>
        </w:rPr>
      </w:pPr>
      <w:r w:rsidRPr="00FE4245">
        <w:rPr>
          <w:rFonts w:ascii="Arial" w:hAnsi="Arial" w:cs="Arial"/>
        </w:rPr>
        <w:t>There is obvious trauma to the genital areas</w:t>
      </w:r>
    </w:p>
    <w:p w:rsidR="0071027C" w:rsidRPr="00FE4245" w:rsidRDefault="0071027C" w:rsidP="00274941">
      <w:pPr>
        <w:widowControl/>
        <w:numPr>
          <w:ilvl w:val="0"/>
          <w:numId w:val="30"/>
        </w:numPr>
        <w:autoSpaceDE w:val="0"/>
        <w:autoSpaceDN w:val="0"/>
        <w:adjustRightInd w:val="0"/>
        <w:spacing w:after="0" w:line="240" w:lineRule="auto"/>
        <w:jc w:val="both"/>
        <w:rPr>
          <w:rFonts w:ascii="Arial" w:hAnsi="Arial" w:cs="Arial"/>
        </w:rPr>
      </w:pPr>
      <w:r w:rsidRPr="00FE4245">
        <w:rPr>
          <w:rFonts w:ascii="Arial" w:hAnsi="Arial" w:cs="Arial"/>
        </w:rPr>
        <w:t>One of the perpetrators is known to be HIV positive</w:t>
      </w:r>
    </w:p>
    <w:p w:rsidR="0071027C" w:rsidRDefault="0071027C" w:rsidP="0071027C">
      <w:pPr>
        <w:autoSpaceDE w:val="0"/>
        <w:autoSpaceDN w:val="0"/>
        <w:adjustRightInd w:val="0"/>
        <w:spacing w:before="120" w:after="120" w:line="240" w:lineRule="auto"/>
        <w:jc w:val="both"/>
        <w:rPr>
          <w:rFonts w:ascii="Arial" w:hAnsi="Arial" w:cs="Arial"/>
        </w:rPr>
      </w:pPr>
      <w:r w:rsidRPr="00FE4245">
        <w:rPr>
          <w:rFonts w:ascii="Arial" w:hAnsi="Arial" w:cs="Arial"/>
        </w:rPr>
        <w:t>The noted contraindications for each of the listed drugs should be considered as per details in appropriate chapters.</w:t>
      </w:r>
    </w:p>
    <w:p w:rsidR="0071027C" w:rsidRPr="00FE4245" w:rsidRDefault="0071027C" w:rsidP="0071027C">
      <w:pPr>
        <w:autoSpaceDE w:val="0"/>
        <w:autoSpaceDN w:val="0"/>
        <w:adjustRightInd w:val="0"/>
        <w:spacing w:before="120" w:after="120" w:line="240" w:lineRule="auto"/>
        <w:jc w:val="both"/>
        <w:rPr>
          <w:rFonts w:ascii="Arial" w:hAnsi="Arial" w:cs="Arial"/>
        </w:rPr>
      </w:pPr>
    </w:p>
    <w:p w:rsidR="0071027C" w:rsidRPr="00FE4245" w:rsidRDefault="0071027C" w:rsidP="00274941">
      <w:pPr>
        <w:pStyle w:val="ListParagraph"/>
        <w:numPr>
          <w:ilvl w:val="0"/>
          <w:numId w:val="36"/>
        </w:numPr>
        <w:autoSpaceDE w:val="0"/>
        <w:autoSpaceDN w:val="0"/>
        <w:adjustRightInd w:val="0"/>
        <w:spacing w:before="120" w:after="120"/>
        <w:contextualSpacing w:val="0"/>
        <w:jc w:val="both"/>
        <w:rPr>
          <w:rFonts w:ascii="Arial" w:hAnsi="Arial" w:cs="Arial"/>
          <w:b/>
          <w:iCs/>
          <w:sz w:val="22"/>
          <w:szCs w:val="22"/>
        </w:rPr>
      </w:pPr>
      <w:r w:rsidRPr="00FE4245">
        <w:rPr>
          <w:rFonts w:ascii="Arial" w:hAnsi="Arial" w:cs="Arial"/>
          <w:b/>
          <w:iCs/>
          <w:sz w:val="22"/>
          <w:szCs w:val="22"/>
        </w:rPr>
        <w:t>Patient Monitoring</w:t>
      </w:r>
    </w:p>
    <w:p w:rsidR="0071027C" w:rsidRPr="00FE4245" w:rsidRDefault="0071027C" w:rsidP="0071027C">
      <w:pPr>
        <w:autoSpaceDE w:val="0"/>
        <w:autoSpaceDN w:val="0"/>
        <w:adjustRightInd w:val="0"/>
        <w:spacing w:before="120" w:after="120" w:line="240" w:lineRule="auto"/>
        <w:jc w:val="both"/>
        <w:rPr>
          <w:rFonts w:ascii="Arial" w:hAnsi="Arial" w:cs="Arial"/>
        </w:rPr>
      </w:pPr>
      <w:r w:rsidRPr="00FE4245">
        <w:rPr>
          <w:rFonts w:ascii="Arial" w:hAnsi="Arial" w:cs="Arial"/>
        </w:rPr>
        <w:t>Routine testing with a full blood count and liver enzymes for patients on AZT and 3TC is not recommended due to short duration of therapy. Any blood tests to be performed should be based on patient’s condition.</w:t>
      </w:r>
    </w:p>
    <w:p w:rsidR="0071027C" w:rsidRPr="00FE4245" w:rsidRDefault="0071027C" w:rsidP="0071027C">
      <w:pPr>
        <w:autoSpaceDE w:val="0"/>
        <w:autoSpaceDN w:val="0"/>
        <w:adjustRightInd w:val="0"/>
        <w:spacing w:before="120" w:after="120" w:line="240" w:lineRule="auto"/>
        <w:jc w:val="both"/>
        <w:rPr>
          <w:rFonts w:ascii="Arial" w:hAnsi="Arial" w:cs="Arial"/>
        </w:rPr>
      </w:pPr>
      <w:r w:rsidRPr="00FE4245">
        <w:rPr>
          <w:rFonts w:ascii="Arial" w:hAnsi="Arial" w:cs="Arial"/>
        </w:rPr>
        <w:t>Three months after the PEP period, the individual should return for a confirmatory set of HIV tests to determine whether the treatment was effective. If treatment was not effective and the individual became infected, s/he should be enrolled in the care program at the CTC and monitored appropriately as all HIV positive individuals.</w:t>
      </w:r>
    </w:p>
    <w:p w:rsidR="0071027C" w:rsidRDefault="0071027C" w:rsidP="00AA771C">
      <w:pPr>
        <w:autoSpaceDE w:val="0"/>
        <w:autoSpaceDN w:val="0"/>
        <w:adjustRightInd w:val="0"/>
        <w:spacing w:beforeLines="120" w:before="288" w:afterLines="120" w:after="288" w:line="288" w:lineRule="auto"/>
        <w:jc w:val="both"/>
        <w:rPr>
          <w:rFonts w:ascii="Arial Narrow" w:hAnsi="Arial Narrow"/>
          <w:b/>
          <w:sz w:val="24"/>
          <w:szCs w:val="24"/>
        </w:rPr>
      </w:pPr>
    </w:p>
    <w:p w:rsidR="0071027C" w:rsidRDefault="0071027C" w:rsidP="00AA771C">
      <w:pPr>
        <w:autoSpaceDE w:val="0"/>
        <w:autoSpaceDN w:val="0"/>
        <w:adjustRightInd w:val="0"/>
        <w:spacing w:beforeLines="120" w:before="288" w:afterLines="120" w:after="288" w:line="288" w:lineRule="auto"/>
        <w:jc w:val="both"/>
        <w:rPr>
          <w:rFonts w:ascii="Arial Narrow" w:hAnsi="Arial Narrow"/>
          <w:b/>
          <w:sz w:val="24"/>
          <w:szCs w:val="24"/>
        </w:rPr>
      </w:pPr>
    </w:p>
    <w:p w:rsidR="0071027C" w:rsidRDefault="0071027C" w:rsidP="00AA771C">
      <w:pPr>
        <w:autoSpaceDE w:val="0"/>
        <w:autoSpaceDN w:val="0"/>
        <w:adjustRightInd w:val="0"/>
        <w:spacing w:beforeLines="120" w:before="288" w:afterLines="120" w:after="288" w:line="288" w:lineRule="auto"/>
        <w:jc w:val="both"/>
        <w:rPr>
          <w:rFonts w:ascii="Arial Narrow" w:hAnsi="Arial Narrow"/>
          <w:b/>
          <w:sz w:val="24"/>
          <w:szCs w:val="24"/>
        </w:rPr>
      </w:pPr>
    </w:p>
    <w:p w:rsidR="0071027C" w:rsidRPr="00FE4245" w:rsidRDefault="0071027C" w:rsidP="00AA771C">
      <w:pPr>
        <w:tabs>
          <w:tab w:val="left" w:pos="5860"/>
        </w:tabs>
        <w:autoSpaceDE w:val="0"/>
        <w:autoSpaceDN w:val="0"/>
        <w:adjustRightInd w:val="0"/>
        <w:spacing w:beforeLines="120" w:before="288" w:afterLines="120" w:after="288" w:line="288" w:lineRule="auto"/>
        <w:jc w:val="both"/>
        <w:rPr>
          <w:rFonts w:ascii="Arial" w:hAnsi="Arial" w:cs="Arial"/>
          <w:noProof/>
        </w:rPr>
      </w:pPr>
      <w:r w:rsidRPr="00FE4245">
        <w:rPr>
          <w:rFonts w:ascii="Arial" w:hAnsi="Arial" w:cs="Arial"/>
          <w:b/>
        </w:rPr>
        <w:t xml:space="preserve">Figure 5:1 </w:t>
      </w:r>
      <w:r w:rsidRPr="00FE4245">
        <w:rPr>
          <w:rFonts w:ascii="Arial" w:eastAsia="HelveticaNeueLTStd-Cn" w:hAnsi="Arial" w:cs="Arial"/>
          <w:b/>
        </w:rPr>
        <w:t>Post Exposure Prophylaxis after Sexual Assault</w:t>
      </w:r>
      <w:r w:rsidRPr="00FE4245">
        <w:rPr>
          <w:rFonts w:ascii="Arial" w:eastAsia="HelveticaNeueLTStd-Cn" w:hAnsi="Arial" w:cs="Arial"/>
          <w:b/>
        </w:rPr>
        <w:tab/>
      </w:r>
    </w:p>
    <w:p w:rsidR="0071027C" w:rsidRDefault="0071027C" w:rsidP="00AA771C">
      <w:pPr>
        <w:autoSpaceDE w:val="0"/>
        <w:autoSpaceDN w:val="0"/>
        <w:adjustRightInd w:val="0"/>
        <w:spacing w:beforeLines="120" w:before="288" w:afterLines="120" w:after="288" w:line="288" w:lineRule="auto"/>
        <w:jc w:val="both"/>
        <w:rPr>
          <w:rFonts w:ascii="Arial Narrow" w:hAnsi="Arial Narrow"/>
          <w:noProof/>
          <w:sz w:val="24"/>
          <w:szCs w:val="24"/>
        </w:rPr>
      </w:pPr>
      <w:r w:rsidRPr="00C203F3">
        <w:rPr>
          <w:rFonts w:ascii="Arial Narrow" w:hAnsi="Arial Narrow"/>
          <w:noProof/>
          <w:sz w:val="24"/>
          <w:szCs w:val="24"/>
        </w:rPr>
        <w:drawing>
          <wp:inline distT="0" distB="0" distL="0" distR="0">
            <wp:extent cx="5709920" cy="7570470"/>
            <wp:effectExtent l="19050" t="0" r="508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709920" cy="7570470"/>
                    </a:xfrm>
                    <a:prstGeom prst="rect">
                      <a:avLst/>
                    </a:prstGeom>
                    <a:noFill/>
                    <a:ln w="9525">
                      <a:noFill/>
                      <a:miter lim="800000"/>
                      <a:headEnd/>
                      <a:tailEnd/>
                    </a:ln>
                  </pic:spPr>
                </pic:pic>
              </a:graphicData>
            </a:graphic>
          </wp:inline>
        </w:drawing>
      </w:r>
    </w:p>
    <w:p w:rsidR="0071027C" w:rsidRPr="00841997" w:rsidRDefault="0071027C" w:rsidP="0071027C">
      <w:pPr>
        <w:pStyle w:val="Heading3"/>
      </w:pPr>
      <w:bookmarkStart w:id="234" w:name="_Toc374952315"/>
      <w:bookmarkStart w:id="235" w:name="_Toc378258144"/>
      <w:bookmarkStart w:id="236" w:name="_Toc382214007"/>
      <w:r w:rsidRPr="00841997">
        <w:t>5.2.6 Blood Safety</w:t>
      </w:r>
      <w:bookmarkEnd w:id="234"/>
      <w:bookmarkEnd w:id="235"/>
      <w:bookmarkEnd w:id="236"/>
    </w:p>
    <w:p w:rsidR="0071027C" w:rsidRPr="00FE4245" w:rsidRDefault="0071027C" w:rsidP="0071027C">
      <w:pPr>
        <w:pStyle w:val="Pa1"/>
        <w:spacing w:before="120" w:after="120" w:line="240" w:lineRule="auto"/>
        <w:jc w:val="both"/>
        <w:rPr>
          <w:rFonts w:ascii="Arial" w:hAnsi="Arial" w:cs="Arial"/>
          <w:color w:val="000000"/>
          <w:sz w:val="22"/>
          <w:szCs w:val="22"/>
        </w:rPr>
      </w:pPr>
      <w:r w:rsidRPr="00FE4245">
        <w:rPr>
          <w:rFonts w:ascii="Arial" w:hAnsi="Arial" w:cs="Arial"/>
          <w:color w:val="000000"/>
          <w:sz w:val="22"/>
          <w:szCs w:val="22"/>
        </w:rPr>
        <w:t>Unsafe blood transfusion is a well-documented mode of transmission of HIV and other infections. Even if blood is available, many recipients of blood and blood products are at risk of transfusion-transmissible infections, including HIV, as a result of poor blood donor recruitment and selection practices and the use of unscreened blood.</w:t>
      </w:r>
    </w:p>
    <w:p w:rsidR="0071027C" w:rsidRPr="00FE4245" w:rsidRDefault="0071027C" w:rsidP="0071027C">
      <w:pPr>
        <w:pStyle w:val="Pa1"/>
        <w:spacing w:before="120" w:after="120" w:line="240" w:lineRule="auto"/>
        <w:jc w:val="both"/>
        <w:rPr>
          <w:rFonts w:ascii="Arial" w:hAnsi="Arial" w:cs="Arial"/>
          <w:color w:val="000000"/>
          <w:sz w:val="22"/>
          <w:szCs w:val="22"/>
        </w:rPr>
      </w:pPr>
      <w:r w:rsidRPr="00FE4245">
        <w:rPr>
          <w:rFonts w:ascii="Arial" w:hAnsi="Arial" w:cs="Arial"/>
          <w:color w:val="000000"/>
          <w:sz w:val="22"/>
          <w:szCs w:val="22"/>
        </w:rPr>
        <w:t>Access to safe blood transfusion is an essential part of modern health care. The Ministry of Health and Social Welfare has established national blood programmes to ensure the availability of safe blood and blood products through a nationally coordinated blood transfusion service. The National Blood Safety Programme has developed an integrated strategy to promote the provision of safe and adequate supplies of blood to reduce the risks associated with transfusion.</w:t>
      </w:r>
    </w:p>
    <w:p w:rsidR="0071027C" w:rsidRPr="00FE4245" w:rsidRDefault="0071027C" w:rsidP="0071027C">
      <w:pPr>
        <w:pStyle w:val="Pa18"/>
        <w:spacing w:before="120" w:after="120" w:line="240" w:lineRule="auto"/>
        <w:jc w:val="both"/>
        <w:rPr>
          <w:rFonts w:ascii="Arial" w:hAnsi="Arial" w:cs="Arial"/>
          <w:color w:val="000000"/>
          <w:sz w:val="22"/>
          <w:szCs w:val="22"/>
        </w:rPr>
      </w:pPr>
      <w:r w:rsidRPr="00FE4245">
        <w:rPr>
          <w:rFonts w:ascii="Arial" w:hAnsi="Arial" w:cs="Arial"/>
          <w:color w:val="000000"/>
          <w:sz w:val="22"/>
          <w:szCs w:val="22"/>
        </w:rPr>
        <w:t>Health managers and providers should therefore:</w:t>
      </w:r>
    </w:p>
    <w:p w:rsidR="0071027C" w:rsidRPr="00FE4245" w:rsidRDefault="0071027C" w:rsidP="00274941">
      <w:pPr>
        <w:pStyle w:val="Pa26"/>
        <w:numPr>
          <w:ilvl w:val="0"/>
          <w:numId w:val="31"/>
        </w:numPr>
        <w:spacing w:before="120" w:after="120" w:line="240" w:lineRule="auto"/>
        <w:jc w:val="both"/>
        <w:rPr>
          <w:rFonts w:ascii="Arial" w:hAnsi="Arial" w:cs="Arial"/>
          <w:color w:val="000000"/>
          <w:sz w:val="22"/>
          <w:szCs w:val="22"/>
        </w:rPr>
      </w:pPr>
      <w:r w:rsidRPr="00FE4245">
        <w:rPr>
          <w:rFonts w:ascii="Arial" w:hAnsi="Arial" w:cs="Arial"/>
          <w:color w:val="000000"/>
          <w:sz w:val="22"/>
          <w:szCs w:val="22"/>
        </w:rPr>
        <w:t>Ensure good laboratory practice in all aspects of the provision of safe blood, from donation to testing for transfusion-transmissible infections (HIV, hepatitis viruses, syphilis and other infectious agents) to blood grouping to compatibility testing to the issuing of blood.</w:t>
      </w:r>
    </w:p>
    <w:p w:rsidR="0071027C" w:rsidRPr="00FE4245" w:rsidRDefault="0071027C" w:rsidP="00274941">
      <w:pPr>
        <w:widowControl/>
        <w:numPr>
          <w:ilvl w:val="0"/>
          <w:numId w:val="31"/>
        </w:numPr>
        <w:spacing w:before="120" w:after="120" w:line="240" w:lineRule="auto"/>
        <w:jc w:val="both"/>
        <w:rPr>
          <w:rFonts w:ascii="Arial" w:hAnsi="Arial" w:cs="Arial"/>
          <w:color w:val="000000"/>
        </w:rPr>
      </w:pPr>
      <w:r w:rsidRPr="00FE4245">
        <w:rPr>
          <w:rFonts w:ascii="Arial" w:hAnsi="Arial" w:cs="Arial"/>
          <w:color w:val="000000"/>
        </w:rPr>
        <w:t>Reduce unnecessary transfusions through the appropriate clinical use of blood including, where possible, the use of intravenous replacement fluids and other simple alternatives to transfusion.</w:t>
      </w:r>
    </w:p>
    <w:p w:rsidR="0071027C" w:rsidRPr="00FE4245" w:rsidRDefault="0071027C" w:rsidP="0071027C">
      <w:pPr>
        <w:spacing w:before="120" w:after="120" w:line="240" w:lineRule="auto"/>
        <w:rPr>
          <w:rFonts w:ascii="Arial" w:hAnsi="Arial" w:cs="Arial"/>
        </w:rPr>
      </w:pPr>
    </w:p>
    <w:p w:rsidR="0071027C" w:rsidRPr="00FE4245" w:rsidRDefault="0071027C" w:rsidP="0071027C">
      <w:pPr>
        <w:spacing w:before="120" w:after="120" w:line="240" w:lineRule="auto"/>
        <w:rPr>
          <w:rFonts w:ascii="Arial" w:hAnsi="Arial" w:cs="Arial"/>
        </w:rPr>
      </w:pPr>
    </w:p>
    <w:p w:rsidR="0071027C" w:rsidRPr="00FE4245" w:rsidRDefault="0071027C" w:rsidP="0071027C">
      <w:pPr>
        <w:spacing w:before="120" w:after="120" w:line="240" w:lineRule="auto"/>
        <w:rPr>
          <w:rFonts w:ascii="Arial" w:hAnsi="Arial" w:cs="Arial"/>
        </w:rPr>
      </w:pPr>
    </w:p>
    <w:p w:rsidR="0071027C" w:rsidRPr="00FE4245" w:rsidRDefault="0071027C" w:rsidP="0071027C">
      <w:pPr>
        <w:spacing w:before="120" w:after="120" w:line="240" w:lineRule="auto"/>
        <w:rPr>
          <w:rFonts w:ascii="Arial" w:hAnsi="Arial" w:cs="Arial"/>
        </w:rPr>
      </w:pPr>
    </w:p>
    <w:p w:rsidR="0071027C" w:rsidRPr="00FE4245" w:rsidRDefault="0071027C" w:rsidP="0071027C">
      <w:pPr>
        <w:spacing w:before="120" w:after="120" w:line="240" w:lineRule="auto"/>
        <w:rPr>
          <w:rFonts w:ascii="Arial" w:hAnsi="Arial" w:cs="Arial"/>
        </w:rPr>
      </w:pPr>
    </w:p>
    <w:p w:rsidR="0071027C" w:rsidRPr="00FE4245" w:rsidRDefault="0071027C" w:rsidP="0071027C">
      <w:pPr>
        <w:spacing w:before="120" w:after="120" w:line="240" w:lineRule="auto"/>
        <w:rPr>
          <w:rFonts w:ascii="Arial" w:hAnsi="Arial" w:cs="Arial"/>
        </w:rPr>
      </w:pPr>
    </w:p>
    <w:p w:rsidR="0071027C" w:rsidRPr="00FE4245" w:rsidRDefault="0071027C" w:rsidP="0071027C">
      <w:pPr>
        <w:spacing w:before="120" w:after="120" w:line="240" w:lineRule="auto"/>
        <w:rPr>
          <w:rFonts w:ascii="Arial" w:hAnsi="Arial" w:cs="Arial"/>
        </w:rPr>
      </w:pPr>
    </w:p>
    <w:p w:rsidR="0071027C" w:rsidRPr="00FE4245" w:rsidRDefault="0071027C" w:rsidP="0071027C">
      <w:pPr>
        <w:spacing w:before="120" w:after="120" w:line="240" w:lineRule="auto"/>
        <w:rPr>
          <w:rFonts w:ascii="Arial" w:hAnsi="Arial" w:cs="Arial"/>
        </w:rPr>
      </w:pPr>
    </w:p>
    <w:p w:rsidR="0071027C" w:rsidRPr="00FE4245" w:rsidRDefault="0071027C" w:rsidP="0071027C">
      <w:pPr>
        <w:spacing w:before="120" w:after="120" w:line="240" w:lineRule="auto"/>
        <w:rPr>
          <w:rFonts w:ascii="Arial" w:hAnsi="Arial" w:cs="Arial"/>
        </w:rPr>
      </w:pPr>
    </w:p>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1B33E6" w:rsidRPr="00FE1AF6" w:rsidRDefault="001B33E6" w:rsidP="008D51D9">
      <w:pPr>
        <w:pStyle w:val="Heading1"/>
      </w:pPr>
      <w:bookmarkStart w:id="237" w:name="_Toc374967922"/>
      <w:bookmarkStart w:id="238" w:name="_Toc378258145"/>
      <w:bookmarkStart w:id="239" w:name="_Toc373768026"/>
      <w:bookmarkStart w:id="240" w:name="_Toc378258166"/>
      <w:bookmarkStart w:id="241" w:name="_Toc382214029"/>
      <w:r w:rsidRPr="00FE1AF6">
        <w:t>CHAPTER 6:</w:t>
      </w:r>
      <w:r w:rsidRPr="00FE1AF6">
        <w:tab/>
        <w:t>MANAGEMENT OF COMMON SYMPTOMS AND OPPORTUNISTIC INFECTIONS IN HIV AND AIDS IN ADOLESCENTS AND ADULTS</w:t>
      </w:r>
      <w:bookmarkEnd w:id="237"/>
      <w:bookmarkEnd w:id="238"/>
    </w:p>
    <w:p w:rsidR="001B33E6" w:rsidRPr="00A53EEA" w:rsidRDefault="001B33E6" w:rsidP="008D51D9">
      <w:pPr>
        <w:pStyle w:val="Heading2"/>
        <w:spacing w:before="120" w:after="120" w:line="240" w:lineRule="auto"/>
      </w:pPr>
      <w:bookmarkStart w:id="242" w:name="_Toc374967923"/>
      <w:bookmarkStart w:id="243" w:name="_Toc378258146"/>
      <w:r w:rsidRPr="00A53EEA">
        <w:t>6.1. Introduction</w:t>
      </w:r>
      <w:bookmarkEnd w:id="242"/>
      <w:bookmarkEnd w:id="243"/>
    </w:p>
    <w:p w:rsidR="001B33E6" w:rsidRPr="001B33E6" w:rsidRDefault="001B33E6" w:rsidP="00B247C9">
      <w:pPr>
        <w:pStyle w:val="StyleJustifiedCharChar"/>
      </w:pPr>
      <w:r w:rsidRPr="001B33E6">
        <w:t>Antiretroviral treatment (ART) does not provide a cure of HIV/AIDS, but has drastically reduced HIV related morbidity and mortality. This is due to the fact that ART reverses the HIV-induced immune depletion which is responsible for occurrence of different Opportunistic Infections (OIs). Early ART initiation at a CD4 threshold of less than 500 will therefore prevent occurrence of OIs and other co-morbidities. Provision of prophylaxis, prompt diagnosis and adequate treatment of OIs are crucial in improving the quality of life in PLHIV.</w:t>
      </w:r>
    </w:p>
    <w:p w:rsidR="001B33E6" w:rsidRPr="001B33E6" w:rsidRDefault="001B33E6" w:rsidP="00AA771C">
      <w:pPr>
        <w:spacing w:beforeLines="120" w:before="288" w:afterLines="120" w:after="288" w:line="240" w:lineRule="auto"/>
        <w:rPr>
          <w:rFonts w:ascii="Arial" w:eastAsia="Times New Roman" w:hAnsi="Arial" w:cs="Arial"/>
          <w:lang w:val="en-GB"/>
        </w:rPr>
      </w:pPr>
      <w:r w:rsidRPr="001B33E6">
        <w:rPr>
          <w:rFonts w:ascii="Arial" w:eastAsia="Times New Roman" w:hAnsi="Arial" w:cs="Arial"/>
          <w:lang w:val="en-GB"/>
        </w:rPr>
        <w:t>This chapter highlights clinical features and treatment of the common symptoms encountered in persons infected with HIV; prevention of common opportunistic infections; diagnosis and treatment of some opportunistic illnesses seen in persons infected with HIV.</w:t>
      </w:r>
    </w:p>
    <w:p w:rsidR="001B33E6" w:rsidRPr="00C203F3" w:rsidRDefault="001B33E6" w:rsidP="008D51D9">
      <w:pPr>
        <w:pStyle w:val="Heading2"/>
        <w:spacing w:before="120" w:after="120" w:line="240" w:lineRule="auto"/>
      </w:pPr>
      <w:bookmarkStart w:id="244" w:name="_Toc185736138"/>
      <w:bookmarkStart w:id="245" w:name="_Toc185678166"/>
      <w:bookmarkStart w:id="246" w:name="_Toc185677790"/>
      <w:bookmarkStart w:id="247" w:name="_Toc185673451"/>
      <w:bookmarkStart w:id="248" w:name="_Toc185673273"/>
      <w:bookmarkStart w:id="249" w:name="_Toc185658438"/>
      <w:bookmarkStart w:id="250" w:name="_Toc185736136"/>
      <w:bookmarkStart w:id="251" w:name="_Toc185678164"/>
      <w:bookmarkStart w:id="252" w:name="_Toc185677788"/>
      <w:bookmarkStart w:id="253" w:name="_Toc185673449"/>
      <w:bookmarkStart w:id="254" w:name="_Toc185673271"/>
      <w:bookmarkStart w:id="255" w:name="_Toc185658436"/>
      <w:bookmarkStart w:id="256" w:name="_Toc374967924"/>
      <w:bookmarkStart w:id="257" w:name="_Toc378258147"/>
      <w:r w:rsidRPr="00C203F3">
        <w:t>6.2.</w:t>
      </w:r>
      <w:bookmarkEnd w:id="244"/>
      <w:bookmarkEnd w:id="245"/>
      <w:bookmarkEnd w:id="246"/>
      <w:bookmarkEnd w:id="247"/>
      <w:bookmarkEnd w:id="248"/>
      <w:bookmarkEnd w:id="249"/>
      <w:r w:rsidRPr="00C203F3">
        <w:t xml:space="preserve"> Clinical</w:t>
      </w:r>
      <w:r>
        <w:t xml:space="preserve"> Features Commonly Encountered i</w:t>
      </w:r>
      <w:r w:rsidRPr="00C203F3">
        <w:t>n Patients with</w:t>
      </w:r>
      <w:bookmarkStart w:id="258" w:name="_Toc185736137"/>
      <w:bookmarkStart w:id="259" w:name="_Toc185678165"/>
      <w:bookmarkStart w:id="260" w:name="_Toc185677789"/>
      <w:bookmarkStart w:id="261" w:name="_Toc185673450"/>
      <w:bookmarkStart w:id="262" w:name="_Toc185673272"/>
      <w:bookmarkStart w:id="263" w:name="_Toc185658437"/>
      <w:bookmarkEnd w:id="250"/>
      <w:bookmarkEnd w:id="251"/>
      <w:bookmarkEnd w:id="252"/>
      <w:bookmarkEnd w:id="253"/>
      <w:bookmarkEnd w:id="254"/>
      <w:bookmarkEnd w:id="255"/>
      <w:r w:rsidRPr="00C203F3">
        <w:t xml:space="preserve"> HIV and AIDS</w:t>
      </w:r>
      <w:bookmarkEnd w:id="256"/>
      <w:bookmarkEnd w:id="257"/>
      <w:bookmarkEnd w:id="258"/>
      <w:bookmarkEnd w:id="259"/>
      <w:bookmarkEnd w:id="260"/>
      <w:bookmarkEnd w:id="261"/>
      <w:bookmarkEnd w:id="262"/>
      <w:bookmarkEnd w:id="263"/>
    </w:p>
    <w:p w:rsidR="001B33E6" w:rsidRPr="008B7073" w:rsidRDefault="001B33E6" w:rsidP="008D51D9">
      <w:pPr>
        <w:pStyle w:val="Heading3"/>
        <w:rPr>
          <w:szCs w:val="24"/>
        </w:rPr>
      </w:pPr>
      <w:bookmarkStart w:id="264" w:name="_Toc378258148"/>
      <w:r w:rsidRPr="008B7073">
        <w:rPr>
          <w:szCs w:val="24"/>
        </w:rPr>
        <w:t>6.2.1 Fever</w:t>
      </w:r>
      <w:bookmarkEnd w:id="264"/>
    </w:p>
    <w:p w:rsidR="001B33E6" w:rsidRPr="001B33E6" w:rsidRDefault="001B33E6" w:rsidP="00B247C9">
      <w:pPr>
        <w:pStyle w:val="StyleJustifiedCharChar"/>
      </w:pPr>
      <w:r w:rsidRPr="001B33E6">
        <w:t xml:space="preserve">Fever in a patient may be due to a variety of causes. However, the associated clinical features may inform the diagnosis. If no pointing features to a diagnosis are present, as a minimum the following should be done: </w:t>
      </w:r>
    </w:p>
    <w:p w:rsidR="001B33E6" w:rsidRPr="001B33E6" w:rsidRDefault="001B33E6" w:rsidP="00B247C9">
      <w:pPr>
        <w:pStyle w:val="StyleJustifiedCharChar"/>
      </w:pPr>
      <w:r w:rsidRPr="001B33E6">
        <w:t xml:space="preserve">Blood slide for malaria parasites </w:t>
      </w:r>
    </w:p>
    <w:p w:rsidR="001B33E6" w:rsidRPr="001B33E6" w:rsidRDefault="001B33E6" w:rsidP="00B247C9">
      <w:pPr>
        <w:pStyle w:val="StyleJustifiedCharChar"/>
      </w:pPr>
      <w:r w:rsidRPr="001B33E6">
        <w:t>Sputum for microscopy/AFB</w:t>
      </w:r>
    </w:p>
    <w:p w:rsidR="001B33E6" w:rsidRPr="001B33E6" w:rsidRDefault="001B33E6" w:rsidP="00B247C9">
      <w:pPr>
        <w:pStyle w:val="StyleJustifiedCharChar"/>
      </w:pPr>
      <w:r w:rsidRPr="001B33E6">
        <w:t>Chest X-ray</w:t>
      </w:r>
    </w:p>
    <w:p w:rsidR="001B33E6" w:rsidRPr="001B33E6" w:rsidRDefault="001B33E6" w:rsidP="00B247C9">
      <w:pPr>
        <w:pStyle w:val="StyleJustifiedCharChar"/>
      </w:pPr>
      <w:r w:rsidRPr="001B33E6">
        <w:t>Urinalysis</w:t>
      </w:r>
    </w:p>
    <w:p w:rsidR="001B33E6" w:rsidRPr="001B33E6" w:rsidRDefault="001B33E6" w:rsidP="00B247C9">
      <w:pPr>
        <w:pStyle w:val="StyleJustifiedCharChar"/>
      </w:pPr>
      <w:r w:rsidRPr="001B33E6">
        <w:t>FBP&amp; ESR</w:t>
      </w:r>
    </w:p>
    <w:p w:rsidR="001B33E6" w:rsidRPr="001B33E6" w:rsidRDefault="001B33E6" w:rsidP="00B247C9">
      <w:pPr>
        <w:pStyle w:val="StyleJustifiedCharChar"/>
      </w:pPr>
      <w:r w:rsidRPr="001B33E6">
        <w:t>Where facilities are available, and if indicated, the following tests should also be done:</w:t>
      </w:r>
    </w:p>
    <w:p w:rsidR="001B33E6" w:rsidRPr="001B33E6" w:rsidRDefault="001B33E6" w:rsidP="00B247C9">
      <w:pPr>
        <w:pStyle w:val="StyleJustifiedCharChar"/>
      </w:pPr>
      <w:r w:rsidRPr="001B33E6">
        <w:t>Urine culture</w:t>
      </w:r>
    </w:p>
    <w:p w:rsidR="001B33E6" w:rsidRPr="001B33E6" w:rsidRDefault="001B33E6" w:rsidP="00B247C9">
      <w:pPr>
        <w:pStyle w:val="StyleJustifiedCharChar"/>
      </w:pPr>
      <w:r w:rsidRPr="001B33E6">
        <w:t>Sputum culture for MTB</w:t>
      </w:r>
    </w:p>
    <w:p w:rsidR="001B33E6" w:rsidRPr="001B33E6" w:rsidRDefault="001B33E6" w:rsidP="00B247C9">
      <w:pPr>
        <w:pStyle w:val="StyleJustifiedCharChar"/>
      </w:pPr>
      <w:r w:rsidRPr="001B33E6">
        <w:t>Blood culture for TB and other organisms</w:t>
      </w:r>
    </w:p>
    <w:p w:rsidR="001B33E6" w:rsidRPr="001B33E6" w:rsidRDefault="001B33E6" w:rsidP="00B247C9">
      <w:pPr>
        <w:pStyle w:val="StyleJustifiedCharChar"/>
      </w:pPr>
      <w:r w:rsidRPr="001B33E6">
        <w:t>Stool Culture for Salmonella Species</w:t>
      </w:r>
    </w:p>
    <w:p w:rsidR="001B33E6" w:rsidRPr="008B7073" w:rsidRDefault="001B33E6" w:rsidP="008D51D9">
      <w:pPr>
        <w:pStyle w:val="Heading3"/>
      </w:pPr>
      <w:bookmarkStart w:id="265" w:name="_Toc185736139"/>
      <w:bookmarkStart w:id="266" w:name="_Toc185678167"/>
      <w:bookmarkStart w:id="267" w:name="_Toc185677791"/>
      <w:bookmarkStart w:id="268" w:name="_Toc185673452"/>
      <w:bookmarkStart w:id="269" w:name="_Toc185673274"/>
      <w:bookmarkStart w:id="270" w:name="_Toc185658439"/>
      <w:bookmarkStart w:id="271" w:name="_Toc374967925"/>
      <w:bookmarkStart w:id="272" w:name="_Toc378258149"/>
      <w:r w:rsidRPr="008B7073">
        <w:t xml:space="preserve">6.2.2. Cough </w:t>
      </w:r>
      <w:bookmarkEnd w:id="265"/>
      <w:bookmarkEnd w:id="266"/>
      <w:bookmarkEnd w:id="267"/>
      <w:bookmarkEnd w:id="268"/>
      <w:bookmarkEnd w:id="269"/>
      <w:bookmarkEnd w:id="270"/>
      <w:r w:rsidRPr="008B7073">
        <w:t>and Shortness of Breath</w:t>
      </w:r>
      <w:bookmarkEnd w:id="271"/>
      <w:bookmarkEnd w:id="272"/>
    </w:p>
    <w:p w:rsidR="001B33E6" w:rsidRPr="001B33E6" w:rsidRDefault="001B33E6" w:rsidP="00B247C9">
      <w:pPr>
        <w:pStyle w:val="StyleJustifiedCharChar"/>
      </w:pPr>
      <w:r w:rsidRPr="001B33E6">
        <w:t>Persistent cough and or shortness of breath can usually be attributed to one of the following:</w:t>
      </w:r>
    </w:p>
    <w:p w:rsidR="001B33E6" w:rsidRPr="001B33E6" w:rsidRDefault="001B33E6" w:rsidP="00B247C9">
      <w:pPr>
        <w:pStyle w:val="StyleJustifiedCharChar"/>
      </w:pPr>
      <w:r w:rsidRPr="001B33E6">
        <w:t>Pulmonary TB/pleural effusion, commonly due to TB</w:t>
      </w:r>
    </w:p>
    <w:p w:rsidR="001B33E6" w:rsidRPr="001B33E6" w:rsidRDefault="001B33E6" w:rsidP="00B247C9">
      <w:pPr>
        <w:pStyle w:val="StyleJustifiedCharChar"/>
      </w:pPr>
      <w:r w:rsidRPr="001B33E6">
        <w:t>Bacterial pneumonia</w:t>
      </w:r>
    </w:p>
    <w:p w:rsidR="001B33E6" w:rsidRPr="001B33E6" w:rsidRDefault="001B33E6" w:rsidP="00B247C9">
      <w:pPr>
        <w:pStyle w:val="StyleJustifiedCharChar"/>
      </w:pPr>
      <w:r w:rsidRPr="001B33E6">
        <w:t>Pnemoscystis Jiroveci Pneumonia (PCP)</w:t>
      </w:r>
    </w:p>
    <w:p w:rsidR="001B33E6" w:rsidRPr="001B33E6" w:rsidRDefault="001B33E6" w:rsidP="00B247C9">
      <w:pPr>
        <w:pStyle w:val="StyleJustifiedCharChar"/>
      </w:pPr>
      <w:r w:rsidRPr="001B33E6">
        <w:t>Pulmonary Kaposi’s sarcoma</w:t>
      </w:r>
    </w:p>
    <w:p w:rsidR="001B33E6" w:rsidRPr="001B33E6" w:rsidRDefault="001B33E6" w:rsidP="00B247C9">
      <w:pPr>
        <w:pStyle w:val="StyleJustifiedCharChar"/>
      </w:pPr>
      <w:r w:rsidRPr="001B33E6">
        <w:t>Viral pneumonia</w:t>
      </w:r>
    </w:p>
    <w:p w:rsidR="001B33E6" w:rsidRPr="001B33E6" w:rsidRDefault="001B33E6" w:rsidP="00B247C9">
      <w:pPr>
        <w:pStyle w:val="StyleJustifiedCharChar"/>
      </w:pPr>
      <w:r w:rsidRPr="001B33E6">
        <w:t>Disseminated pulmonary stronglydosis</w:t>
      </w:r>
    </w:p>
    <w:p w:rsidR="001B33E6" w:rsidRPr="001B33E6" w:rsidRDefault="001B33E6" w:rsidP="00B247C9">
      <w:pPr>
        <w:pStyle w:val="StyleJustifiedCharChar"/>
      </w:pPr>
      <w:r w:rsidRPr="001B33E6">
        <w:t>Cardiac failure, commonly due to dilated cardiomyopathy</w:t>
      </w:r>
    </w:p>
    <w:p w:rsidR="001B33E6" w:rsidRPr="001B33E6" w:rsidRDefault="001B33E6" w:rsidP="00B247C9">
      <w:pPr>
        <w:pStyle w:val="StyleJustifiedCharChar"/>
      </w:pPr>
      <w:r w:rsidRPr="001B33E6">
        <w:t>Pericardial effusion, commonly due to TB</w:t>
      </w:r>
    </w:p>
    <w:p w:rsidR="001B33E6" w:rsidRPr="001B33E6" w:rsidRDefault="001B33E6" w:rsidP="00B247C9">
      <w:pPr>
        <w:pStyle w:val="StyleJustifiedCharChar"/>
      </w:pPr>
      <w:r w:rsidRPr="001B33E6">
        <w:t>Sometimes, it may not be possible to determine the underlying cause of cough and dyspnoea on clinical history and physical examination alone. At such times, laboratory tests may be of critical value. The recommended laboratory investigations include:</w:t>
      </w:r>
    </w:p>
    <w:p w:rsidR="001B33E6" w:rsidRPr="001B33E6" w:rsidRDefault="001B33E6" w:rsidP="00B247C9">
      <w:pPr>
        <w:pStyle w:val="StyleJustifiedCharChar"/>
      </w:pPr>
      <w:r w:rsidRPr="001B33E6">
        <w:t>Sputum for microscopy/AFB x 2 (can be done at all levels)</w:t>
      </w:r>
    </w:p>
    <w:p w:rsidR="001B33E6" w:rsidRPr="001B33E6" w:rsidRDefault="001B33E6" w:rsidP="00B247C9">
      <w:pPr>
        <w:pStyle w:val="StyleJustifiedCharChar"/>
      </w:pPr>
      <w:r w:rsidRPr="001B33E6">
        <w:t>Sputum for pyogenic culture and sensitivity</w:t>
      </w:r>
    </w:p>
    <w:p w:rsidR="001B33E6" w:rsidRPr="001B33E6" w:rsidRDefault="001B33E6" w:rsidP="00B247C9">
      <w:pPr>
        <w:pStyle w:val="StyleJustifiedCharChar"/>
      </w:pPr>
      <w:r w:rsidRPr="001B33E6">
        <w:t>Chest x-ray</w:t>
      </w:r>
      <w:r w:rsidRPr="001B33E6">
        <w:tab/>
      </w:r>
    </w:p>
    <w:p w:rsidR="001B33E6" w:rsidRPr="001B33E6" w:rsidRDefault="001B33E6" w:rsidP="00B247C9">
      <w:pPr>
        <w:pStyle w:val="StyleJustifiedCharChar"/>
      </w:pPr>
      <w:r w:rsidRPr="001B33E6">
        <w:t>Bronchoscopy (consultant hospitals)</w:t>
      </w:r>
    </w:p>
    <w:p w:rsidR="001B33E6" w:rsidRPr="001B33E6" w:rsidRDefault="001B33E6" w:rsidP="00B247C9">
      <w:pPr>
        <w:pStyle w:val="StyleJustifiedCharChar"/>
      </w:pPr>
      <w:r w:rsidRPr="001B33E6">
        <w:t>ElectroCardioGram (ECG) and Echocardiography (where available)</w:t>
      </w:r>
    </w:p>
    <w:p w:rsidR="001B33E6" w:rsidRPr="001B33E6" w:rsidRDefault="001B33E6" w:rsidP="00B247C9">
      <w:pPr>
        <w:pStyle w:val="StyleJustifiedCharChar"/>
      </w:pPr>
      <w:r w:rsidRPr="001B33E6">
        <w:t>FBP and ESR</w:t>
      </w:r>
    </w:p>
    <w:p w:rsidR="001B33E6" w:rsidRPr="001B33E6" w:rsidRDefault="001B33E6" w:rsidP="00B247C9">
      <w:pPr>
        <w:pStyle w:val="StyleJustifiedCharChar"/>
      </w:pPr>
      <w:r w:rsidRPr="001B33E6">
        <w:t>Oxygen saturation using pulse oximeter in PCP cases</w:t>
      </w:r>
      <w:bookmarkStart w:id="273" w:name="_Toc185736140"/>
      <w:bookmarkStart w:id="274" w:name="_Toc185678168"/>
      <w:bookmarkStart w:id="275" w:name="_Toc185677792"/>
      <w:bookmarkStart w:id="276" w:name="_Toc185673453"/>
      <w:bookmarkStart w:id="277" w:name="_Toc185673275"/>
      <w:bookmarkStart w:id="278" w:name="_Toc185658440"/>
    </w:p>
    <w:p w:rsidR="001B33E6" w:rsidRPr="008B7073" w:rsidRDefault="001B33E6" w:rsidP="008D51D9">
      <w:pPr>
        <w:pStyle w:val="Heading3"/>
      </w:pPr>
      <w:bookmarkStart w:id="279" w:name="_Toc374967926"/>
      <w:bookmarkStart w:id="280" w:name="_Toc378258150"/>
      <w:r w:rsidRPr="008B7073">
        <w:t>6.2.3. Oral, Oropharyngeal and Oesophageal Candidiasis</w:t>
      </w:r>
      <w:bookmarkEnd w:id="273"/>
      <w:bookmarkEnd w:id="274"/>
      <w:bookmarkEnd w:id="275"/>
      <w:bookmarkEnd w:id="276"/>
      <w:bookmarkEnd w:id="277"/>
      <w:bookmarkEnd w:id="278"/>
      <w:bookmarkEnd w:id="279"/>
      <w:bookmarkEnd w:id="280"/>
    </w:p>
    <w:p w:rsidR="001B33E6" w:rsidRPr="001B33E6" w:rsidRDefault="001B33E6" w:rsidP="00B247C9">
      <w:pPr>
        <w:pStyle w:val="StyleJustifiedCharChar"/>
      </w:pPr>
      <w:r w:rsidRPr="001B33E6">
        <w:t>Patients with oropharyngeal and oesophageal candidiasis may complain of pain and/or difficulty in swallowing, which may be due to infection of the esophagus with Candida. On examination white painless plaque (“curd like”) on buccal or pharyngeal mucosa or tongue surface that can easily be scrapped off will be seen. Where available, a barium swallow X-ray can be performed. For treatment, any of the following may be used:</w:t>
      </w:r>
    </w:p>
    <w:p w:rsidR="001B33E6" w:rsidRPr="001B33E6" w:rsidRDefault="001B33E6" w:rsidP="00B247C9">
      <w:pPr>
        <w:pStyle w:val="StyleJustifiedCharChar"/>
      </w:pPr>
      <w:r w:rsidRPr="001B33E6">
        <w:t xml:space="preserve">Fluconazole orally </w:t>
      </w:r>
    </w:p>
    <w:p w:rsidR="001B33E6" w:rsidRPr="001B33E6" w:rsidRDefault="001B33E6" w:rsidP="00B247C9">
      <w:pPr>
        <w:pStyle w:val="StyleJustifiedCharChar"/>
      </w:pPr>
      <w:r w:rsidRPr="001B33E6">
        <w:t>Miconazole</w:t>
      </w:r>
    </w:p>
    <w:p w:rsidR="001B33E6" w:rsidRPr="001B33E6" w:rsidRDefault="001B33E6" w:rsidP="00B247C9">
      <w:pPr>
        <w:pStyle w:val="StyleJustifiedCharChar"/>
      </w:pPr>
      <w:r w:rsidRPr="001B33E6">
        <w:t>Nystatin oral suspension,</w:t>
      </w:r>
    </w:p>
    <w:p w:rsidR="001B33E6" w:rsidRPr="001B33E6" w:rsidRDefault="001B33E6" w:rsidP="00B247C9">
      <w:pPr>
        <w:pStyle w:val="StyleJustifiedCharChar"/>
      </w:pPr>
      <w:r w:rsidRPr="001B33E6">
        <w:t xml:space="preserve">Clotrimazole oral </w:t>
      </w:r>
    </w:p>
    <w:p w:rsidR="001B33E6" w:rsidRPr="001B33E6" w:rsidRDefault="001B33E6" w:rsidP="00B247C9">
      <w:pPr>
        <w:pStyle w:val="StyleJustifiedCharChar"/>
      </w:pPr>
      <w:r w:rsidRPr="001B33E6">
        <w:t xml:space="preserve">2% sodium benzoate or Gentian violet solution </w:t>
      </w:r>
    </w:p>
    <w:p w:rsidR="001B33E6" w:rsidRPr="008B7073" w:rsidRDefault="001B33E6" w:rsidP="008D51D9">
      <w:pPr>
        <w:pStyle w:val="Heading3"/>
      </w:pPr>
      <w:bookmarkStart w:id="281" w:name="_Toc374967927"/>
      <w:bookmarkStart w:id="282" w:name="_Toc378258151"/>
      <w:bookmarkStart w:id="283" w:name="_Toc185736141"/>
      <w:bookmarkStart w:id="284" w:name="_Toc185678169"/>
      <w:bookmarkStart w:id="285" w:name="_Toc185677793"/>
      <w:bookmarkStart w:id="286" w:name="_Toc185673454"/>
      <w:bookmarkStart w:id="287" w:name="_Toc185673276"/>
      <w:bookmarkStart w:id="288" w:name="_Toc185658441"/>
      <w:r w:rsidRPr="008B7073">
        <w:t>6.2.4. Candidiasis in the Oesophagus, Trachea, Bronchi or Lungs is Diagnostic of AIDS</w:t>
      </w:r>
      <w:bookmarkEnd w:id="281"/>
      <w:bookmarkEnd w:id="282"/>
    </w:p>
    <w:p w:rsidR="001B33E6" w:rsidRPr="001B33E6" w:rsidRDefault="001B33E6" w:rsidP="00B247C9">
      <w:pPr>
        <w:pStyle w:val="StyleJustifiedCharChar"/>
      </w:pPr>
      <w:r w:rsidRPr="001B33E6">
        <w:t>The following drugs are recommended for the treatment of Candidiasis:</w:t>
      </w:r>
    </w:p>
    <w:p w:rsidR="001B33E6" w:rsidRPr="001B33E6" w:rsidRDefault="001B33E6" w:rsidP="00B247C9">
      <w:pPr>
        <w:pStyle w:val="StyleJustifiedCharChar"/>
      </w:pPr>
      <w:r w:rsidRPr="001B33E6">
        <w:t xml:space="preserve">Miconazole nitrate </w:t>
      </w:r>
    </w:p>
    <w:p w:rsidR="001B33E6" w:rsidRPr="001B33E6" w:rsidRDefault="001B33E6" w:rsidP="00B247C9">
      <w:pPr>
        <w:pStyle w:val="StyleJustifiedCharChar"/>
      </w:pPr>
      <w:r w:rsidRPr="001B33E6">
        <w:t>Clotrimazole</w:t>
      </w:r>
    </w:p>
    <w:p w:rsidR="001B33E6" w:rsidRPr="001B33E6" w:rsidRDefault="001B33E6" w:rsidP="00B247C9">
      <w:pPr>
        <w:pStyle w:val="StyleJustifiedCharChar"/>
      </w:pPr>
      <w:r w:rsidRPr="001B33E6">
        <w:t>2% sodium benzoate solution</w:t>
      </w:r>
    </w:p>
    <w:p w:rsidR="001B33E6" w:rsidRPr="001B33E6" w:rsidRDefault="001B33E6" w:rsidP="00B247C9">
      <w:pPr>
        <w:pStyle w:val="StyleJustifiedCharChar"/>
      </w:pPr>
      <w:r w:rsidRPr="001B33E6">
        <w:t>Nystatin oral suspension</w:t>
      </w:r>
    </w:p>
    <w:p w:rsidR="001B33E6" w:rsidRPr="001B33E6" w:rsidRDefault="001B33E6" w:rsidP="00B247C9">
      <w:pPr>
        <w:pStyle w:val="StyleJustifiedCharChar"/>
      </w:pPr>
      <w:r w:rsidRPr="001B33E6">
        <w:t>Fluconazole 150mg/day or 200mg/day for 2-3 weeks (for oro-pharyngeal candidiasis and others)</w:t>
      </w:r>
    </w:p>
    <w:p w:rsidR="001B33E6" w:rsidRPr="001B33E6" w:rsidRDefault="001B33E6" w:rsidP="00B247C9">
      <w:pPr>
        <w:pStyle w:val="StyleJustifiedCharChar"/>
      </w:pPr>
      <w:r w:rsidRPr="001B33E6">
        <w:t>Note: Treatment should be continued until symptoms resolve.</w:t>
      </w:r>
    </w:p>
    <w:p w:rsidR="001B33E6" w:rsidRPr="008B7073" w:rsidRDefault="001B33E6" w:rsidP="008D51D9">
      <w:pPr>
        <w:pStyle w:val="Heading3"/>
      </w:pPr>
      <w:bookmarkStart w:id="289" w:name="_Toc374967928"/>
      <w:bookmarkStart w:id="290" w:name="_Toc378258152"/>
      <w:r w:rsidRPr="008B7073">
        <w:t>6.2.5. Vaginal Candidiasis</w:t>
      </w:r>
      <w:bookmarkEnd w:id="283"/>
      <w:bookmarkEnd w:id="284"/>
      <w:bookmarkEnd w:id="285"/>
      <w:bookmarkEnd w:id="286"/>
      <w:bookmarkEnd w:id="287"/>
      <w:bookmarkEnd w:id="288"/>
      <w:bookmarkEnd w:id="289"/>
      <w:bookmarkEnd w:id="290"/>
    </w:p>
    <w:p w:rsidR="001B33E6" w:rsidRPr="001B33E6" w:rsidRDefault="001B33E6" w:rsidP="00B247C9">
      <w:pPr>
        <w:pStyle w:val="StyleJustifiedCharChar"/>
      </w:pPr>
      <w:r w:rsidRPr="001B33E6">
        <w:t>This is one of the common illnesses presenting with itchy (curd-like) discharge. The diagnosis is largely clinical, and it can be managed with:</w:t>
      </w:r>
    </w:p>
    <w:p w:rsidR="001B33E6" w:rsidRPr="001B33E6" w:rsidRDefault="001B33E6" w:rsidP="00B247C9">
      <w:pPr>
        <w:pStyle w:val="StyleJustifiedCharChar"/>
      </w:pPr>
      <w:r w:rsidRPr="001B33E6">
        <w:t>Clotrimazolepessaries</w:t>
      </w:r>
    </w:p>
    <w:p w:rsidR="001B33E6" w:rsidRPr="001B33E6" w:rsidRDefault="001B33E6" w:rsidP="00B247C9">
      <w:pPr>
        <w:pStyle w:val="StyleJustifiedCharChar"/>
      </w:pPr>
      <w:r w:rsidRPr="001B33E6">
        <w:t>Miconazolepessaries</w:t>
      </w:r>
    </w:p>
    <w:p w:rsidR="001B33E6" w:rsidRPr="001B33E6" w:rsidRDefault="001B33E6" w:rsidP="00B247C9">
      <w:pPr>
        <w:pStyle w:val="StyleJustifiedCharChar"/>
      </w:pPr>
      <w:r w:rsidRPr="001B33E6">
        <w:t>Fluconazole taken orally (in case of pessaries failure)</w:t>
      </w:r>
    </w:p>
    <w:p w:rsidR="001B33E6" w:rsidRPr="008B7073" w:rsidRDefault="001B33E6" w:rsidP="008D51D9">
      <w:pPr>
        <w:pStyle w:val="Heading3"/>
      </w:pPr>
      <w:bookmarkStart w:id="291" w:name="_Toc185736142"/>
      <w:bookmarkStart w:id="292" w:name="_Toc185678170"/>
      <w:bookmarkStart w:id="293" w:name="_Toc185677794"/>
      <w:bookmarkStart w:id="294" w:name="_Toc185673455"/>
      <w:bookmarkStart w:id="295" w:name="_Toc185673277"/>
      <w:bookmarkStart w:id="296" w:name="_Toc185658442"/>
      <w:bookmarkStart w:id="297" w:name="_Toc374967929"/>
      <w:bookmarkStart w:id="298" w:name="_Toc378258153"/>
      <w:r w:rsidRPr="008B7073">
        <w:t>6.2.6. Weight Loss</w:t>
      </w:r>
      <w:bookmarkEnd w:id="291"/>
      <w:bookmarkEnd w:id="292"/>
      <w:bookmarkEnd w:id="293"/>
      <w:bookmarkEnd w:id="294"/>
      <w:bookmarkEnd w:id="295"/>
      <w:bookmarkEnd w:id="296"/>
      <w:bookmarkEnd w:id="297"/>
      <w:bookmarkEnd w:id="298"/>
    </w:p>
    <w:p w:rsidR="001B33E6" w:rsidRPr="001B33E6" w:rsidRDefault="001B33E6" w:rsidP="00B247C9">
      <w:pPr>
        <w:pStyle w:val="StyleJustifiedCharChar"/>
      </w:pPr>
      <w:r w:rsidRPr="001B33E6">
        <w:t>Weight loss in persons with HIV induced illnesses may be due to:</w:t>
      </w:r>
    </w:p>
    <w:p w:rsidR="001B33E6" w:rsidRPr="001B33E6" w:rsidRDefault="001B33E6" w:rsidP="00B247C9">
      <w:pPr>
        <w:pStyle w:val="StyleJustifiedCharChar"/>
      </w:pPr>
      <w:r w:rsidRPr="001B33E6">
        <w:t>Reduced food intake</w:t>
      </w:r>
    </w:p>
    <w:p w:rsidR="001B33E6" w:rsidRPr="001B33E6" w:rsidRDefault="001B33E6" w:rsidP="00B247C9">
      <w:pPr>
        <w:pStyle w:val="StyleJustifiedCharChar"/>
      </w:pPr>
      <w:r w:rsidRPr="001B33E6">
        <w:t>Difficult/painful swallowing</w:t>
      </w:r>
    </w:p>
    <w:p w:rsidR="001B33E6" w:rsidRPr="001B33E6" w:rsidRDefault="001B33E6" w:rsidP="00B247C9">
      <w:pPr>
        <w:pStyle w:val="StyleJustifiedCharChar"/>
      </w:pPr>
      <w:r w:rsidRPr="001B33E6">
        <w:t>Diminished gastrointestinal uptake (malabsorption, diarrhoea)</w:t>
      </w:r>
    </w:p>
    <w:p w:rsidR="001B33E6" w:rsidRPr="001B33E6" w:rsidRDefault="001B33E6" w:rsidP="00B247C9">
      <w:pPr>
        <w:pStyle w:val="StyleJustifiedCharChar"/>
      </w:pPr>
      <w:r w:rsidRPr="001B33E6">
        <w:t>TB (a frequent cause of rapid weight loss)</w:t>
      </w:r>
    </w:p>
    <w:p w:rsidR="001B33E6" w:rsidRPr="001B33E6" w:rsidRDefault="001B33E6" w:rsidP="00B247C9">
      <w:pPr>
        <w:pStyle w:val="StyleJustifiedCharChar"/>
      </w:pPr>
      <w:r w:rsidRPr="001B33E6">
        <w:t>Intestinal worms</w:t>
      </w:r>
    </w:p>
    <w:p w:rsidR="001B33E6" w:rsidRPr="001B33E6" w:rsidRDefault="001B33E6" w:rsidP="00B247C9">
      <w:pPr>
        <w:pStyle w:val="StyleJustifiedCharChar"/>
      </w:pPr>
      <w:r w:rsidRPr="001B33E6">
        <w:t>Other concomitant debilitating diseases such as cancer</w:t>
      </w:r>
    </w:p>
    <w:p w:rsidR="001B33E6" w:rsidRPr="001B33E6" w:rsidRDefault="001B33E6" w:rsidP="00B247C9">
      <w:pPr>
        <w:pStyle w:val="StyleJustifiedCharChar"/>
      </w:pPr>
      <w:r w:rsidRPr="001B33E6">
        <w:t>Intractable vomiting</w:t>
      </w:r>
    </w:p>
    <w:p w:rsidR="001B33E6" w:rsidRPr="001B33E6" w:rsidRDefault="001B33E6" w:rsidP="00B247C9">
      <w:pPr>
        <w:pStyle w:val="StyleJustifiedCharChar"/>
      </w:pPr>
      <w:r w:rsidRPr="001B33E6">
        <w:t>HIV itself</w:t>
      </w:r>
    </w:p>
    <w:p w:rsidR="001B33E6" w:rsidRPr="001B33E6" w:rsidRDefault="001B33E6" w:rsidP="00B247C9">
      <w:pPr>
        <w:pStyle w:val="StyleJustifiedCharChar"/>
      </w:pPr>
      <w:r w:rsidRPr="001B33E6">
        <w:t>The treatment of weight loss includes:</w:t>
      </w:r>
    </w:p>
    <w:p w:rsidR="001B33E6" w:rsidRPr="001B33E6" w:rsidRDefault="001B33E6" w:rsidP="00B247C9">
      <w:pPr>
        <w:pStyle w:val="StyleJustifiedCharChar"/>
      </w:pPr>
      <w:r w:rsidRPr="001B33E6">
        <w:t>Provision of Therapeutic foods (e.g. Plumpy Nut or fortified blended flour)</w:t>
      </w:r>
    </w:p>
    <w:p w:rsidR="001B33E6" w:rsidRPr="001B33E6" w:rsidRDefault="001B33E6" w:rsidP="00B247C9">
      <w:pPr>
        <w:pStyle w:val="StyleJustifiedCharChar"/>
      </w:pPr>
      <w:r w:rsidRPr="001B33E6">
        <w:t xml:space="preserve">High calorie and protein foods </w:t>
      </w:r>
    </w:p>
    <w:p w:rsidR="001B33E6" w:rsidRPr="001B33E6" w:rsidRDefault="001B33E6" w:rsidP="00B247C9">
      <w:pPr>
        <w:pStyle w:val="StyleJustifiedCharChar"/>
      </w:pPr>
      <w:r w:rsidRPr="001B33E6">
        <w:t>Treatment of the underlying cause (for further reading see Chapter 13)</w:t>
      </w:r>
    </w:p>
    <w:p w:rsidR="001B33E6" w:rsidRPr="008B7073" w:rsidRDefault="001B33E6" w:rsidP="008D51D9">
      <w:pPr>
        <w:pStyle w:val="Heading3"/>
      </w:pPr>
      <w:bookmarkStart w:id="299" w:name="_Toc374967930"/>
      <w:bookmarkStart w:id="300" w:name="_Toc378258154"/>
      <w:r w:rsidRPr="008B7073">
        <w:t>6.2.7. Diarrhoea</w:t>
      </w:r>
      <w:bookmarkEnd w:id="299"/>
      <w:bookmarkEnd w:id="300"/>
    </w:p>
    <w:p w:rsidR="001B33E6" w:rsidRPr="001B33E6" w:rsidRDefault="001B33E6" w:rsidP="00B247C9">
      <w:pPr>
        <w:pStyle w:val="StyleJustifiedCharChar"/>
      </w:pPr>
      <w:r w:rsidRPr="001B33E6">
        <w:t xml:space="preserve">Diarrhoea in persons with HIV induced illnesses may have a variety of causes including: </w:t>
      </w:r>
    </w:p>
    <w:p w:rsidR="001B33E6" w:rsidRPr="001B33E6" w:rsidRDefault="001B33E6" w:rsidP="00B247C9">
      <w:pPr>
        <w:pStyle w:val="StyleJustifiedCharChar"/>
      </w:pPr>
      <w:r w:rsidRPr="001B33E6">
        <w:t>Common pathogens such as Salmonella or Shigella</w:t>
      </w:r>
    </w:p>
    <w:p w:rsidR="001B33E6" w:rsidRPr="001B33E6" w:rsidRDefault="001B33E6" w:rsidP="00B247C9">
      <w:pPr>
        <w:pStyle w:val="StyleJustifiedCharChar"/>
      </w:pPr>
      <w:r w:rsidRPr="001B33E6">
        <w:t>Amoebiasis</w:t>
      </w:r>
    </w:p>
    <w:p w:rsidR="001B33E6" w:rsidRPr="001B33E6" w:rsidRDefault="001B33E6" w:rsidP="00B247C9">
      <w:pPr>
        <w:pStyle w:val="StyleJustifiedCharChar"/>
      </w:pPr>
      <w:r w:rsidRPr="001B33E6">
        <w:t>Chronic malabsorption</w:t>
      </w:r>
    </w:p>
    <w:p w:rsidR="001B33E6" w:rsidRPr="001B33E6" w:rsidRDefault="001B33E6" w:rsidP="00B247C9">
      <w:pPr>
        <w:pStyle w:val="StyleJustifiedCharChar"/>
      </w:pPr>
      <w:r w:rsidRPr="001B33E6">
        <w:t>Cryptosporidiosis</w:t>
      </w:r>
    </w:p>
    <w:p w:rsidR="001B33E6" w:rsidRPr="001B33E6" w:rsidRDefault="001B33E6" w:rsidP="00B247C9">
      <w:pPr>
        <w:pStyle w:val="StyleJustifiedCharChar"/>
      </w:pPr>
      <w:r w:rsidRPr="001B33E6">
        <w:t>Mycobacterium Avium Complex (MAC) infection</w:t>
      </w:r>
    </w:p>
    <w:p w:rsidR="001B33E6" w:rsidRPr="001B33E6" w:rsidRDefault="001B33E6" w:rsidP="00B247C9">
      <w:pPr>
        <w:pStyle w:val="StyleJustifiedCharChar"/>
      </w:pPr>
      <w:r w:rsidRPr="001B33E6">
        <w:t>Isosporidiosis.</w:t>
      </w:r>
    </w:p>
    <w:p w:rsidR="001B33E6" w:rsidRPr="001B33E6" w:rsidRDefault="001B33E6" w:rsidP="00B247C9">
      <w:pPr>
        <w:pStyle w:val="StyleJustifiedCharChar"/>
      </w:pPr>
      <w:r w:rsidRPr="001B33E6">
        <w:t>Clostridium difficile infection</w:t>
      </w:r>
    </w:p>
    <w:p w:rsidR="001B33E6" w:rsidRPr="001B33E6" w:rsidRDefault="001B33E6" w:rsidP="00B247C9">
      <w:pPr>
        <w:pStyle w:val="StyleJustifiedCharChar"/>
      </w:pPr>
      <w:r w:rsidRPr="001B33E6">
        <w:t>Investigations:</w:t>
      </w:r>
    </w:p>
    <w:p w:rsidR="001B33E6" w:rsidRPr="001B33E6" w:rsidRDefault="001B33E6" w:rsidP="00B247C9">
      <w:pPr>
        <w:pStyle w:val="StyleJustifiedCharChar"/>
        <w:rPr>
          <w:i/>
        </w:rPr>
      </w:pPr>
      <w:r w:rsidRPr="001B33E6">
        <w:t xml:space="preserve">Examine stools for Culture and microscopy for treatable causes e.g. </w:t>
      </w:r>
      <w:r w:rsidRPr="001B33E6">
        <w:rPr>
          <w:i/>
        </w:rPr>
        <w:t xml:space="preserve">Salmonella, Shigella, </w:t>
      </w:r>
      <w:r w:rsidRPr="001B33E6">
        <w:t xml:space="preserve">V.cholerae, Amoeba, </w:t>
      </w:r>
      <w:r w:rsidRPr="001B33E6">
        <w:rPr>
          <w:i/>
        </w:rPr>
        <w:t>Mycobacterium AviumAomplex</w:t>
      </w:r>
      <w:r w:rsidRPr="001B33E6">
        <w:t xml:space="preserve"> (MAC) and </w:t>
      </w:r>
      <w:r w:rsidRPr="001B33E6">
        <w:rPr>
          <w:i/>
        </w:rPr>
        <w:t>Isospora.</w:t>
      </w:r>
    </w:p>
    <w:p w:rsidR="001B33E6" w:rsidRPr="001B33E6" w:rsidRDefault="001B33E6" w:rsidP="00B247C9">
      <w:pPr>
        <w:pStyle w:val="StyleJustifiedCharChar"/>
      </w:pPr>
    </w:p>
    <w:p w:rsidR="001B33E6" w:rsidRPr="001B33E6" w:rsidRDefault="001B33E6" w:rsidP="00B247C9">
      <w:pPr>
        <w:pStyle w:val="StyleJustifiedCharChar"/>
      </w:pPr>
      <w:r w:rsidRPr="001B33E6">
        <w:t xml:space="preserve">Diarrhoea can be treated in the following ways: </w:t>
      </w:r>
    </w:p>
    <w:p w:rsidR="001B33E6" w:rsidRPr="001B33E6" w:rsidRDefault="001B33E6" w:rsidP="00B247C9">
      <w:pPr>
        <w:pStyle w:val="StyleJustifiedCharChar"/>
      </w:pPr>
      <w:r w:rsidRPr="001B33E6">
        <w:t>Rehydration with Oral Rehydration Salts (ORS) or Intravenous (IV) fluids</w:t>
      </w:r>
    </w:p>
    <w:p w:rsidR="001B33E6" w:rsidRPr="001B33E6" w:rsidRDefault="001B33E6" w:rsidP="00B247C9">
      <w:pPr>
        <w:pStyle w:val="StyleJustifiedCharChar"/>
      </w:pPr>
      <w:r w:rsidRPr="001B33E6">
        <w:t>Treatment of underlying causes</w:t>
      </w:r>
    </w:p>
    <w:p w:rsidR="001B33E6" w:rsidRPr="001B33E6" w:rsidRDefault="001B33E6" w:rsidP="00B247C9">
      <w:pPr>
        <w:pStyle w:val="StyleJustifiedCharChar"/>
      </w:pPr>
      <w:r w:rsidRPr="001B33E6">
        <w:t>Nutritional therapy (see details in chapter 13)</w:t>
      </w:r>
    </w:p>
    <w:p w:rsidR="001B33E6" w:rsidRPr="001B33E6" w:rsidRDefault="001B33E6" w:rsidP="00B247C9">
      <w:pPr>
        <w:pStyle w:val="StyleJustifiedCharChar"/>
      </w:pPr>
      <w:r w:rsidRPr="001B33E6">
        <w:t>Anti-diarrhoeal drugs such as Loperamide (in persistent diarrhoea among adults with no obvious treatable causes)</w:t>
      </w:r>
    </w:p>
    <w:p w:rsidR="001B33E6" w:rsidRPr="001B33E6" w:rsidRDefault="001B33E6" w:rsidP="00B247C9">
      <w:pPr>
        <w:pStyle w:val="StyleJustifiedCharChar"/>
      </w:pPr>
      <w:r w:rsidRPr="001B33E6">
        <w:t>Note: However, starting ART as per eligibility criteria is often the best treatment for persistent /resistant diarrhoea (particularly cryptosporidiosis)</w:t>
      </w:r>
    </w:p>
    <w:p w:rsidR="001B33E6" w:rsidRPr="008B7073" w:rsidRDefault="001B33E6" w:rsidP="008D51D9">
      <w:pPr>
        <w:pStyle w:val="Heading3"/>
      </w:pPr>
      <w:bookmarkStart w:id="301" w:name="_Toc374967931"/>
      <w:bookmarkStart w:id="302" w:name="_Toc378258155"/>
      <w:r w:rsidRPr="008B7073">
        <w:t>6.2.8. Persistent Generalized Lymphadenopathy (PGL)</w:t>
      </w:r>
      <w:bookmarkEnd w:id="301"/>
      <w:bookmarkEnd w:id="302"/>
    </w:p>
    <w:p w:rsidR="001B33E6" w:rsidRPr="001B33E6" w:rsidRDefault="001B33E6" w:rsidP="00B247C9">
      <w:pPr>
        <w:pStyle w:val="StyleJustifiedCharChar"/>
      </w:pPr>
      <w:r w:rsidRPr="001B33E6">
        <w:t>Lymphadenopathy may be due to a number of causes including the following:</w:t>
      </w:r>
    </w:p>
    <w:p w:rsidR="001B33E6" w:rsidRPr="001B33E6" w:rsidRDefault="001B33E6" w:rsidP="00B247C9">
      <w:pPr>
        <w:pStyle w:val="StyleJustifiedCharChar"/>
      </w:pPr>
      <w:r w:rsidRPr="001B33E6">
        <w:t xml:space="preserve">HIV </w:t>
      </w:r>
    </w:p>
    <w:p w:rsidR="001B33E6" w:rsidRPr="001B33E6" w:rsidRDefault="001B33E6" w:rsidP="00B247C9">
      <w:pPr>
        <w:pStyle w:val="StyleJustifiedCharChar"/>
      </w:pPr>
      <w:r w:rsidRPr="001B33E6">
        <w:t xml:space="preserve">Mycobacterium tuberculosis infection </w:t>
      </w:r>
    </w:p>
    <w:p w:rsidR="001B33E6" w:rsidRPr="001B33E6" w:rsidRDefault="001B33E6" w:rsidP="00B247C9">
      <w:pPr>
        <w:pStyle w:val="StyleJustifiedCharChar"/>
      </w:pPr>
      <w:r w:rsidRPr="001B33E6">
        <w:t>Kaposi's Sarcoma</w:t>
      </w:r>
    </w:p>
    <w:p w:rsidR="001B33E6" w:rsidRPr="001B33E6" w:rsidRDefault="001B33E6" w:rsidP="00B247C9">
      <w:pPr>
        <w:pStyle w:val="StyleJustifiedCharChar"/>
      </w:pPr>
      <w:r w:rsidRPr="001B33E6">
        <w:t xml:space="preserve">Lymphomas </w:t>
      </w:r>
    </w:p>
    <w:p w:rsidR="001B33E6" w:rsidRPr="001B33E6" w:rsidRDefault="001B33E6" w:rsidP="00B247C9">
      <w:pPr>
        <w:pStyle w:val="StyleJustifiedCharChar"/>
      </w:pPr>
      <w:r w:rsidRPr="001B33E6">
        <w:t>Other causes such as pyogenic bacterial infection with regional lymphadenitis</w:t>
      </w:r>
    </w:p>
    <w:p w:rsidR="001B33E6" w:rsidRPr="001B33E6" w:rsidRDefault="001B33E6" w:rsidP="00B247C9">
      <w:pPr>
        <w:pStyle w:val="StyleJustifiedCharChar"/>
      </w:pPr>
      <w:r w:rsidRPr="001B33E6">
        <w:t xml:space="preserve">Investigations may include:  </w:t>
      </w:r>
    </w:p>
    <w:p w:rsidR="001B33E6" w:rsidRPr="001B33E6" w:rsidRDefault="001B33E6" w:rsidP="00B247C9">
      <w:pPr>
        <w:pStyle w:val="StyleJustifiedCharChar"/>
      </w:pPr>
      <w:r w:rsidRPr="001B33E6">
        <w:t>Aspiration of the fluctuant node with a 21G needle and staining the aspirate for acid-fast bacilli (AFB)/Gram stain/cytology (Fine Needle Aspiration)</w:t>
      </w:r>
    </w:p>
    <w:p w:rsidR="001B33E6" w:rsidRPr="001B33E6" w:rsidRDefault="001B33E6" w:rsidP="00B247C9">
      <w:pPr>
        <w:pStyle w:val="StyleJustifiedCharChar"/>
      </w:pPr>
      <w:r w:rsidRPr="001B33E6">
        <w:t xml:space="preserve">Lymph node biopsy for histological diagnosis </w:t>
      </w:r>
    </w:p>
    <w:p w:rsidR="001B33E6" w:rsidRPr="001B33E6" w:rsidRDefault="001B33E6" w:rsidP="00B247C9">
      <w:pPr>
        <w:pStyle w:val="StyleJustifiedCharChar"/>
      </w:pPr>
      <w:r w:rsidRPr="001B33E6">
        <w:t>Chest X-ray</w:t>
      </w:r>
    </w:p>
    <w:p w:rsidR="001B33E6" w:rsidRPr="001B33E6" w:rsidRDefault="001B33E6" w:rsidP="00B247C9">
      <w:pPr>
        <w:pStyle w:val="StyleJustifiedCharChar"/>
      </w:pPr>
      <w:r w:rsidRPr="001B33E6">
        <w:t>FBP and ESR</w:t>
      </w:r>
    </w:p>
    <w:p w:rsidR="001B33E6" w:rsidRPr="001B33E6" w:rsidRDefault="001B33E6" w:rsidP="00B247C9">
      <w:pPr>
        <w:pStyle w:val="StyleJustifiedCharChar"/>
      </w:pPr>
      <w:r w:rsidRPr="001B33E6">
        <w:t>Treatment is mainly of the underlying cause.</w:t>
      </w:r>
    </w:p>
    <w:p w:rsidR="001B33E6" w:rsidRPr="008B7073" w:rsidRDefault="001B33E6" w:rsidP="008D51D9">
      <w:pPr>
        <w:pStyle w:val="Heading3"/>
      </w:pPr>
      <w:bookmarkStart w:id="303" w:name="_Toc374967932"/>
      <w:bookmarkStart w:id="304" w:name="_Toc378258156"/>
      <w:r w:rsidRPr="008B7073">
        <w:t>6.2.9. Skin Rashes, Sores and Generalized Pruritis</w:t>
      </w:r>
      <w:bookmarkEnd w:id="303"/>
      <w:bookmarkEnd w:id="304"/>
    </w:p>
    <w:p w:rsidR="001B33E6" w:rsidRPr="001B33E6" w:rsidRDefault="001B33E6" w:rsidP="00B247C9">
      <w:pPr>
        <w:pStyle w:val="StyleJustifiedCharChar"/>
      </w:pPr>
      <w:r w:rsidRPr="001B33E6">
        <w:t>General causes for the above conditions include:</w:t>
      </w:r>
    </w:p>
    <w:p w:rsidR="001B33E6" w:rsidRPr="001B33E6" w:rsidRDefault="001B33E6" w:rsidP="00B247C9">
      <w:pPr>
        <w:pStyle w:val="StyleJustifiedCharChar"/>
      </w:pPr>
      <w:r w:rsidRPr="001B33E6">
        <w:t>Pruritic Papular Eruption (PPE)</w:t>
      </w:r>
    </w:p>
    <w:p w:rsidR="001B33E6" w:rsidRPr="001B33E6" w:rsidRDefault="001B33E6" w:rsidP="00B247C9">
      <w:pPr>
        <w:pStyle w:val="StyleJustifiedCharChar"/>
      </w:pPr>
      <w:r w:rsidRPr="001B33E6">
        <w:t>Infestation with external parasites e.g. scabies</w:t>
      </w:r>
    </w:p>
    <w:p w:rsidR="001B33E6" w:rsidRPr="001B33E6" w:rsidRDefault="001B33E6" w:rsidP="00B247C9">
      <w:pPr>
        <w:pStyle w:val="StyleJustifiedCharChar"/>
      </w:pPr>
      <w:r w:rsidRPr="001B33E6">
        <w:t>Fungal skin infections (Dermatomycoses)</w:t>
      </w:r>
    </w:p>
    <w:p w:rsidR="001B33E6" w:rsidRPr="001B33E6" w:rsidRDefault="001B33E6" w:rsidP="00B247C9">
      <w:pPr>
        <w:pStyle w:val="StyleJustifiedCharChar"/>
      </w:pPr>
      <w:r w:rsidRPr="001B33E6">
        <w:t>Herpes zoster infection</w:t>
      </w:r>
    </w:p>
    <w:p w:rsidR="001B33E6" w:rsidRPr="001B33E6" w:rsidRDefault="001B33E6" w:rsidP="00B247C9">
      <w:pPr>
        <w:pStyle w:val="StyleJustifiedCharChar"/>
      </w:pPr>
      <w:r w:rsidRPr="001B33E6">
        <w:t>Herpes simplex infection</w:t>
      </w:r>
    </w:p>
    <w:p w:rsidR="001B33E6" w:rsidRPr="001B33E6" w:rsidRDefault="001B33E6" w:rsidP="00B247C9">
      <w:pPr>
        <w:pStyle w:val="StyleJustifiedCharChar"/>
      </w:pPr>
      <w:r w:rsidRPr="001B33E6">
        <w:t>Kaposi’s sarcoma (KS)</w:t>
      </w:r>
    </w:p>
    <w:p w:rsidR="001B33E6" w:rsidRPr="001B33E6" w:rsidRDefault="001B33E6" w:rsidP="00B247C9">
      <w:pPr>
        <w:pStyle w:val="StyleJustifiedCharChar"/>
      </w:pPr>
      <w:r w:rsidRPr="001B33E6">
        <w:t>Bacterial skin infection e.g. Impetigo</w:t>
      </w:r>
    </w:p>
    <w:p w:rsidR="001B33E6" w:rsidRPr="001B33E6" w:rsidRDefault="001B33E6" w:rsidP="00B247C9">
      <w:pPr>
        <w:pStyle w:val="StyleJustifiedCharChar"/>
      </w:pPr>
      <w:r w:rsidRPr="001B33E6">
        <w:t>Seborrheic dermatitis and Sebo-psoriasis</w:t>
      </w:r>
    </w:p>
    <w:p w:rsidR="001B33E6" w:rsidRPr="001B33E6" w:rsidRDefault="001B33E6" w:rsidP="00B247C9">
      <w:pPr>
        <w:pStyle w:val="StyleJustifiedCharChar"/>
      </w:pPr>
      <w:r w:rsidRPr="001B33E6">
        <w:t>Molluscum contageosum</w:t>
      </w:r>
    </w:p>
    <w:p w:rsidR="001B33E6" w:rsidRPr="001B33E6" w:rsidRDefault="001B33E6" w:rsidP="00B247C9">
      <w:pPr>
        <w:pStyle w:val="StyleJustifiedCharChar"/>
      </w:pPr>
      <w:r w:rsidRPr="001B33E6">
        <w:t>Investigations:</w:t>
      </w:r>
    </w:p>
    <w:p w:rsidR="001B33E6" w:rsidRPr="001B33E6" w:rsidRDefault="001B33E6" w:rsidP="00B247C9">
      <w:pPr>
        <w:pStyle w:val="StyleJustifiedCharChar"/>
      </w:pPr>
      <w:r w:rsidRPr="001B33E6">
        <w:t>The diagnoses are mostly based on clinical presentation; however, when necessary the following investigations can be performed from the affected lesions:</w:t>
      </w:r>
    </w:p>
    <w:p w:rsidR="001B33E6" w:rsidRPr="001B33E6" w:rsidRDefault="001B33E6" w:rsidP="00B247C9">
      <w:pPr>
        <w:pStyle w:val="StyleJustifiedCharChar"/>
      </w:pPr>
      <w:r w:rsidRPr="001B33E6">
        <w:t xml:space="preserve">Pottasium Hydroxide (KOH) preparation microscopy </w:t>
      </w:r>
    </w:p>
    <w:p w:rsidR="001B33E6" w:rsidRPr="001B33E6" w:rsidRDefault="001B33E6" w:rsidP="00B247C9">
      <w:pPr>
        <w:pStyle w:val="StyleJustifiedCharChar"/>
      </w:pPr>
      <w:r w:rsidRPr="001B33E6">
        <w:t>Skin scrapings (for fungal element &amp;Sarcoptes scabiei) microscopy</w:t>
      </w:r>
    </w:p>
    <w:p w:rsidR="001B33E6" w:rsidRPr="001B33E6" w:rsidRDefault="001B33E6" w:rsidP="00B247C9">
      <w:pPr>
        <w:pStyle w:val="StyleJustifiedCharChar"/>
      </w:pPr>
      <w:r w:rsidRPr="001B33E6">
        <w:t xml:space="preserve">Pus swab for culture and sensitivity </w:t>
      </w:r>
    </w:p>
    <w:p w:rsidR="001B33E6" w:rsidRPr="001B33E6" w:rsidRDefault="001B33E6" w:rsidP="00B247C9">
      <w:pPr>
        <w:pStyle w:val="StyleJustifiedCharChar"/>
      </w:pPr>
      <w:r w:rsidRPr="001B33E6">
        <w:t>Skin biopsy for KS and Molluscum contageosum</w:t>
      </w:r>
    </w:p>
    <w:p w:rsidR="001B33E6" w:rsidRPr="001B33E6" w:rsidRDefault="001B33E6" w:rsidP="008D51D9">
      <w:pPr>
        <w:spacing w:before="120" w:after="120" w:line="240" w:lineRule="auto"/>
        <w:jc w:val="both"/>
        <w:rPr>
          <w:rFonts w:ascii="Arial" w:eastAsia="Times New Roman" w:hAnsi="Arial" w:cs="Arial"/>
          <w:lang w:val="en-GB"/>
        </w:rPr>
      </w:pPr>
    </w:p>
    <w:p w:rsidR="001B33E6" w:rsidRPr="001B33E6" w:rsidRDefault="001B33E6" w:rsidP="008D51D9">
      <w:pPr>
        <w:spacing w:before="120" w:after="120" w:line="240" w:lineRule="auto"/>
        <w:jc w:val="both"/>
        <w:rPr>
          <w:rFonts w:ascii="Arial" w:eastAsia="Times New Roman" w:hAnsi="Arial" w:cs="Arial"/>
          <w:lang w:val="en-GB"/>
        </w:rPr>
      </w:pPr>
      <w:r w:rsidRPr="001B33E6">
        <w:rPr>
          <w:rFonts w:ascii="Arial" w:eastAsia="Times New Roman" w:hAnsi="Arial" w:cs="Arial"/>
          <w:lang w:val="en-GB"/>
        </w:rPr>
        <w:t>The following are recommended actions for the management of different causes:</w:t>
      </w:r>
    </w:p>
    <w:p w:rsidR="001B33E6" w:rsidRPr="00BE5A5D" w:rsidRDefault="001B33E6" w:rsidP="00B247C9">
      <w:pPr>
        <w:pStyle w:val="StyleJustifiedCharChar"/>
      </w:pPr>
      <w:r w:rsidRPr="00BE5A5D">
        <w:t xml:space="preserve">Scabies: </w:t>
      </w:r>
    </w:p>
    <w:p w:rsidR="001B33E6" w:rsidRPr="001B33E6" w:rsidRDefault="001B33E6" w:rsidP="00B247C9">
      <w:pPr>
        <w:pStyle w:val="StyleJustifiedCharChar"/>
      </w:pPr>
      <w:r w:rsidRPr="001B33E6">
        <w:t>Benzyl benzoate Emulsion, or 1% lindane lotion</w:t>
      </w:r>
    </w:p>
    <w:p w:rsidR="001B33E6" w:rsidRPr="001B33E6" w:rsidRDefault="001B33E6" w:rsidP="00B247C9">
      <w:pPr>
        <w:pStyle w:val="StyleJustifiedCharChar"/>
      </w:pPr>
      <w:r w:rsidRPr="001B33E6">
        <w:t xml:space="preserve">Cloxacillin or Erythromycin if secondarily infected Dermatomycoses </w:t>
      </w:r>
    </w:p>
    <w:p w:rsidR="001B33E6" w:rsidRPr="001B33E6" w:rsidRDefault="001B33E6" w:rsidP="00B247C9">
      <w:pPr>
        <w:pStyle w:val="StyleJustifiedCharChar"/>
      </w:pPr>
      <w:r w:rsidRPr="001B33E6">
        <w:t>Whitfield’s ointment or Griseofulvin tablets for Tinea</w:t>
      </w:r>
    </w:p>
    <w:p w:rsidR="001B33E6" w:rsidRPr="001B33E6" w:rsidRDefault="001B33E6" w:rsidP="00B247C9">
      <w:pPr>
        <w:pStyle w:val="StyleJustifiedCharChar"/>
      </w:pPr>
      <w:r w:rsidRPr="001B33E6">
        <w:t>Clotrimazole or Miconazole cream for Candidiasis</w:t>
      </w:r>
    </w:p>
    <w:p w:rsidR="001B33E6" w:rsidRPr="001B33E6" w:rsidRDefault="001B33E6" w:rsidP="008D51D9">
      <w:pPr>
        <w:spacing w:before="120" w:after="120" w:line="240" w:lineRule="auto"/>
        <w:jc w:val="both"/>
        <w:rPr>
          <w:rFonts w:ascii="Arial" w:eastAsia="Times New Roman" w:hAnsi="Arial" w:cs="Arial"/>
          <w:b/>
          <w:lang w:val="en-GB"/>
        </w:rPr>
      </w:pPr>
      <w:r w:rsidRPr="001B33E6">
        <w:rPr>
          <w:rFonts w:ascii="Arial" w:eastAsia="Times New Roman" w:hAnsi="Arial" w:cs="Arial"/>
          <w:b/>
          <w:lang w:val="en-GB"/>
        </w:rPr>
        <w:t>Impetigo:</w:t>
      </w:r>
    </w:p>
    <w:p w:rsidR="001B33E6" w:rsidRPr="001B33E6" w:rsidRDefault="001B33E6" w:rsidP="00B247C9">
      <w:pPr>
        <w:pStyle w:val="StyleJustifiedCharChar"/>
      </w:pPr>
      <w:r w:rsidRPr="001B33E6">
        <w:t>Cloxacillin</w:t>
      </w:r>
    </w:p>
    <w:p w:rsidR="001B33E6" w:rsidRPr="001B33E6" w:rsidRDefault="001B33E6" w:rsidP="00B247C9">
      <w:pPr>
        <w:pStyle w:val="StyleJustifiedCharChar"/>
      </w:pPr>
      <w:r w:rsidRPr="001B33E6">
        <w:t>Erythromycin</w:t>
      </w:r>
    </w:p>
    <w:p w:rsidR="001B33E6" w:rsidRPr="00BE5A5D" w:rsidRDefault="001B33E6" w:rsidP="00B247C9">
      <w:pPr>
        <w:pStyle w:val="StyleJustifiedCharChar"/>
      </w:pPr>
      <w:r w:rsidRPr="00BE5A5D">
        <w:t>Pruritic Papular Eruption (PPE):</w:t>
      </w:r>
    </w:p>
    <w:p w:rsidR="001B33E6" w:rsidRPr="001B33E6" w:rsidRDefault="001B33E6" w:rsidP="00B247C9">
      <w:pPr>
        <w:pStyle w:val="StyleJustifiedCharChar"/>
      </w:pPr>
      <w:r w:rsidRPr="001B33E6">
        <w:t>Antihistamine, e.g. Cetrizine</w:t>
      </w:r>
    </w:p>
    <w:p w:rsidR="001B33E6" w:rsidRPr="001B33E6" w:rsidRDefault="001B33E6" w:rsidP="00B247C9">
      <w:pPr>
        <w:pStyle w:val="StyleJustifiedCharChar"/>
      </w:pPr>
      <w:r w:rsidRPr="001B33E6">
        <w:t>Antibiotics, e.g. Cloxacillin or erythromycin</w:t>
      </w:r>
    </w:p>
    <w:p w:rsidR="001B33E6" w:rsidRPr="00BE5A5D" w:rsidRDefault="001B33E6" w:rsidP="00B247C9">
      <w:pPr>
        <w:pStyle w:val="StyleJustifiedCharChar"/>
      </w:pPr>
      <w:r w:rsidRPr="00BE5A5D">
        <w:t>Seborrheic dermatitis:</w:t>
      </w:r>
    </w:p>
    <w:p w:rsidR="001B33E6" w:rsidRPr="001B33E6" w:rsidRDefault="001B33E6" w:rsidP="00B247C9">
      <w:pPr>
        <w:pStyle w:val="StyleJustifiedCharChar"/>
      </w:pPr>
      <w:r w:rsidRPr="001B33E6">
        <w:t>Antifungal (systemic if severe)</w:t>
      </w:r>
    </w:p>
    <w:p w:rsidR="001B33E6" w:rsidRPr="001B33E6" w:rsidRDefault="001B33E6" w:rsidP="00B247C9">
      <w:pPr>
        <w:pStyle w:val="StyleJustifiedCharChar"/>
      </w:pPr>
      <w:r w:rsidRPr="001B33E6">
        <w:t>Steroids (careful if concomitant TB is suspected)</w:t>
      </w:r>
    </w:p>
    <w:p w:rsidR="001B33E6" w:rsidRPr="001B33E6" w:rsidRDefault="001B33E6" w:rsidP="00B247C9">
      <w:pPr>
        <w:pStyle w:val="StyleJustifiedCharChar"/>
      </w:pPr>
      <w:r w:rsidRPr="001B33E6">
        <w:t>3% salicylic acid ointment</w:t>
      </w:r>
    </w:p>
    <w:p w:rsidR="001B33E6" w:rsidRPr="00BE5A5D" w:rsidRDefault="001B33E6" w:rsidP="00B247C9">
      <w:pPr>
        <w:pStyle w:val="StyleJustifiedCharChar"/>
      </w:pPr>
      <w:r w:rsidRPr="00BE5A5D">
        <w:t>Moluscum contageosum:</w:t>
      </w:r>
    </w:p>
    <w:p w:rsidR="001B33E6" w:rsidRPr="001B33E6" w:rsidRDefault="001B33E6" w:rsidP="00B247C9">
      <w:pPr>
        <w:pStyle w:val="StyleJustifiedCharChar"/>
      </w:pPr>
      <w:r w:rsidRPr="001B33E6">
        <w:t>Individual lesion may be treated by:</w:t>
      </w:r>
    </w:p>
    <w:p w:rsidR="001B33E6" w:rsidRPr="001B33E6" w:rsidRDefault="001B33E6" w:rsidP="00B247C9">
      <w:pPr>
        <w:pStyle w:val="StyleJustifiedCharChar"/>
      </w:pPr>
      <w:r w:rsidRPr="001B33E6">
        <w:t>Curettage</w:t>
      </w:r>
    </w:p>
    <w:p w:rsidR="001B33E6" w:rsidRPr="001B33E6" w:rsidRDefault="001B33E6" w:rsidP="00B247C9">
      <w:pPr>
        <w:pStyle w:val="StyleJustifiedCharChar"/>
      </w:pPr>
      <w:r w:rsidRPr="001B33E6">
        <w:t>Cryotherapy</w:t>
      </w:r>
    </w:p>
    <w:p w:rsidR="001B33E6" w:rsidRPr="001B33E6" w:rsidRDefault="001B33E6" w:rsidP="00B247C9">
      <w:pPr>
        <w:pStyle w:val="StyleJustifiedCharChar"/>
      </w:pPr>
      <w:r w:rsidRPr="001B33E6">
        <w:t>Electro cauterization</w:t>
      </w:r>
    </w:p>
    <w:p w:rsidR="001B33E6" w:rsidRPr="00BE5A5D" w:rsidRDefault="001B33E6" w:rsidP="00B247C9">
      <w:pPr>
        <w:pStyle w:val="StyleJustifiedCharChar"/>
      </w:pPr>
      <w:r w:rsidRPr="00BE5A5D">
        <w:t>Kaposi’s sarcoma:</w:t>
      </w:r>
    </w:p>
    <w:p w:rsidR="001B33E6" w:rsidRPr="001B33E6" w:rsidRDefault="001B33E6" w:rsidP="00B247C9">
      <w:pPr>
        <w:pStyle w:val="StyleJustifiedCharChar"/>
      </w:pPr>
      <w:r w:rsidRPr="001B33E6">
        <w:t>This depends on the extent and severity and the options include:</w:t>
      </w:r>
    </w:p>
    <w:p w:rsidR="001B33E6" w:rsidRPr="001B33E6" w:rsidRDefault="001B33E6" w:rsidP="00B247C9">
      <w:pPr>
        <w:pStyle w:val="StyleJustifiedCharChar"/>
      </w:pPr>
      <w:r w:rsidRPr="001B33E6">
        <w:t>Anti-retroviral therapy (preferably PI-based, especially when extensive)</w:t>
      </w:r>
    </w:p>
    <w:p w:rsidR="001B33E6" w:rsidRPr="001B33E6" w:rsidRDefault="001B33E6" w:rsidP="00B247C9">
      <w:pPr>
        <w:pStyle w:val="StyleJustifiedCharChar"/>
      </w:pPr>
      <w:r w:rsidRPr="001B33E6">
        <w:t>Referral for Chemotherapy and Radiotherapy</w:t>
      </w:r>
    </w:p>
    <w:p w:rsidR="001B33E6" w:rsidRPr="001B33E6" w:rsidRDefault="001B33E6" w:rsidP="00B247C9">
      <w:pPr>
        <w:pStyle w:val="StyleJustifiedCharChar"/>
      </w:pPr>
      <w:r w:rsidRPr="001B33E6">
        <w:t xml:space="preserve">It should be noted that cancer conditions in HIV infected clients are managed in the same way as when they occur in patients that are not infected. </w:t>
      </w:r>
    </w:p>
    <w:p w:rsidR="001B33E6" w:rsidRPr="008B7073" w:rsidRDefault="001B33E6" w:rsidP="008D51D9">
      <w:pPr>
        <w:pStyle w:val="Heading3"/>
      </w:pPr>
      <w:bookmarkStart w:id="305" w:name="_Toc374967933"/>
      <w:bookmarkStart w:id="306" w:name="_Toc378258157"/>
      <w:r w:rsidRPr="008B7073">
        <w:t xml:space="preserve">6.2.10. </w:t>
      </w:r>
      <w:r>
        <w:t>Altered Mental Status a</w:t>
      </w:r>
      <w:r w:rsidRPr="008B7073">
        <w:t>nd Persistent Severe Headache</w:t>
      </w:r>
      <w:bookmarkEnd w:id="305"/>
      <w:bookmarkEnd w:id="306"/>
    </w:p>
    <w:p w:rsidR="001B33E6" w:rsidRPr="001B33E6" w:rsidRDefault="001B33E6" w:rsidP="00B247C9">
      <w:pPr>
        <w:pStyle w:val="StyleJustifiedCharChar"/>
      </w:pPr>
      <w:r w:rsidRPr="001B33E6">
        <w:t>The following are some of the possible causes for altered mental status and severe headaches:</w:t>
      </w:r>
    </w:p>
    <w:p w:rsidR="001B33E6" w:rsidRPr="00BE5A5D" w:rsidRDefault="001B33E6" w:rsidP="00B247C9">
      <w:pPr>
        <w:pStyle w:val="StyleJustifiedCharChar"/>
      </w:pPr>
      <w:r w:rsidRPr="00BE5A5D">
        <w:t xml:space="preserve">i. Infection Conditions </w:t>
      </w:r>
    </w:p>
    <w:p w:rsidR="001B33E6" w:rsidRPr="001B33E6" w:rsidRDefault="001B33E6" w:rsidP="00B247C9">
      <w:pPr>
        <w:pStyle w:val="StyleJustifiedCharChar"/>
      </w:pPr>
      <w:r w:rsidRPr="001B33E6">
        <w:t xml:space="preserve">1. Meningitis </w:t>
      </w:r>
    </w:p>
    <w:p w:rsidR="001B33E6" w:rsidRPr="001B33E6" w:rsidRDefault="001B33E6" w:rsidP="00B247C9">
      <w:pPr>
        <w:pStyle w:val="StyleJustifiedCharChar"/>
      </w:pPr>
      <w:r w:rsidRPr="001B33E6">
        <w:t>Fungal meningitis, especially cryptococcal</w:t>
      </w:r>
    </w:p>
    <w:p w:rsidR="001B33E6" w:rsidRPr="001B33E6" w:rsidRDefault="001B33E6" w:rsidP="00B247C9">
      <w:pPr>
        <w:pStyle w:val="StyleJustifiedCharChar"/>
      </w:pPr>
      <w:r w:rsidRPr="001B33E6">
        <w:t>Tuberculous Meningitis</w:t>
      </w:r>
    </w:p>
    <w:p w:rsidR="001B33E6" w:rsidRPr="001B33E6" w:rsidRDefault="001B33E6" w:rsidP="00B247C9">
      <w:pPr>
        <w:pStyle w:val="StyleJustifiedCharChar"/>
      </w:pPr>
      <w:r w:rsidRPr="001B33E6">
        <w:t>Bacterial Meningitis</w:t>
      </w:r>
    </w:p>
    <w:p w:rsidR="001B33E6" w:rsidRPr="001B33E6" w:rsidRDefault="001B33E6" w:rsidP="00B247C9">
      <w:pPr>
        <w:pStyle w:val="StyleJustifiedCharChar"/>
      </w:pPr>
      <w:r w:rsidRPr="001B33E6">
        <w:t>2. Cerebral malaria</w:t>
      </w:r>
    </w:p>
    <w:p w:rsidR="001B33E6" w:rsidRPr="001B33E6" w:rsidRDefault="001B33E6" w:rsidP="00B247C9">
      <w:pPr>
        <w:pStyle w:val="StyleJustifiedCharChar"/>
      </w:pPr>
      <w:r w:rsidRPr="001B33E6">
        <w:t xml:space="preserve">3. Encephalitis </w:t>
      </w:r>
    </w:p>
    <w:p w:rsidR="001B33E6" w:rsidRPr="001B33E6" w:rsidRDefault="001B33E6" w:rsidP="00B247C9">
      <w:pPr>
        <w:pStyle w:val="StyleJustifiedCharChar"/>
      </w:pPr>
      <w:r w:rsidRPr="001B33E6">
        <w:t>Toxoplasma encephalitis</w:t>
      </w:r>
    </w:p>
    <w:p w:rsidR="001B33E6" w:rsidRPr="001B33E6" w:rsidRDefault="001B33E6" w:rsidP="00B247C9">
      <w:pPr>
        <w:pStyle w:val="StyleJustifiedCharChar"/>
      </w:pPr>
      <w:r w:rsidRPr="001B33E6">
        <w:t>(CMV) Cytomegalovirus encephalitis</w:t>
      </w:r>
    </w:p>
    <w:p w:rsidR="001B33E6" w:rsidRPr="00BE5A5D" w:rsidRDefault="001B33E6" w:rsidP="00B247C9">
      <w:pPr>
        <w:pStyle w:val="StyleJustifiedCharChar"/>
      </w:pPr>
      <w:r w:rsidRPr="00BE5A5D">
        <w:t xml:space="preserve">ii. Metabolic Conditions </w:t>
      </w:r>
    </w:p>
    <w:p w:rsidR="001B33E6" w:rsidRPr="001B33E6" w:rsidRDefault="001B33E6" w:rsidP="00B247C9">
      <w:pPr>
        <w:pStyle w:val="StyleJustifiedCharChar"/>
      </w:pPr>
      <w:r w:rsidRPr="001B33E6">
        <w:t>1. Severe dehydration</w:t>
      </w:r>
    </w:p>
    <w:p w:rsidR="001B33E6" w:rsidRPr="001B33E6" w:rsidRDefault="001B33E6" w:rsidP="00B247C9">
      <w:pPr>
        <w:pStyle w:val="StyleJustifiedCharChar"/>
      </w:pPr>
      <w:r w:rsidRPr="001B33E6">
        <w:t>2. Hypoglycemia</w:t>
      </w:r>
    </w:p>
    <w:p w:rsidR="001B33E6" w:rsidRPr="001B33E6" w:rsidRDefault="001B33E6" w:rsidP="00B247C9">
      <w:pPr>
        <w:pStyle w:val="StyleJustifiedCharChar"/>
      </w:pPr>
    </w:p>
    <w:p w:rsidR="001B33E6" w:rsidRPr="00BE5A5D" w:rsidRDefault="001B33E6" w:rsidP="00B247C9">
      <w:pPr>
        <w:pStyle w:val="StyleJustifiedCharChar"/>
      </w:pPr>
      <w:r w:rsidRPr="00BE5A5D">
        <w:t xml:space="preserve">iii. Mental Conditions </w:t>
      </w:r>
    </w:p>
    <w:p w:rsidR="001B33E6" w:rsidRPr="001B33E6" w:rsidRDefault="001B33E6" w:rsidP="00B247C9">
      <w:pPr>
        <w:pStyle w:val="StyleJustifiedCharChar"/>
      </w:pPr>
      <w:r w:rsidRPr="001B33E6">
        <w:t>1. HIV-dementia</w:t>
      </w:r>
    </w:p>
    <w:p w:rsidR="001B33E6" w:rsidRPr="001B33E6" w:rsidRDefault="001B33E6" w:rsidP="00B247C9">
      <w:pPr>
        <w:pStyle w:val="StyleJustifiedCharChar"/>
      </w:pPr>
      <w:r w:rsidRPr="001B33E6">
        <w:t>2. Depression</w:t>
      </w:r>
    </w:p>
    <w:p w:rsidR="001B33E6" w:rsidRPr="001B33E6" w:rsidRDefault="001B33E6" w:rsidP="00B247C9">
      <w:pPr>
        <w:pStyle w:val="StyleJustifiedCharChar"/>
      </w:pPr>
      <w:r w:rsidRPr="001B33E6">
        <w:t>3. Psychotic conditions</w:t>
      </w:r>
    </w:p>
    <w:p w:rsidR="001B33E6" w:rsidRPr="001B33E6" w:rsidRDefault="001B33E6" w:rsidP="00B247C9">
      <w:pPr>
        <w:pStyle w:val="StyleJustifiedCharChar"/>
      </w:pPr>
      <w:r w:rsidRPr="001B33E6">
        <w:t xml:space="preserve">Recommended investigations include:  </w:t>
      </w:r>
      <w:r w:rsidRPr="001B33E6">
        <w:tab/>
      </w:r>
    </w:p>
    <w:p w:rsidR="001B33E6" w:rsidRPr="001B33E6" w:rsidRDefault="001B33E6" w:rsidP="00B247C9">
      <w:pPr>
        <w:pStyle w:val="StyleJustifiedCharChar"/>
      </w:pPr>
      <w:r w:rsidRPr="001B33E6">
        <w:t>Blood sugar</w:t>
      </w:r>
    </w:p>
    <w:p w:rsidR="001B33E6" w:rsidRPr="001B33E6" w:rsidRDefault="001B33E6" w:rsidP="00B247C9">
      <w:pPr>
        <w:pStyle w:val="StyleJustifiedCharChar"/>
      </w:pPr>
      <w:r w:rsidRPr="001B33E6">
        <w:t>Blood slide for malaria parasites</w:t>
      </w:r>
    </w:p>
    <w:p w:rsidR="001B33E6" w:rsidRPr="001B33E6" w:rsidRDefault="001B33E6" w:rsidP="00B247C9">
      <w:pPr>
        <w:pStyle w:val="StyleJustifiedCharChar"/>
      </w:pPr>
      <w:r w:rsidRPr="001B33E6">
        <w:t xml:space="preserve">Lumbar puncture for CSF examination </w:t>
      </w:r>
    </w:p>
    <w:p w:rsidR="001B33E6" w:rsidRPr="001B33E6" w:rsidRDefault="001B33E6" w:rsidP="00B247C9">
      <w:pPr>
        <w:pStyle w:val="StyleJustifiedCharChar"/>
      </w:pPr>
      <w:r w:rsidRPr="001B33E6">
        <w:t>Indian ink stain for cryptoccocal meningitis</w:t>
      </w:r>
    </w:p>
    <w:p w:rsidR="001B33E6" w:rsidRPr="001B33E6" w:rsidRDefault="001B33E6" w:rsidP="00B247C9">
      <w:pPr>
        <w:pStyle w:val="StyleJustifiedCharChar"/>
      </w:pPr>
      <w:r w:rsidRPr="001B33E6">
        <w:t>Salmonella and syphilis serology</w:t>
      </w:r>
    </w:p>
    <w:p w:rsidR="001B33E6" w:rsidRPr="001B33E6" w:rsidRDefault="001B33E6" w:rsidP="00B247C9">
      <w:pPr>
        <w:pStyle w:val="StyleJustifiedCharChar"/>
      </w:pPr>
      <w:r w:rsidRPr="001B33E6">
        <w:t>Blood cultures + sensitivity studies.</w:t>
      </w:r>
    </w:p>
    <w:p w:rsidR="001B33E6" w:rsidRPr="001B33E6" w:rsidRDefault="001B33E6" w:rsidP="00B247C9">
      <w:pPr>
        <w:pStyle w:val="StyleJustifiedCharChar"/>
      </w:pPr>
      <w:r w:rsidRPr="001B33E6">
        <w:t>Serum Biochemistry where possible</w:t>
      </w:r>
    </w:p>
    <w:p w:rsidR="001B33E6" w:rsidRPr="001B33E6" w:rsidRDefault="001B33E6" w:rsidP="00B247C9">
      <w:pPr>
        <w:pStyle w:val="StyleJustifiedCharChar"/>
      </w:pPr>
      <w:r w:rsidRPr="001B33E6">
        <w:t>Cryptococcal Antigen test</w:t>
      </w:r>
    </w:p>
    <w:p w:rsidR="001B33E6" w:rsidRPr="001B33E6" w:rsidRDefault="001B33E6" w:rsidP="00B247C9">
      <w:pPr>
        <w:pStyle w:val="StyleJustifiedCharChar"/>
      </w:pPr>
      <w:r w:rsidRPr="001B33E6">
        <w:t>CT Scan (where available)</w:t>
      </w:r>
    </w:p>
    <w:p w:rsidR="001B33E6" w:rsidRPr="00C203F3" w:rsidRDefault="001B33E6" w:rsidP="00B247C9">
      <w:pPr>
        <w:pStyle w:val="StyleJustifiedCharChar"/>
      </w:pPr>
    </w:p>
    <w:p w:rsidR="001B33E6" w:rsidRPr="00246C2F" w:rsidRDefault="001B33E6" w:rsidP="008D51D9">
      <w:pPr>
        <w:pStyle w:val="Heading2"/>
        <w:spacing w:before="120" w:after="120" w:line="240" w:lineRule="auto"/>
      </w:pPr>
      <w:bookmarkStart w:id="307" w:name="_Toc185736143"/>
      <w:bookmarkStart w:id="308" w:name="_Toc185678171"/>
      <w:bookmarkStart w:id="309" w:name="_Toc185677795"/>
      <w:bookmarkStart w:id="310" w:name="_Toc185673456"/>
      <w:bookmarkStart w:id="311" w:name="_Toc185673278"/>
      <w:bookmarkStart w:id="312" w:name="_Toc185658443"/>
      <w:bookmarkStart w:id="313" w:name="_Toc374967934"/>
      <w:bookmarkStart w:id="314" w:name="_Toc378258158"/>
      <w:r w:rsidRPr="00246C2F">
        <w:t>6.3. Prophylactic treatment of common opportunistic infections in HIV and AIDS</w:t>
      </w:r>
      <w:bookmarkEnd w:id="307"/>
      <w:bookmarkEnd w:id="308"/>
      <w:bookmarkEnd w:id="309"/>
      <w:bookmarkEnd w:id="310"/>
      <w:bookmarkEnd w:id="311"/>
      <w:bookmarkEnd w:id="312"/>
      <w:bookmarkEnd w:id="313"/>
      <w:bookmarkEnd w:id="314"/>
    </w:p>
    <w:p w:rsidR="001B33E6" w:rsidRPr="001B33E6" w:rsidRDefault="001B33E6" w:rsidP="00B247C9">
      <w:pPr>
        <w:pStyle w:val="StyleJustifiedCharChar"/>
      </w:pPr>
      <w:r w:rsidRPr="001B33E6">
        <w:t xml:space="preserve">Many opportunistic infections can be prevented by using cotrimoxazole prophylaxis, particularly in the case of: </w:t>
      </w:r>
    </w:p>
    <w:p w:rsidR="001B33E6" w:rsidRPr="001B33E6" w:rsidRDefault="001B33E6" w:rsidP="00B247C9">
      <w:pPr>
        <w:pStyle w:val="StyleJustifiedCharChar"/>
      </w:pPr>
      <w:r w:rsidRPr="001B33E6">
        <w:t xml:space="preserve">Bacterial infections e.g. pneumonias, skin infection and sepsis  </w:t>
      </w:r>
    </w:p>
    <w:p w:rsidR="001B33E6" w:rsidRPr="001B33E6" w:rsidRDefault="001B33E6" w:rsidP="00B247C9">
      <w:pPr>
        <w:pStyle w:val="StyleJustifiedCharChar"/>
      </w:pPr>
      <w:r w:rsidRPr="001B33E6">
        <w:t>Pneumocystis Jiroveci Pneumonia (PCP)</w:t>
      </w:r>
    </w:p>
    <w:p w:rsidR="001B33E6" w:rsidRPr="001B33E6" w:rsidRDefault="001B33E6" w:rsidP="00B247C9">
      <w:pPr>
        <w:pStyle w:val="StyleJustifiedCharChar"/>
      </w:pPr>
      <w:r w:rsidRPr="001B33E6">
        <w:t>Toxoplasmosis</w:t>
      </w:r>
    </w:p>
    <w:p w:rsidR="001B33E6" w:rsidRPr="001B33E6" w:rsidRDefault="001B33E6" w:rsidP="00B247C9">
      <w:pPr>
        <w:pStyle w:val="StyleJustifiedCharChar"/>
      </w:pPr>
      <w:r w:rsidRPr="001B33E6">
        <w:t>Malaria</w:t>
      </w:r>
      <w:bookmarkStart w:id="315" w:name="_Toc185736144"/>
      <w:bookmarkStart w:id="316" w:name="_Toc185678172"/>
      <w:bookmarkStart w:id="317" w:name="_Toc185677796"/>
      <w:bookmarkStart w:id="318" w:name="_Toc185673457"/>
      <w:bookmarkStart w:id="319" w:name="_Toc185673279"/>
      <w:bookmarkStart w:id="320" w:name="_Toc185658444"/>
    </w:p>
    <w:p w:rsidR="001B33E6" w:rsidRPr="00246C2F" w:rsidRDefault="001B33E6" w:rsidP="008D51D9">
      <w:pPr>
        <w:pStyle w:val="Heading3"/>
        <w:spacing w:before="120" w:after="120" w:line="240" w:lineRule="auto"/>
      </w:pPr>
      <w:bookmarkStart w:id="321" w:name="_Toc374967935"/>
      <w:bookmarkStart w:id="322" w:name="_Toc378258159"/>
      <w:r w:rsidRPr="00246C2F">
        <w:t xml:space="preserve">6.3.1. </w:t>
      </w:r>
      <w:r>
        <w:t>Indication f</w:t>
      </w:r>
      <w:r w:rsidRPr="00246C2F">
        <w:t>or P</w:t>
      </w:r>
      <w:r>
        <w:t>rophylactic Treatment Using Cot</w:t>
      </w:r>
      <w:r w:rsidRPr="00246C2F">
        <w:t>rimoxazole</w:t>
      </w:r>
      <w:bookmarkEnd w:id="315"/>
      <w:bookmarkEnd w:id="316"/>
      <w:bookmarkEnd w:id="317"/>
      <w:bookmarkEnd w:id="318"/>
      <w:bookmarkEnd w:id="319"/>
      <w:bookmarkEnd w:id="320"/>
      <w:bookmarkEnd w:id="321"/>
      <w:bookmarkEnd w:id="322"/>
    </w:p>
    <w:p w:rsidR="001B33E6" w:rsidRPr="001B33E6" w:rsidRDefault="001B33E6" w:rsidP="00B247C9">
      <w:pPr>
        <w:pStyle w:val="StyleJustifiedCharChar"/>
      </w:pPr>
      <w:r w:rsidRPr="001B33E6">
        <w:t xml:space="preserve">Prophylactic treatment using cotrimoxazole should be provided if any of the following criteria applies: </w:t>
      </w:r>
    </w:p>
    <w:p w:rsidR="001B33E6" w:rsidRPr="001B33E6" w:rsidRDefault="001B33E6" w:rsidP="00B247C9">
      <w:pPr>
        <w:pStyle w:val="StyleJustifiedCharChar"/>
      </w:pPr>
      <w:r w:rsidRPr="001B33E6">
        <w:t>Adults and adolescents</w:t>
      </w:r>
    </w:p>
    <w:p w:rsidR="001B33E6" w:rsidRPr="001B33E6" w:rsidRDefault="001B33E6" w:rsidP="00B247C9">
      <w:pPr>
        <w:pStyle w:val="StyleJustifiedCharChar"/>
      </w:pPr>
      <w:r w:rsidRPr="001B33E6">
        <w:t>All HIV infected patients, in WHO Stage 2, 3 and 4 (see Chapter 9 for WHO staging criteria)</w:t>
      </w:r>
    </w:p>
    <w:p w:rsidR="001B33E6" w:rsidRPr="001B33E6" w:rsidRDefault="001B33E6" w:rsidP="00B247C9">
      <w:pPr>
        <w:pStyle w:val="StyleJustifiedCharChar"/>
      </w:pPr>
      <w:r w:rsidRPr="001B33E6">
        <w:t xml:space="preserve">Asymptomatic HIV infected individuals with CD4 counts of &lt;500 cells/ml. </w:t>
      </w:r>
    </w:p>
    <w:p w:rsidR="001B33E6" w:rsidRPr="001B33E6" w:rsidRDefault="001B33E6" w:rsidP="00B247C9">
      <w:pPr>
        <w:pStyle w:val="StyleJustifiedCharChar"/>
      </w:pPr>
    </w:p>
    <w:p w:rsidR="001B33E6" w:rsidRPr="001B33E6" w:rsidRDefault="001B33E6" w:rsidP="00B247C9">
      <w:pPr>
        <w:pStyle w:val="StyleJustifiedCharChar"/>
      </w:pPr>
      <w:r w:rsidRPr="001B33E6">
        <w:t xml:space="preserve">Pregnancy </w:t>
      </w:r>
    </w:p>
    <w:p w:rsidR="001B33E6" w:rsidRPr="001B33E6" w:rsidRDefault="001B33E6" w:rsidP="00B247C9">
      <w:pPr>
        <w:pStyle w:val="StyleJustifiedCharChar"/>
      </w:pPr>
      <w:r w:rsidRPr="001B33E6">
        <w:t xml:space="preserve">All pregnant women throughout their pregnancy </w:t>
      </w:r>
    </w:p>
    <w:p w:rsidR="001B33E6" w:rsidRPr="001B33E6" w:rsidRDefault="001B33E6" w:rsidP="00B247C9">
      <w:pPr>
        <w:pStyle w:val="StyleJustifiedCharChar"/>
      </w:pPr>
      <w:r w:rsidRPr="001B33E6">
        <w:t xml:space="preserve">Note: </w:t>
      </w:r>
    </w:p>
    <w:p w:rsidR="001B33E6" w:rsidRPr="001B33E6" w:rsidRDefault="001B33E6" w:rsidP="00B247C9">
      <w:pPr>
        <w:pStyle w:val="StyleJustifiedCharChar"/>
      </w:pPr>
      <w:r w:rsidRPr="001B33E6">
        <w:t>1. Caution should be exercised when initiating cotrimoxazole Presumptive treatment (CPT) during the first trimester of pregnancy in women who may not have access to good nutrition; and anaemic patients, because cotrimoxazole can cause a deficiency in folic acid.</w:t>
      </w:r>
    </w:p>
    <w:p w:rsidR="001B33E6" w:rsidRPr="001B33E6" w:rsidRDefault="001B33E6" w:rsidP="00B247C9">
      <w:pPr>
        <w:pStyle w:val="StyleJustifiedCharChar"/>
      </w:pPr>
      <w:r w:rsidRPr="001B33E6">
        <w:t>2. Pregnant women who are receiving CPT do not need sulfadoxine pyrimethamine (SP), an additional medication to prevent malaria</w:t>
      </w:r>
    </w:p>
    <w:p w:rsidR="001B33E6" w:rsidRPr="001B33E6" w:rsidRDefault="001B33E6" w:rsidP="00B247C9">
      <w:pPr>
        <w:pStyle w:val="StyleJustifiedCharChar"/>
      </w:pPr>
      <w:r w:rsidRPr="001B33E6">
        <w:t>Dosage:</w:t>
      </w:r>
    </w:p>
    <w:p w:rsidR="001B33E6" w:rsidRPr="001B33E6" w:rsidRDefault="001B33E6" w:rsidP="00B247C9">
      <w:pPr>
        <w:pStyle w:val="StyleJustifiedCharChar"/>
      </w:pPr>
      <w:r w:rsidRPr="001B33E6">
        <w:rPr>
          <w:i/>
        </w:rPr>
        <w:t>For adults</w:t>
      </w:r>
      <w:r w:rsidRPr="001B33E6">
        <w:t>: One double strength tablet (160/800 mg) or two single strength tablets once a day on a daily basis. For those whose weight is &lt;60 kg, see ARV dosing chart under cotrimoxazole dosing.</w:t>
      </w:r>
    </w:p>
    <w:p w:rsidR="001B33E6" w:rsidRPr="001B33E6" w:rsidRDefault="001B33E6" w:rsidP="00B247C9">
      <w:pPr>
        <w:pStyle w:val="StyleJustifiedCharChar"/>
      </w:pPr>
      <w:r w:rsidRPr="001B33E6">
        <w:t xml:space="preserve">Duration: </w:t>
      </w:r>
    </w:p>
    <w:p w:rsidR="001B33E6" w:rsidRPr="001B33E6" w:rsidRDefault="001B33E6" w:rsidP="00B247C9">
      <w:pPr>
        <w:pStyle w:val="StyleJustifiedCharChar"/>
      </w:pPr>
      <w:r w:rsidRPr="001B33E6">
        <w:t xml:space="preserve">If treatment with ARV is not available, CPT for adults who qualify but are not on ARVs should continue for life. </w:t>
      </w:r>
      <w:bookmarkStart w:id="323" w:name="_Toc81332596"/>
      <w:bookmarkStart w:id="324" w:name="_Toc74551410"/>
    </w:p>
    <w:p w:rsidR="001B33E6" w:rsidRPr="001B33E6" w:rsidRDefault="001B33E6" w:rsidP="00B247C9">
      <w:pPr>
        <w:pStyle w:val="StyleJustifiedCharChar"/>
      </w:pPr>
      <w:r w:rsidRPr="001B33E6">
        <w:t>Criteria for stopping</w:t>
      </w:r>
      <w:bookmarkEnd w:id="323"/>
      <w:bookmarkEnd w:id="324"/>
      <w:r w:rsidRPr="001B33E6">
        <w:t>:</w:t>
      </w:r>
    </w:p>
    <w:p w:rsidR="001B33E6" w:rsidRPr="001B33E6" w:rsidRDefault="001B33E6" w:rsidP="00B247C9">
      <w:pPr>
        <w:pStyle w:val="StyleJustifiedCharChar"/>
      </w:pPr>
      <w:r w:rsidRPr="001B33E6">
        <w:t>Occurrence of severe side effects such as severe cutaneous reactions or fixed drug reactions</w:t>
      </w:r>
    </w:p>
    <w:p w:rsidR="001B33E6" w:rsidRPr="001B33E6" w:rsidRDefault="001B33E6" w:rsidP="00B247C9">
      <w:pPr>
        <w:pStyle w:val="StyleJustifiedCharChar"/>
      </w:pPr>
      <w:r w:rsidRPr="001B33E6">
        <w:t>If ART is initiated and CD4 count is above 500 cells/ml in adults</w:t>
      </w:r>
    </w:p>
    <w:p w:rsidR="001B33E6" w:rsidRPr="001B33E6" w:rsidRDefault="001B33E6" w:rsidP="00B247C9">
      <w:pPr>
        <w:pStyle w:val="StyleJustifiedCharChar"/>
      </w:pPr>
      <w:r w:rsidRPr="001B33E6">
        <w:t>If use of antiretroviral agents causes renal and/or hepatic insufficiency or severe haematological toxicity</w:t>
      </w:r>
    </w:p>
    <w:p w:rsidR="001B33E6" w:rsidRPr="001B33E6" w:rsidRDefault="001B33E6" w:rsidP="00B247C9">
      <w:pPr>
        <w:pStyle w:val="StyleJustifiedCharChar"/>
      </w:pPr>
      <w:r w:rsidRPr="001B33E6">
        <w:t>Follow up and monitoring:</w:t>
      </w:r>
    </w:p>
    <w:p w:rsidR="001B33E6" w:rsidRPr="001B33E6" w:rsidRDefault="001B33E6" w:rsidP="00B247C9">
      <w:pPr>
        <w:pStyle w:val="StyleJustifiedCharChar"/>
      </w:pPr>
      <w:r w:rsidRPr="001B33E6">
        <w:t xml:space="preserve">Regular follow up is recommended, initially every month for the first three months, then every three months if the medication is well tolerated. </w:t>
      </w:r>
    </w:p>
    <w:p w:rsidR="001B33E6" w:rsidRPr="001B33E6" w:rsidRDefault="001B33E6" w:rsidP="00B247C9">
      <w:pPr>
        <w:pStyle w:val="StyleJustifiedCharChar"/>
      </w:pPr>
      <w:r w:rsidRPr="001B33E6">
        <w:t xml:space="preserve">It is mandatory to monitor for side effects and adherence. Monitoring includes assessment of skin reactions, measurements of haemoglobin, and white blood counts every six months and when clinically indicated. </w:t>
      </w:r>
    </w:p>
    <w:p w:rsidR="001B33E6" w:rsidRPr="00246C2F" w:rsidRDefault="001B33E6" w:rsidP="008D51D9">
      <w:pPr>
        <w:pStyle w:val="Heading3"/>
        <w:spacing w:before="120" w:after="120" w:line="240" w:lineRule="auto"/>
      </w:pPr>
      <w:bookmarkStart w:id="325" w:name="_Toc185736145"/>
      <w:bookmarkStart w:id="326" w:name="_Toc185678173"/>
      <w:bookmarkStart w:id="327" w:name="_Toc185677797"/>
      <w:bookmarkStart w:id="328" w:name="_Toc185673458"/>
      <w:bookmarkStart w:id="329" w:name="_Toc185673280"/>
      <w:bookmarkStart w:id="330" w:name="_Toc185658445"/>
      <w:bookmarkStart w:id="331" w:name="_Toc374967936"/>
      <w:bookmarkStart w:id="332" w:name="_Toc378258160"/>
      <w:r w:rsidRPr="00246C2F">
        <w:t xml:space="preserve">6.3.2. </w:t>
      </w:r>
      <w:r>
        <w:t xml:space="preserve">Isoniazid </w:t>
      </w:r>
      <w:r w:rsidRPr="00246C2F">
        <w:t xml:space="preserve">Preventive </w:t>
      </w:r>
      <w:r>
        <w:t>T</w:t>
      </w:r>
      <w:r w:rsidRPr="00246C2F">
        <w:t>herapy against TB in PLHIVs</w:t>
      </w:r>
      <w:bookmarkEnd w:id="325"/>
      <w:bookmarkEnd w:id="326"/>
      <w:bookmarkEnd w:id="327"/>
      <w:bookmarkEnd w:id="328"/>
      <w:bookmarkEnd w:id="329"/>
      <w:bookmarkEnd w:id="330"/>
      <w:bookmarkEnd w:id="331"/>
      <w:bookmarkEnd w:id="332"/>
    </w:p>
    <w:p w:rsidR="001B33E6" w:rsidRPr="001B33E6" w:rsidRDefault="001B33E6" w:rsidP="00B247C9">
      <w:pPr>
        <w:pStyle w:val="StyleJustifiedCharChar"/>
      </w:pPr>
      <w:r w:rsidRPr="001B33E6">
        <w:t>There is sufficient evidence on the benefits of Isoniazid (INH) preventive therapy against Mycobacterium tuberculosis for HIV infected individuals in whom active TB has been excluded. In this category of HIV patients, Isoniazid Preventive Therapy (IPT) can be offered at a dosage of 300 mg daily for at least 6months for adults and in children INH is given at a dose of 10mg / Kg (Range 10-15mg/Kg) is given daily for six months as well . IPT provides up to 18 months of protection against TB. (Further details on this are provided in chapter 10.)</w:t>
      </w:r>
    </w:p>
    <w:p w:rsidR="001B33E6" w:rsidRPr="00C203F3" w:rsidRDefault="001B33E6" w:rsidP="008D51D9">
      <w:pPr>
        <w:pStyle w:val="Heading2"/>
        <w:spacing w:before="120" w:after="120" w:line="240" w:lineRule="auto"/>
      </w:pPr>
      <w:bookmarkStart w:id="333" w:name="_Toc185736146"/>
      <w:bookmarkStart w:id="334" w:name="_Toc185678174"/>
      <w:bookmarkStart w:id="335" w:name="_Toc185677798"/>
      <w:bookmarkStart w:id="336" w:name="_Toc185673459"/>
      <w:bookmarkStart w:id="337" w:name="_Toc185673281"/>
      <w:bookmarkStart w:id="338" w:name="_Toc185658446"/>
      <w:bookmarkStart w:id="339" w:name="_Toc81332600"/>
      <w:bookmarkStart w:id="340" w:name="_Toc374967937"/>
      <w:bookmarkStart w:id="341" w:name="_Toc378258161"/>
      <w:r w:rsidRPr="00C203F3">
        <w:t>6.4. Treatment of Opportunistic Infections</w:t>
      </w:r>
      <w:bookmarkEnd w:id="333"/>
      <w:bookmarkEnd w:id="334"/>
      <w:bookmarkEnd w:id="335"/>
      <w:bookmarkEnd w:id="336"/>
      <w:bookmarkEnd w:id="337"/>
      <w:bookmarkEnd w:id="338"/>
      <w:bookmarkEnd w:id="339"/>
      <w:bookmarkEnd w:id="340"/>
      <w:bookmarkEnd w:id="341"/>
    </w:p>
    <w:p w:rsidR="001B33E6" w:rsidRPr="001B33E6" w:rsidRDefault="001B33E6" w:rsidP="00B247C9">
      <w:pPr>
        <w:pStyle w:val="StyleJustifiedCharChar"/>
      </w:pPr>
      <w:r w:rsidRPr="001B33E6">
        <w:t xml:space="preserve">It is very important that all efforts are made to deal with such treatable conditions in people with HIV and AIDS, particularly because they are managed at various levels in the health care delivery system. Emphasis should be placed on early detection, treatment and proper referral where necessary. Below are recommendations on how to identify and handle treatable causes of morbidity as a result of selected opportunistic infections in HIV infected individuals. </w:t>
      </w:r>
    </w:p>
    <w:p w:rsidR="001B33E6" w:rsidRPr="00B824F4" w:rsidRDefault="001B33E6" w:rsidP="008D51D9">
      <w:pPr>
        <w:pStyle w:val="Heading3"/>
        <w:spacing w:before="120" w:after="120" w:line="240" w:lineRule="auto"/>
      </w:pPr>
      <w:bookmarkStart w:id="342" w:name="_Toc185736147"/>
      <w:bookmarkStart w:id="343" w:name="_Toc185678175"/>
      <w:bookmarkStart w:id="344" w:name="_Toc185677799"/>
      <w:bookmarkStart w:id="345" w:name="_Toc185673460"/>
      <w:bookmarkStart w:id="346" w:name="_Toc185673282"/>
      <w:bookmarkStart w:id="347" w:name="_Toc185658447"/>
      <w:bookmarkStart w:id="348" w:name="_Toc374967938"/>
      <w:bookmarkStart w:id="349" w:name="_Toc378258162"/>
      <w:r w:rsidRPr="00B824F4">
        <w:t>6.4.1. Viral infections</w:t>
      </w:r>
      <w:bookmarkEnd w:id="342"/>
      <w:bookmarkEnd w:id="343"/>
      <w:bookmarkEnd w:id="344"/>
      <w:bookmarkEnd w:id="345"/>
      <w:bookmarkEnd w:id="346"/>
      <w:bookmarkEnd w:id="347"/>
      <w:bookmarkEnd w:id="348"/>
      <w:bookmarkEnd w:id="349"/>
    </w:p>
    <w:p w:rsidR="001B33E6" w:rsidRPr="001B33E6" w:rsidRDefault="001B33E6" w:rsidP="00B247C9">
      <w:pPr>
        <w:pStyle w:val="StyleJustifiedCharChar"/>
      </w:pPr>
      <w:r w:rsidRPr="001B33E6">
        <w:t>Viruses that are commonly associated with HIV and AIDS include:</w:t>
      </w:r>
    </w:p>
    <w:p w:rsidR="001B33E6" w:rsidRPr="001B33E6" w:rsidRDefault="001B33E6" w:rsidP="00B247C9">
      <w:pPr>
        <w:pStyle w:val="StyleJustifiedCharChar"/>
      </w:pPr>
      <w:r w:rsidRPr="001B33E6">
        <w:t>Herpes simplex virus</w:t>
      </w:r>
    </w:p>
    <w:p w:rsidR="001B33E6" w:rsidRPr="001B33E6" w:rsidRDefault="001B33E6" w:rsidP="00B247C9">
      <w:pPr>
        <w:pStyle w:val="StyleJustifiedCharChar"/>
      </w:pPr>
      <w:r w:rsidRPr="001B33E6">
        <w:t>Varicella zoster virus</w:t>
      </w:r>
    </w:p>
    <w:p w:rsidR="001B33E6" w:rsidRPr="001B33E6" w:rsidRDefault="001B33E6" w:rsidP="00B247C9">
      <w:pPr>
        <w:pStyle w:val="StyleJustifiedCharChar"/>
      </w:pPr>
      <w:r w:rsidRPr="001B33E6">
        <w:t>Human papilloma virus</w:t>
      </w:r>
    </w:p>
    <w:p w:rsidR="001B33E6" w:rsidRPr="001B33E6" w:rsidRDefault="001B33E6" w:rsidP="008D51D9">
      <w:pPr>
        <w:spacing w:before="120" w:after="120" w:line="240" w:lineRule="auto"/>
        <w:rPr>
          <w:rFonts w:ascii="Arial" w:hAnsi="Arial" w:cs="Arial"/>
          <w:b/>
        </w:rPr>
      </w:pPr>
      <w:r w:rsidRPr="001B33E6">
        <w:rPr>
          <w:rFonts w:ascii="Arial" w:eastAsia="Times New Roman" w:hAnsi="Arial" w:cs="Arial"/>
          <w:b/>
          <w:lang w:val="en-GB"/>
        </w:rPr>
        <w:t>Herpes simplex virus infection (HSV)</w:t>
      </w:r>
    </w:p>
    <w:p w:rsidR="001B33E6" w:rsidRPr="001B33E6" w:rsidRDefault="001B33E6" w:rsidP="00B247C9">
      <w:pPr>
        <w:pStyle w:val="StyleJustifiedCharChar"/>
      </w:pPr>
      <w:r w:rsidRPr="001B33E6">
        <w:t>The classical presentation of primary HSV infection includes:</w:t>
      </w:r>
    </w:p>
    <w:p w:rsidR="001B33E6" w:rsidRPr="001B33E6" w:rsidRDefault="001B33E6" w:rsidP="00B247C9">
      <w:pPr>
        <w:pStyle w:val="StyleJustifiedCharChar"/>
      </w:pPr>
      <w:r w:rsidRPr="001B33E6">
        <w:t>Fever</w:t>
      </w:r>
    </w:p>
    <w:p w:rsidR="001B33E6" w:rsidRPr="001B33E6" w:rsidRDefault="001B33E6" w:rsidP="00B247C9">
      <w:pPr>
        <w:pStyle w:val="StyleJustifiedCharChar"/>
      </w:pPr>
      <w:r w:rsidRPr="001B33E6">
        <w:t>Lymph node enlargement</w:t>
      </w:r>
    </w:p>
    <w:p w:rsidR="001B33E6" w:rsidRPr="001B33E6" w:rsidRDefault="001B33E6" w:rsidP="00B247C9">
      <w:pPr>
        <w:pStyle w:val="StyleJustifiedCharChar"/>
      </w:pPr>
      <w:r w:rsidRPr="001B33E6">
        <w:t>Small painful vesicles</w:t>
      </w:r>
    </w:p>
    <w:p w:rsidR="001B33E6" w:rsidRPr="001B33E6" w:rsidRDefault="001B33E6" w:rsidP="00B247C9">
      <w:pPr>
        <w:pStyle w:val="StyleJustifiedCharChar"/>
      </w:pPr>
      <w:r w:rsidRPr="001B33E6">
        <w:t>Painful ulcers on the mucosa and skin</w:t>
      </w:r>
    </w:p>
    <w:p w:rsidR="001B33E6" w:rsidRPr="001B33E6" w:rsidRDefault="001B33E6" w:rsidP="00B247C9">
      <w:pPr>
        <w:pStyle w:val="StyleJustifiedCharChar"/>
      </w:pPr>
      <w:r w:rsidRPr="001B33E6">
        <w:t>Pain along gluteal and upper thigh muscles (Sacral radiculomyelitis) may occur with genital/rectal HSV</w:t>
      </w:r>
    </w:p>
    <w:p w:rsidR="001B33E6" w:rsidRPr="001B33E6" w:rsidRDefault="001B33E6" w:rsidP="00B247C9">
      <w:pPr>
        <w:pStyle w:val="StyleJustifiedCharChar"/>
      </w:pPr>
      <w:r w:rsidRPr="001B33E6">
        <w:t>Lesions that usually resolve within 10-21 days after primary infection. The HSV then becomes latent in trigeminal and sacral nuclei and may reactivate.</w:t>
      </w:r>
    </w:p>
    <w:p w:rsidR="001B33E6" w:rsidRPr="001B33E6" w:rsidRDefault="001B33E6" w:rsidP="00B247C9">
      <w:pPr>
        <w:pStyle w:val="StyleJustifiedCharChar"/>
      </w:pPr>
      <w:r w:rsidRPr="001B33E6">
        <w:t xml:space="preserve">The clinical features in patients with HIV and AIDS may also include persistent/erosive genital/peri-rectal ulcerations which are mainly associated with HSV-2 and more recurrent herpetic lesions. </w:t>
      </w:r>
    </w:p>
    <w:p w:rsidR="001B33E6" w:rsidRPr="001B33E6" w:rsidRDefault="001B33E6" w:rsidP="008D51D9">
      <w:pPr>
        <w:spacing w:before="120" w:after="120" w:line="240" w:lineRule="auto"/>
        <w:rPr>
          <w:rFonts w:ascii="Arial" w:eastAsia="Times New Roman" w:hAnsi="Arial" w:cs="Arial"/>
          <w:lang w:val="en-GB"/>
        </w:rPr>
      </w:pPr>
      <w:r w:rsidRPr="001B33E6">
        <w:rPr>
          <w:rFonts w:ascii="Arial" w:eastAsia="Times New Roman" w:hAnsi="Arial" w:cs="Arial"/>
          <w:lang w:val="en-GB"/>
        </w:rPr>
        <w:t>The diagnosis is usually based on clinical history and physical findings. Laboratory tests include serology, culture, immunoflorescence or immunoassay, but these are not practical in Tanzania.</w:t>
      </w:r>
    </w:p>
    <w:p w:rsidR="001B33E6" w:rsidRPr="001B33E6" w:rsidRDefault="001B33E6" w:rsidP="008D51D9">
      <w:pPr>
        <w:spacing w:before="120" w:after="120" w:line="240" w:lineRule="auto"/>
        <w:rPr>
          <w:rFonts w:ascii="Arial" w:eastAsia="Times New Roman" w:hAnsi="Arial" w:cs="Arial"/>
          <w:b/>
          <w:lang w:val="en-GB"/>
        </w:rPr>
      </w:pPr>
      <w:r w:rsidRPr="001B33E6">
        <w:rPr>
          <w:rFonts w:ascii="Arial" w:eastAsia="Times New Roman" w:hAnsi="Arial" w:cs="Arial"/>
          <w:b/>
          <w:lang w:val="en-GB"/>
        </w:rPr>
        <w:t xml:space="preserve">Treatment: </w:t>
      </w:r>
    </w:p>
    <w:p w:rsidR="001B33E6" w:rsidRPr="001B33E6" w:rsidRDefault="001B33E6" w:rsidP="00B247C9">
      <w:pPr>
        <w:pStyle w:val="StyleJustifiedCharChar"/>
      </w:pPr>
      <w:r w:rsidRPr="001B33E6">
        <w:t xml:space="preserve">Acyclovir 400mg orally three times daily for 7 days for mild and moderate cases of HSV </w:t>
      </w:r>
    </w:p>
    <w:p w:rsidR="001B33E6" w:rsidRPr="001B33E6" w:rsidRDefault="001B33E6" w:rsidP="00B247C9">
      <w:pPr>
        <w:pStyle w:val="StyleJustifiedCharChar"/>
      </w:pPr>
      <w:r w:rsidRPr="001B33E6">
        <w:t xml:space="preserve">Acyclovir 800mg orally, five (5) times daily for 5 days for severe and recurrent HSV </w:t>
      </w:r>
    </w:p>
    <w:p w:rsidR="001B33E6" w:rsidRPr="001B33E6" w:rsidRDefault="001B33E6" w:rsidP="00B247C9">
      <w:pPr>
        <w:pStyle w:val="StyleJustifiedCharChar"/>
      </w:pPr>
      <w:r w:rsidRPr="001B33E6">
        <w:t xml:space="preserve">Antibiotics such as Cloxacillin or Erythromycin should be used when there is secondary bacterial infection </w:t>
      </w:r>
    </w:p>
    <w:p w:rsidR="001B33E6" w:rsidRPr="001B33E6" w:rsidRDefault="001B33E6" w:rsidP="00B247C9">
      <w:pPr>
        <w:pStyle w:val="StyleJustifiedCharChar"/>
      </w:pPr>
      <w:r w:rsidRPr="001B33E6">
        <w:t xml:space="preserve">Analgesics when pain is severe </w:t>
      </w:r>
    </w:p>
    <w:p w:rsidR="001B33E6" w:rsidRPr="00E61002" w:rsidRDefault="001B33E6" w:rsidP="00B247C9">
      <w:pPr>
        <w:pStyle w:val="StyleJustifiedCharChar"/>
      </w:pPr>
      <w:bookmarkStart w:id="350" w:name="_Toc185736148"/>
      <w:bookmarkStart w:id="351" w:name="_Toc185678176"/>
      <w:bookmarkStart w:id="352" w:name="_Toc185677800"/>
      <w:bookmarkStart w:id="353" w:name="_Toc185673461"/>
      <w:bookmarkStart w:id="354" w:name="_Toc185673283"/>
      <w:bookmarkStart w:id="355" w:name="_Toc185658448"/>
      <w:r w:rsidRPr="00E61002">
        <w:t>Varicella-zoster virus (Herpes zoster or shingles)</w:t>
      </w:r>
      <w:bookmarkEnd w:id="350"/>
      <w:bookmarkEnd w:id="351"/>
      <w:bookmarkEnd w:id="352"/>
      <w:bookmarkEnd w:id="353"/>
      <w:bookmarkEnd w:id="354"/>
      <w:bookmarkEnd w:id="355"/>
    </w:p>
    <w:p w:rsidR="001B33E6" w:rsidRPr="001B33E6" w:rsidRDefault="001B33E6" w:rsidP="00B247C9">
      <w:pPr>
        <w:pStyle w:val="StyleJustifiedCharChar"/>
      </w:pPr>
      <w:r w:rsidRPr="001B33E6">
        <w:t>Clinical features of herpes zoster:</w:t>
      </w:r>
    </w:p>
    <w:p w:rsidR="001B33E6" w:rsidRPr="001B33E6" w:rsidRDefault="001B33E6" w:rsidP="00B247C9">
      <w:pPr>
        <w:pStyle w:val="StyleJustifiedCharChar"/>
      </w:pPr>
      <w:r w:rsidRPr="001B33E6">
        <w:t>Early symptoms include pain (often severe and radicular) and fever followed by vesicular rash over involved dermatome(s) 2-4 days later</w:t>
      </w:r>
    </w:p>
    <w:p w:rsidR="001B33E6" w:rsidRPr="001B33E6" w:rsidRDefault="001B33E6" w:rsidP="00B247C9">
      <w:pPr>
        <w:pStyle w:val="StyleJustifiedCharChar"/>
      </w:pPr>
      <w:r w:rsidRPr="001B33E6">
        <w:t xml:space="preserve">Primary varicella-zoster virus (VZV) infection usually results in chicken pox </w:t>
      </w:r>
    </w:p>
    <w:p w:rsidR="001B33E6" w:rsidRPr="001B33E6" w:rsidRDefault="001B33E6" w:rsidP="00B247C9">
      <w:pPr>
        <w:pStyle w:val="StyleJustifiedCharChar"/>
      </w:pPr>
      <w:bookmarkStart w:id="356" w:name="_Toc185736150"/>
      <w:bookmarkStart w:id="357" w:name="_Toc185678178"/>
      <w:bookmarkStart w:id="358" w:name="_Toc185677802"/>
      <w:bookmarkStart w:id="359" w:name="_Toc185673463"/>
      <w:bookmarkStart w:id="360" w:name="_Toc185673285"/>
      <w:bookmarkStart w:id="361" w:name="_Toc185658450"/>
      <w:r w:rsidRPr="001B33E6">
        <w:t>Herpes zoster in HIV infected individuals may be more severe, with more recurrences and may involve more dermatomes including the following:</w:t>
      </w:r>
      <w:bookmarkEnd w:id="356"/>
      <w:bookmarkEnd w:id="357"/>
      <w:bookmarkEnd w:id="358"/>
      <w:bookmarkEnd w:id="359"/>
      <w:bookmarkEnd w:id="360"/>
      <w:bookmarkEnd w:id="361"/>
    </w:p>
    <w:p w:rsidR="001B33E6" w:rsidRPr="001B33E6" w:rsidRDefault="001B33E6" w:rsidP="00B247C9">
      <w:pPr>
        <w:pStyle w:val="StyleJustifiedCharChar"/>
      </w:pPr>
      <w:r w:rsidRPr="001B33E6">
        <w:t>More lesions</w:t>
      </w:r>
    </w:p>
    <w:p w:rsidR="001B33E6" w:rsidRPr="001B33E6" w:rsidRDefault="001B33E6" w:rsidP="00B247C9">
      <w:pPr>
        <w:pStyle w:val="StyleJustifiedCharChar"/>
      </w:pPr>
      <w:r w:rsidRPr="001B33E6">
        <w:t>Disseminated disease associated with pneumonitis, hepatitis and hemorrhagic skin lesions</w:t>
      </w:r>
    </w:p>
    <w:p w:rsidR="001B33E6" w:rsidRPr="001B33E6" w:rsidRDefault="001B33E6" w:rsidP="00B247C9">
      <w:pPr>
        <w:pStyle w:val="StyleJustifiedCharChar"/>
      </w:pPr>
      <w:r w:rsidRPr="001B33E6">
        <w:t>Central Nervous System (CNS) manifestations including encephalitis and cerebellar ataxia</w:t>
      </w:r>
    </w:p>
    <w:p w:rsidR="001B33E6" w:rsidRPr="001B33E6" w:rsidRDefault="001B33E6" w:rsidP="00B247C9">
      <w:pPr>
        <w:pStyle w:val="StyleJustifiedCharChar"/>
      </w:pPr>
      <w:r w:rsidRPr="001B33E6">
        <w:t>Prolonged healing time</w:t>
      </w:r>
    </w:p>
    <w:p w:rsidR="001B33E6" w:rsidRPr="001B33E6" w:rsidRDefault="001B33E6" w:rsidP="00B247C9">
      <w:pPr>
        <w:pStyle w:val="StyleJustifiedCharChar"/>
      </w:pPr>
      <w:r w:rsidRPr="001B33E6">
        <w:t>Bacterial super-infection</w:t>
      </w:r>
      <w:bookmarkStart w:id="362" w:name="_Toc81332602"/>
      <w:bookmarkStart w:id="363" w:name="_Toc74551412"/>
    </w:p>
    <w:p w:rsidR="001B33E6" w:rsidRPr="001B33E6" w:rsidRDefault="001B33E6" w:rsidP="00B247C9">
      <w:pPr>
        <w:pStyle w:val="StyleJustifiedCharChar"/>
      </w:pPr>
      <w:bookmarkStart w:id="364" w:name="_Toc185736149"/>
      <w:bookmarkStart w:id="365" w:name="_Toc185678177"/>
      <w:bookmarkStart w:id="366" w:name="_Toc185677801"/>
      <w:bookmarkStart w:id="367" w:name="_Toc185673462"/>
      <w:bookmarkStart w:id="368" w:name="_Toc185673284"/>
      <w:bookmarkStart w:id="369" w:name="_Toc185658449"/>
      <w:r w:rsidRPr="001B33E6">
        <w:t>The diagnosis of herpes zoster is usually based on findings of characteristic of painful skin lesions at different stages of evolution (e.g. erythema, papule, vesicles, and crusts) in a dermatomal distribution.</w:t>
      </w:r>
      <w:bookmarkEnd w:id="364"/>
      <w:bookmarkEnd w:id="365"/>
      <w:bookmarkEnd w:id="366"/>
      <w:bookmarkEnd w:id="367"/>
      <w:bookmarkEnd w:id="368"/>
      <w:bookmarkEnd w:id="369"/>
    </w:p>
    <w:p w:rsidR="001B33E6" w:rsidRPr="001B33E6" w:rsidRDefault="001B33E6" w:rsidP="008D51D9">
      <w:pPr>
        <w:spacing w:before="120" w:after="120" w:line="240" w:lineRule="auto"/>
        <w:rPr>
          <w:rFonts w:ascii="Arial" w:hAnsi="Arial" w:cs="Arial"/>
          <w:b/>
          <w:lang w:val="en-GB"/>
        </w:rPr>
      </w:pPr>
      <w:bookmarkStart w:id="370" w:name="_Toc185736151"/>
      <w:bookmarkStart w:id="371" w:name="_Toc185678179"/>
      <w:bookmarkStart w:id="372" w:name="_Toc185677803"/>
      <w:bookmarkStart w:id="373" w:name="_Toc185673464"/>
      <w:bookmarkStart w:id="374" w:name="_Toc185673286"/>
      <w:bookmarkStart w:id="375" w:name="_Toc185658451"/>
      <w:bookmarkEnd w:id="362"/>
      <w:bookmarkEnd w:id="363"/>
      <w:r w:rsidRPr="001B33E6">
        <w:rPr>
          <w:rFonts w:ascii="Arial" w:eastAsia="Times New Roman" w:hAnsi="Arial" w:cs="Arial"/>
          <w:b/>
          <w:lang w:val="en-GB"/>
        </w:rPr>
        <w:t>Treatment</w:t>
      </w:r>
      <w:bookmarkEnd w:id="370"/>
      <w:bookmarkEnd w:id="371"/>
      <w:bookmarkEnd w:id="372"/>
      <w:bookmarkEnd w:id="373"/>
      <w:bookmarkEnd w:id="374"/>
      <w:bookmarkEnd w:id="375"/>
      <w:r w:rsidRPr="001B33E6">
        <w:rPr>
          <w:rFonts w:ascii="Arial" w:eastAsia="Times New Roman" w:hAnsi="Arial" w:cs="Arial"/>
          <w:b/>
          <w:lang w:val="en-GB"/>
        </w:rPr>
        <w:t>:</w:t>
      </w:r>
      <w:r w:rsidRPr="001B33E6">
        <w:rPr>
          <w:rFonts w:ascii="Arial" w:hAnsi="Arial" w:cs="Arial"/>
          <w:b/>
          <w:lang w:val="en-GB"/>
        </w:rPr>
        <w:tab/>
      </w:r>
    </w:p>
    <w:p w:rsidR="001B33E6" w:rsidRPr="001B33E6" w:rsidRDefault="001B33E6" w:rsidP="00B247C9">
      <w:pPr>
        <w:pStyle w:val="StyleJustifiedCharChar"/>
      </w:pPr>
      <w:r w:rsidRPr="001B33E6">
        <w:t xml:space="preserve">Analgesics eg. Paracetamol, Aspirin or Diclofenac to relieve pain even though the pain may sometimes be unmanageable  </w:t>
      </w:r>
    </w:p>
    <w:p w:rsidR="001B33E6" w:rsidRPr="001B33E6" w:rsidRDefault="001B33E6" w:rsidP="00B247C9">
      <w:pPr>
        <w:pStyle w:val="StyleJustifiedCharChar"/>
      </w:pPr>
      <w:r w:rsidRPr="001B33E6">
        <w:t>Acyclovir 800mg 5 times per day for 7-10 days  for mild and moderate cases</w:t>
      </w:r>
    </w:p>
    <w:p w:rsidR="001B33E6" w:rsidRPr="001B33E6" w:rsidRDefault="001B33E6" w:rsidP="00B247C9">
      <w:pPr>
        <w:pStyle w:val="StyleJustifiedCharChar"/>
      </w:pPr>
      <w:r w:rsidRPr="001B33E6">
        <w:t xml:space="preserve">IV/Oral Acyclovir 10 mg/kg/day 8 hourly for 7 days for disseminated VZV or ophthalmic nerve involvement  </w:t>
      </w:r>
    </w:p>
    <w:p w:rsidR="001B33E6" w:rsidRPr="001B33E6" w:rsidRDefault="001B33E6" w:rsidP="00B247C9">
      <w:pPr>
        <w:pStyle w:val="StyleJustifiedCharChar"/>
      </w:pPr>
      <w:r w:rsidRPr="001B33E6">
        <w:t xml:space="preserve">Erythromycin or Cloxacillin 500mg three times daily for 7 days for bacterial super-infection </w:t>
      </w:r>
    </w:p>
    <w:p w:rsidR="001B33E6" w:rsidRPr="001B33E6" w:rsidRDefault="001B33E6" w:rsidP="00B247C9">
      <w:pPr>
        <w:pStyle w:val="StyleJustifiedCharChar"/>
      </w:pPr>
      <w:r w:rsidRPr="001B33E6">
        <w:t xml:space="preserve">Amitriptylin 25-50mg nocte for post-herpetic pain (neuralgia)  </w:t>
      </w:r>
    </w:p>
    <w:p w:rsidR="001B33E6" w:rsidRPr="001B33E6" w:rsidRDefault="001B33E6" w:rsidP="00B247C9">
      <w:pPr>
        <w:pStyle w:val="StyleJustifiedCharChar"/>
      </w:pPr>
      <w:r w:rsidRPr="001B33E6">
        <w:t>Note: Use of steroids (prednisolone) in herpes zoster is not recommended.</w:t>
      </w:r>
    </w:p>
    <w:p w:rsidR="001B33E6" w:rsidRPr="00E61002" w:rsidRDefault="001B33E6" w:rsidP="00B247C9">
      <w:pPr>
        <w:pStyle w:val="StyleJustifiedCharChar"/>
      </w:pPr>
      <w:r w:rsidRPr="00E61002">
        <w:t>Human papilloma virus (HPV)</w:t>
      </w:r>
    </w:p>
    <w:p w:rsidR="001B33E6" w:rsidRPr="001B33E6" w:rsidRDefault="001B33E6" w:rsidP="00B247C9">
      <w:pPr>
        <w:pStyle w:val="StyleJustifiedCharChar"/>
      </w:pPr>
      <w:r w:rsidRPr="001B33E6">
        <w:t>HPV is a family of viruses that cause genital warts in men and women. HPV is also known to cause cellular changes that can lead to cancer of the cervix in women and anal cancers especially in gay men. The association between HIV and invasive cervical cancer is complex, with several studies now clearly demonstrating an increased risk of precancerous cervical lesions and a more rapid progression to cancer amongst HIV-infected women. Invasive cervical cancer and its precursor, cervical intraepithelial neoplasia (CIN), are associated with persistent infection with oncogenic, “high- risk” (HR) types of the human papillomavirus (HPV). In women with healthy immune systems, most HPV infections are transient and cleared. Persistent HR-HPV infection, though, significantly increases the risk of cellular change leading to the development of precancerous lesions and eventually invasive cervical cancer.</w:t>
      </w:r>
    </w:p>
    <w:p w:rsidR="001B33E6" w:rsidRPr="001B33E6" w:rsidRDefault="001B33E6" w:rsidP="00B247C9">
      <w:pPr>
        <w:pStyle w:val="StyleJustifiedCharChar"/>
      </w:pPr>
      <w:r w:rsidRPr="001B33E6">
        <w:t>Primary prevention of cervical cancer involves prevention of infection with HPV. Primary prevention can be achieved through behavioural change approaches and the use of biological mechanisms, including HPV vaccination. However, abstinence from sexual exposure, being mutually faithful and consistent condom use can reduce the risk of HPV transmission.</w:t>
      </w:r>
    </w:p>
    <w:p w:rsidR="001B33E6" w:rsidRPr="001B33E6" w:rsidRDefault="001B33E6" w:rsidP="00B247C9">
      <w:pPr>
        <w:pStyle w:val="StyleJustifiedCharChar"/>
      </w:pPr>
      <w:r w:rsidRPr="001B33E6">
        <w:t>Treatment</w:t>
      </w:r>
    </w:p>
    <w:p w:rsidR="001B33E6" w:rsidRPr="001B33E6" w:rsidRDefault="001B33E6" w:rsidP="00B247C9">
      <w:pPr>
        <w:pStyle w:val="StyleJustifiedCharChar"/>
      </w:pPr>
      <w:r w:rsidRPr="001B33E6">
        <w:t>There is no cure for the virus (HPV) itself. There are treatments for the health problems that HPV can cause, such as genital warts, cervical changes, and cervical cancer.</w:t>
      </w:r>
    </w:p>
    <w:p w:rsidR="001B33E6" w:rsidRPr="00F14516" w:rsidRDefault="001B33E6" w:rsidP="00B247C9">
      <w:pPr>
        <w:pStyle w:val="StyleJustifiedCharChar"/>
      </w:pPr>
    </w:p>
    <w:p w:rsidR="001B33E6" w:rsidRPr="00B824F4" w:rsidRDefault="001B33E6" w:rsidP="008D51D9">
      <w:pPr>
        <w:pStyle w:val="Heading3"/>
        <w:spacing w:before="120" w:after="120" w:line="240" w:lineRule="auto"/>
      </w:pPr>
      <w:bookmarkStart w:id="376" w:name="_Toc185736152"/>
      <w:bookmarkStart w:id="377" w:name="_Toc185678180"/>
      <w:bookmarkStart w:id="378" w:name="_Toc185677804"/>
      <w:bookmarkStart w:id="379" w:name="_Toc185673465"/>
      <w:bookmarkStart w:id="380" w:name="_Toc185673287"/>
      <w:bookmarkStart w:id="381" w:name="_Toc185658452"/>
      <w:bookmarkStart w:id="382" w:name="_Toc374967939"/>
      <w:bookmarkStart w:id="383" w:name="_Toc378258163"/>
      <w:r w:rsidRPr="00B824F4">
        <w:t>6.4.2. Bacterial infections</w:t>
      </w:r>
      <w:bookmarkEnd w:id="376"/>
      <w:bookmarkEnd w:id="377"/>
      <w:bookmarkEnd w:id="378"/>
      <w:bookmarkEnd w:id="379"/>
      <w:bookmarkEnd w:id="380"/>
      <w:bookmarkEnd w:id="381"/>
      <w:bookmarkEnd w:id="382"/>
      <w:bookmarkEnd w:id="383"/>
    </w:p>
    <w:p w:rsidR="001B33E6" w:rsidRPr="001B33E6" w:rsidRDefault="001B33E6" w:rsidP="00B247C9">
      <w:pPr>
        <w:pStyle w:val="StyleJustifiedCharChar"/>
      </w:pPr>
      <w:r w:rsidRPr="001B33E6">
        <w:t>Bacterial infections that occur with increased frequency in persons with HIV and AIDS include:</w:t>
      </w:r>
    </w:p>
    <w:p w:rsidR="001B33E6" w:rsidRPr="001B33E6" w:rsidRDefault="001B33E6" w:rsidP="00B247C9">
      <w:pPr>
        <w:pStyle w:val="StyleJustifiedCharChar"/>
      </w:pPr>
      <w:r w:rsidRPr="001B33E6">
        <w:t>Respiratory infections: Streptococcus pneumoniae, Haemophilus influenzae</w:t>
      </w:r>
    </w:p>
    <w:p w:rsidR="001B33E6" w:rsidRPr="001B33E6" w:rsidRDefault="001B33E6" w:rsidP="00B247C9">
      <w:pPr>
        <w:pStyle w:val="StyleJustifiedCharChar"/>
      </w:pPr>
      <w:r w:rsidRPr="001B33E6">
        <w:t>Septicemia: Non typhoid salmonella, Pseudomonas aeruginosa</w:t>
      </w:r>
    </w:p>
    <w:p w:rsidR="001B33E6" w:rsidRPr="001B33E6" w:rsidRDefault="001B33E6" w:rsidP="00B247C9">
      <w:pPr>
        <w:pStyle w:val="StyleJustifiedCharChar"/>
      </w:pPr>
      <w:r w:rsidRPr="001B33E6">
        <w:t>Cutaneous infections: Staphylococcus aureus</w:t>
      </w:r>
    </w:p>
    <w:p w:rsidR="001B33E6" w:rsidRPr="001B33E6" w:rsidRDefault="001B33E6" w:rsidP="00B247C9">
      <w:pPr>
        <w:pStyle w:val="StyleJustifiedCharChar"/>
      </w:pPr>
      <w:r w:rsidRPr="001B33E6">
        <w:t>Note: Treatment of bacterial infections is the same as in non- HIV infected individuals.</w:t>
      </w:r>
    </w:p>
    <w:p w:rsidR="001B33E6" w:rsidRPr="00DC6407" w:rsidRDefault="001B33E6" w:rsidP="008D51D9">
      <w:pPr>
        <w:pStyle w:val="Heading3"/>
        <w:spacing w:before="120" w:after="120" w:line="240" w:lineRule="auto"/>
        <w:rPr>
          <w:szCs w:val="24"/>
        </w:rPr>
      </w:pPr>
      <w:bookmarkStart w:id="384" w:name="_Toc185736153"/>
      <w:bookmarkStart w:id="385" w:name="_Toc185678181"/>
      <w:bookmarkStart w:id="386" w:name="_Toc185677805"/>
      <w:bookmarkStart w:id="387" w:name="_Toc185673466"/>
      <w:bookmarkStart w:id="388" w:name="_Toc185673288"/>
      <w:bookmarkStart w:id="389" w:name="_Toc185658453"/>
      <w:bookmarkStart w:id="390" w:name="_Toc374967940"/>
      <w:bookmarkStart w:id="391" w:name="_Toc378258164"/>
      <w:r w:rsidRPr="00DC6407">
        <w:rPr>
          <w:szCs w:val="24"/>
        </w:rPr>
        <w:t>6.4.3. Fungal infections</w:t>
      </w:r>
      <w:bookmarkEnd w:id="384"/>
      <w:bookmarkEnd w:id="385"/>
      <w:bookmarkEnd w:id="386"/>
      <w:bookmarkEnd w:id="387"/>
      <w:bookmarkEnd w:id="388"/>
      <w:bookmarkEnd w:id="389"/>
      <w:bookmarkEnd w:id="390"/>
      <w:bookmarkEnd w:id="391"/>
    </w:p>
    <w:p w:rsidR="001B33E6" w:rsidRPr="001B33E6" w:rsidRDefault="001B33E6" w:rsidP="00B247C9">
      <w:pPr>
        <w:pStyle w:val="StyleJustifiedCharChar"/>
      </w:pPr>
      <w:r w:rsidRPr="001B33E6">
        <w:t xml:space="preserve">Fungal infections commonly found in association with HIV and AIDS include: Cryptococcus neoformans, Pneumocystic jiroveci, Candida species, and Histoplasma capsulatum.  </w:t>
      </w:r>
    </w:p>
    <w:p w:rsidR="001B33E6" w:rsidRPr="001B33E6" w:rsidRDefault="001B33E6" w:rsidP="00B247C9">
      <w:pPr>
        <w:pStyle w:val="StyleJustifiedCharChar"/>
      </w:pPr>
      <w:r w:rsidRPr="001B33E6">
        <w:t>Cryptococcus neoformans</w:t>
      </w:r>
    </w:p>
    <w:p w:rsidR="001B33E6" w:rsidRPr="001B33E6" w:rsidRDefault="001B33E6" w:rsidP="00B247C9">
      <w:pPr>
        <w:pStyle w:val="StyleJustifiedCharChar"/>
      </w:pPr>
      <w:r w:rsidRPr="001B33E6">
        <w:t>This is a major cause of meningitis in HIV infected persons. Contrary to bacterial meningitis, the patient may not suffer from fever in this case. However, severe headache with or without meningism or altered level of consciousness is a common presenting feature. Diagnosis depends on demonstration of positive Cerebral Spinal Fluid (CSF) with Indian Ink preparation.</w:t>
      </w:r>
    </w:p>
    <w:p w:rsidR="001B33E6" w:rsidRPr="001B33E6" w:rsidRDefault="001B33E6" w:rsidP="00B247C9">
      <w:pPr>
        <w:pStyle w:val="StyleJustifiedCharChar"/>
      </w:pPr>
      <w:r w:rsidRPr="001B33E6">
        <w:t>Treatment:</w:t>
      </w:r>
    </w:p>
    <w:p w:rsidR="001B33E6" w:rsidRPr="001B33E6" w:rsidRDefault="001B33E6" w:rsidP="00B247C9">
      <w:pPr>
        <w:pStyle w:val="StyleJustifiedCharChar"/>
      </w:pPr>
      <w:r w:rsidRPr="001B33E6">
        <w:t>The preferred regimen is in 3 phases;</w:t>
      </w:r>
    </w:p>
    <w:p w:rsidR="001B33E6" w:rsidRPr="001B33E6" w:rsidRDefault="001B33E6" w:rsidP="00B247C9">
      <w:pPr>
        <w:pStyle w:val="StyleJustifiedCharChar"/>
      </w:pPr>
      <w:r w:rsidRPr="001B33E6">
        <w:t>Phase 1; Induction phase;</w:t>
      </w:r>
    </w:p>
    <w:p w:rsidR="001B33E6" w:rsidRPr="001B33E6" w:rsidRDefault="001B33E6" w:rsidP="00B247C9">
      <w:pPr>
        <w:pStyle w:val="StyleJustifiedCharChar"/>
      </w:pPr>
      <w:r w:rsidRPr="001B33E6">
        <w:t>Amphotericin B 0.7mg/kg/day IV + 5 Flucytosine 100mg/kg/day administered orally for 14 days</w:t>
      </w:r>
    </w:p>
    <w:p w:rsidR="001B33E6" w:rsidRPr="001B33E6" w:rsidRDefault="001B33E6" w:rsidP="00B247C9">
      <w:pPr>
        <w:pStyle w:val="StyleJustifiedCharChar"/>
      </w:pPr>
      <w:r w:rsidRPr="001B33E6">
        <w:t xml:space="preserve">Phase 2: Consolidation phase </w:t>
      </w:r>
    </w:p>
    <w:p w:rsidR="001B33E6" w:rsidRPr="001B33E6" w:rsidRDefault="001B33E6" w:rsidP="00B247C9">
      <w:pPr>
        <w:pStyle w:val="StyleJustifiedCharChar"/>
      </w:pPr>
      <w:r w:rsidRPr="001B33E6">
        <w:t xml:space="preserve">Fluconazole 400mg/ day for 8 weeks or until CSF is sterile. </w:t>
      </w:r>
    </w:p>
    <w:p w:rsidR="001B33E6" w:rsidRPr="001B33E6" w:rsidRDefault="001B33E6" w:rsidP="00B247C9">
      <w:pPr>
        <w:pStyle w:val="StyleJustifiedCharChar"/>
      </w:pPr>
      <w:r w:rsidRPr="001B33E6">
        <w:t xml:space="preserve">Phase 3: Suppressive phase </w:t>
      </w:r>
    </w:p>
    <w:p w:rsidR="001B33E6" w:rsidRPr="001B33E6" w:rsidRDefault="001B33E6" w:rsidP="00B247C9">
      <w:pPr>
        <w:pStyle w:val="StyleJustifiedCharChar"/>
      </w:pPr>
      <w:r w:rsidRPr="001B33E6">
        <w:t>Give patient maintenance therapy with Fluconazole 200mg per day.</w:t>
      </w:r>
    </w:p>
    <w:p w:rsidR="001B33E6" w:rsidRPr="001B33E6" w:rsidRDefault="001B33E6" w:rsidP="00B247C9">
      <w:pPr>
        <w:pStyle w:val="StyleJustifiedCharChar"/>
      </w:pPr>
      <w:r w:rsidRPr="001B33E6">
        <w:t>Alternatively, give Fluconazole IV 400-1200 mg/day for 10 days or until the drug can be administered orally then continue with the same dose for 10 weeks. Thereafter maintain 200 mg daily on alternate days as secondary chemoprophylaxis.</w:t>
      </w:r>
    </w:p>
    <w:p w:rsidR="001B33E6" w:rsidRPr="001B33E6" w:rsidRDefault="001B33E6" w:rsidP="00B247C9">
      <w:pPr>
        <w:pStyle w:val="StyleJustifiedCharChar"/>
      </w:pPr>
      <w:r w:rsidRPr="001B33E6">
        <w:t>Serial lumbar puncture to reduce intracranial pressure has been found to reduce mortality. Use manometer, if not available a giving set and graduated ruler can be improvised to measure intracranial pressure.</w:t>
      </w:r>
    </w:p>
    <w:p w:rsidR="001B33E6" w:rsidRPr="001B33E6" w:rsidRDefault="001B33E6" w:rsidP="00B247C9">
      <w:pPr>
        <w:pStyle w:val="StyleJustifiedCharChar"/>
      </w:pPr>
      <w:r w:rsidRPr="001B33E6">
        <w:t xml:space="preserve">Pneumocystis jiroveci pneumonia (PCP) </w:t>
      </w:r>
    </w:p>
    <w:p w:rsidR="001B33E6" w:rsidRPr="001B33E6" w:rsidRDefault="001B33E6" w:rsidP="008D51D9">
      <w:pPr>
        <w:spacing w:before="120" w:after="120" w:line="240" w:lineRule="auto"/>
        <w:jc w:val="both"/>
        <w:rPr>
          <w:rFonts w:ascii="Arial" w:eastAsia="Times New Roman" w:hAnsi="Arial" w:cs="Arial"/>
          <w:lang w:val="en-GB"/>
        </w:rPr>
      </w:pPr>
      <w:r w:rsidRPr="001B33E6">
        <w:rPr>
          <w:rFonts w:ascii="Arial" w:eastAsia="Times New Roman" w:hAnsi="Arial" w:cs="Arial"/>
          <w:lang w:val="en-GB"/>
        </w:rPr>
        <w:t>This condition is quite common in Tanzania especially among HIV infected children. Patients with PCP usually present with non-productive cough, fever, chest tightness and shortness of breath that has evolved over 2-4 weeks. Chest signs may be minimal despite severe shortness of breath.</w:t>
      </w:r>
    </w:p>
    <w:p w:rsidR="001B33E6" w:rsidRPr="001B33E6" w:rsidRDefault="001B33E6" w:rsidP="00B247C9">
      <w:pPr>
        <w:pStyle w:val="StyleJustifiedCharChar"/>
      </w:pPr>
      <w:r w:rsidRPr="001B33E6">
        <w:t>A chest x-ray may show increased diffuse and symmetrical interstitial markings or diffuse alveolar pattern with infiltrations characterized by asymmetry, nodularity or cavitations. Normally there is a “bat’s wing’s appearance” although the chest radiograph may appear normal in 10-30% of patients.</w:t>
      </w:r>
    </w:p>
    <w:p w:rsidR="001B33E6" w:rsidRPr="001B33E6" w:rsidRDefault="001B33E6" w:rsidP="00B247C9">
      <w:pPr>
        <w:pStyle w:val="StyleJustifiedCharChar"/>
      </w:pPr>
      <w:r w:rsidRPr="001B33E6">
        <w:t>Diagnosis:</w:t>
      </w:r>
    </w:p>
    <w:p w:rsidR="001B33E6" w:rsidRPr="001B33E6" w:rsidRDefault="001B33E6" w:rsidP="00B247C9">
      <w:pPr>
        <w:pStyle w:val="StyleJustifiedCharChar"/>
      </w:pPr>
      <w:r w:rsidRPr="001B33E6">
        <w:t>Usually in clinical circumstances diagnosis is based on clinical presentation and exclusion of other common causes of severe dyspnoea.</w:t>
      </w:r>
    </w:p>
    <w:p w:rsidR="001B33E6" w:rsidRPr="001B33E6" w:rsidRDefault="001B33E6" w:rsidP="00B247C9">
      <w:pPr>
        <w:pStyle w:val="StyleJustifiedCharChar"/>
      </w:pPr>
      <w:r w:rsidRPr="001B33E6">
        <w:t xml:space="preserve">Treatment: </w:t>
      </w:r>
    </w:p>
    <w:p w:rsidR="001B33E6" w:rsidRPr="001B33E6" w:rsidRDefault="001B33E6" w:rsidP="00B247C9">
      <w:pPr>
        <w:pStyle w:val="StyleJustifiedCharChar"/>
      </w:pPr>
      <w:r w:rsidRPr="001B33E6">
        <w:t>Cotrimoxazole 1920 mg 3 times /day for 21 days and in severe cases give IV cotrimoxazole 15–20mgTMP/75-100mg SMX/kg/day IV, administered 6-8hourly, may switch to oral after clinical improvement.</w:t>
      </w:r>
    </w:p>
    <w:p w:rsidR="001B33E6" w:rsidRPr="001B33E6" w:rsidRDefault="001B33E6" w:rsidP="00B247C9">
      <w:pPr>
        <w:pStyle w:val="StyleJustifiedCharChar"/>
      </w:pPr>
      <w:r w:rsidRPr="001B33E6">
        <w:t>For those allergic to sulphur, and if available, give Trimethoprim 12-15mg/kg/day + Dapsone 100mg/day for 21 days as well as Clindamycin + Primaquine for 21 days</w:t>
      </w:r>
      <w:bookmarkStart w:id="392" w:name="_Toc81332605"/>
      <w:bookmarkStart w:id="393" w:name="_Toc74551413"/>
    </w:p>
    <w:p w:rsidR="001B33E6" w:rsidRPr="001B33E6" w:rsidRDefault="001B33E6" w:rsidP="00B247C9">
      <w:pPr>
        <w:pStyle w:val="StyleJustifiedCharChar"/>
      </w:pPr>
      <w:r w:rsidRPr="001B33E6">
        <w:t xml:space="preserve">Adjuvant therapy with steroids may also be beneficial in severe cases. Give Prednisolone 40mg twice daily for days 1 to 5, then 40mg once daily for days 6 to 10, and then 20mg once daily for days 11 to 21 </w:t>
      </w:r>
    </w:p>
    <w:p w:rsidR="001B33E6" w:rsidRPr="001B33E6" w:rsidRDefault="001B33E6" w:rsidP="00B247C9">
      <w:pPr>
        <w:pStyle w:val="StyleJustifiedCharChar"/>
      </w:pPr>
      <w:r w:rsidRPr="001B33E6">
        <w:t xml:space="preserve">For prophylaxis therapy </w:t>
      </w:r>
      <w:bookmarkEnd w:id="392"/>
      <w:bookmarkEnd w:id="393"/>
      <w:r w:rsidRPr="001B33E6">
        <w:t>give Trimethoprim-sulphamethoxazole (TMP-SMX) as shown above.</w:t>
      </w:r>
    </w:p>
    <w:p w:rsidR="001B33E6" w:rsidRPr="00DC6407" w:rsidRDefault="001B33E6" w:rsidP="008D51D9">
      <w:pPr>
        <w:pStyle w:val="Heading3"/>
        <w:spacing w:before="120" w:after="120" w:line="240" w:lineRule="auto"/>
      </w:pPr>
      <w:bookmarkStart w:id="394" w:name="_Toc185736256"/>
      <w:bookmarkStart w:id="395" w:name="_Toc185736154"/>
      <w:bookmarkStart w:id="396" w:name="_Toc185678182"/>
      <w:bookmarkStart w:id="397" w:name="_Toc185677806"/>
      <w:bookmarkStart w:id="398" w:name="_Toc185673467"/>
      <w:bookmarkStart w:id="399" w:name="_Toc185673289"/>
      <w:bookmarkStart w:id="400" w:name="_Toc185666663"/>
      <w:bookmarkStart w:id="401" w:name="_Toc185658454"/>
      <w:bookmarkStart w:id="402" w:name="_Toc374967941"/>
      <w:bookmarkStart w:id="403" w:name="_Toc378258165"/>
      <w:r w:rsidRPr="00DC6407">
        <w:t>6.4.4. Protozoa</w:t>
      </w:r>
      <w:bookmarkEnd w:id="394"/>
      <w:bookmarkEnd w:id="395"/>
      <w:bookmarkEnd w:id="396"/>
      <w:bookmarkEnd w:id="397"/>
      <w:bookmarkEnd w:id="398"/>
      <w:bookmarkEnd w:id="399"/>
      <w:bookmarkEnd w:id="400"/>
      <w:bookmarkEnd w:id="401"/>
      <w:bookmarkEnd w:id="402"/>
      <w:bookmarkEnd w:id="403"/>
    </w:p>
    <w:p w:rsidR="001B33E6" w:rsidRPr="00E61002" w:rsidRDefault="001B33E6" w:rsidP="00B247C9">
      <w:pPr>
        <w:pStyle w:val="StyleJustifiedCharChar"/>
      </w:pPr>
      <w:r w:rsidRPr="00E61002">
        <w:t>Toxoplasma encephalitis</w:t>
      </w:r>
    </w:p>
    <w:p w:rsidR="001B33E6" w:rsidRPr="001B33E6" w:rsidRDefault="001B33E6" w:rsidP="00B247C9">
      <w:pPr>
        <w:pStyle w:val="StyleJustifiedCharChar"/>
      </w:pPr>
      <w:r w:rsidRPr="001B33E6">
        <w:t>Clinical features include:</w:t>
      </w:r>
    </w:p>
    <w:p w:rsidR="001B33E6" w:rsidRPr="001B33E6" w:rsidRDefault="001B33E6" w:rsidP="00B247C9">
      <w:pPr>
        <w:pStyle w:val="StyleJustifiedCharChar"/>
      </w:pPr>
      <w:r w:rsidRPr="001B33E6">
        <w:t>Focal paralysis or motor weakness depending on the brain area affected</w:t>
      </w:r>
    </w:p>
    <w:p w:rsidR="001B33E6" w:rsidRPr="001B33E6" w:rsidRDefault="001B33E6" w:rsidP="00B247C9">
      <w:pPr>
        <w:pStyle w:val="StyleJustifiedCharChar"/>
      </w:pPr>
      <w:r w:rsidRPr="001B33E6">
        <w:t>Neuro-psychiatric manifestations corresponding to the affected area in the brain</w:t>
      </w:r>
    </w:p>
    <w:p w:rsidR="001B33E6" w:rsidRPr="001B33E6" w:rsidRDefault="001B33E6" w:rsidP="00B247C9">
      <w:pPr>
        <w:pStyle w:val="StyleJustifiedCharChar"/>
      </w:pPr>
      <w:r w:rsidRPr="001B33E6">
        <w:t>Altered mental status (forgetfulness etc.)</w:t>
      </w:r>
    </w:p>
    <w:p w:rsidR="001B33E6" w:rsidRPr="001B33E6" w:rsidRDefault="001B33E6" w:rsidP="00B247C9">
      <w:pPr>
        <w:pStyle w:val="StyleJustifiedCharChar"/>
      </w:pPr>
      <w:r w:rsidRPr="001B33E6">
        <w:t>Diagnosis:</w:t>
      </w:r>
    </w:p>
    <w:p w:rsidR="001B33E6" w:rsidRPr="001B33E6" w:rsidRDefault="001B33E6" w:rsidP="00B247C9">
      <w:pPr>
        <w:pStyle w:val="StyleJustifiedCharChar"/>
      </w:pPr>
      <w:r w:rsidRPr="001B33E6">
        <w:t>Usually is predominantly based on clinical findings after exclusion of other common causes of neurological deficit. If available, a CT scan is very useful for confirmation.</w:t>
      </w:r>
    </w:p>
    <w:p w:rsidR="001B33E6" w:rsidRPr="001B33E6" w:rsidRDefault="001B33E6" w:rsidP="00B247C9">
      <w:pPr>
        <w:pStyle w:val="StyleJustifiedCharChar"/>
      </w:pPr>
      <w:r w:rsidRPr="001B33E6">
        <w:t>Treatment:</w:t>
      </w:r>
    </w:p>
    <w:p w:rsidR="001B33E6" w:rsidRPr="001B33E6" w:rsidRDefault="001B33E6" w:rsidP="00B247C9">
      <w:pPr>
        <w:pStyle w:val="StyleJustifiedCharChar"/>
      </w:pPr>
      <w:r w:rsidRPr="001B33E6">
        <w:t>For acute infection Sulphadiazine tabs 1 gm 6 hourly + Pyrimethamine tabs 100mg loading dose, then 50mg /day + Folic acid tabs 10mg /day for 6 weeks.</w:t>
      </w:r>
    </w:p>
    <w:p w:rsidR="001B33E6" w:rsidRPr="001B33E6" w:rsidRDefault="001B33E6" w:rsidP="00B247C9">
      <w:pPr>
        <w:pStyle w:val="StyleJustifiedCharChar"/>
      </w:pPr>
      <w:r w:rsidRPr="001B33E6">
        <w:t xml:space="preserve">After six weeks of treatment give prophylaxis therapy with Sulphadiazine tabs 500mg 6 hourly + Pyrimethamine tabs 25-50mg /day + Folic acid tabs 10mg /day.  </w:t>
      </w:r>
    </w:p>
    <w:p w:rsidR="001B33E6" w:rsidRPr="001B33E6" w:rsidRDefault="001B33E6" w:rsidP="00B247C9">
      <w:pPr>
        <w:pStyle w:val="StyleJustifiedCharChar"/>
      </w:pPr>
      <w:r w:rsidRPr="001B33E6">
        <w:t>For those allergic to sulphur replace Sulphadiazine tabs with Clindamycin capsules 450mg 6 hourly.</w:t>
      </w:r>
    </w:p>
    <w:p w:rsidR="001B33E6" w:rsidRPr="001B33E6" w:rsidRDefault="001B33E6" w:rsidP="00B247C9">
      <w:pPr>
        <w:pStyle w:val="StyleJustifiedCharChar"/>
      </w:pPr>
      <w:r w:rsidRPr="001B33E6">
        <w:t>Discontinue maintenance therapy when CD4 count is &gt;200 cells/ml, initial therapy is completed and patient is asymptomatic.</w:t>
      </w:r>
    </w:p>
    <w:p w:rsidR="001B33E6" w:rsidRPr="001B33E6" w:rsidRDefault="001B33E6" w:rsidP="00B247C9">
      <w:pPr>
        <w:pStyle w:val="StyleJustifiedCharChar"/>
      </w:pPr>
      <w:r w:rsidRPr="001B33E6">
        <w:t>Primary prophylaxis therapy for toxoplasmosis can be accomplished with Trimethoprim– Sulphamethoxazole (TMP-SMX) tabs 160/800mg administered orally/day. For those allergic to sulphur, give Dapsone tabs 50mg/day + Pyrimethamine tabs 50mg per week + Folic Acid tabs 10 mg 3 times a week.</w:t>
      </w:r>
    </w:p>
    <w:p w:rsidR="001B33E6" w:rsidRPr="001B33E6" w:rsidRDefault="001B33E6" w:rsidP="00B247C9">
      <w:pPr>
        <w:pStyle w:val="StyleJustifiedCharChar"/>
      </w:pPr>
      <w:r w:rsidRPr="001B33E6">
        <w:t xml:space="preserve">Intestinal protozoa </w:t>
      </w:r>
    </w:p>
    <w:p w:rsidR="001B33E6" w:rsidRPr="001B33E6" w:rsidRDefault="001B33E6" w:rsidP="00B247C9">
      <w:pPr>
        <w:pStyle w:val="StyleJustifiedCharChar"/>
      </w:pPr>
      <w:r w:rsidRPr="001B33E6">
        <w:t>For intestinal protozoa which is a common cause of diarrhoea and difficult to diagnose, the recommended treatment is Albendazole tabs 800mg BD (twice a day) for one week.</w:t>
      </w:r>
    </w:p>
    <w:p w:rsidR="001B33E6" w:rsidRDefault="001B33E6" w:rsidP="008D51D9">
      <w:pPr>
        <w:spacing w:before="120" w:after="120" w:line="240" w:lineRule="auto"/>
      </w:pPr>
    </w:p>
    <w:p w:rsidR="001B33E6" w:rsidRDefault="001B33E6" w:rsidP="0071027C">
      <w:pPr>
        <w:pStyle w:val="Heading1"/>
      </w:pPr>
    </w:p>
    <w:p w:rsidR="001B33E6" w:rsidRDefault="001B33E6" w:rsidP="0071027C">
      <w:pPr>
        <w:pStyle w:val="Heading1"/>
        <w:sectPr w:rsidR="001B33E6" w:rsidSect="0027452F">
          <w:pgSz w:w="12240" w:h="15840"/>
          <w:pgMar w:top="1440" w:right="1440" w:bottom="1440" w:left="1440" w:header="720" w:footer="720" w:gutter="0"/>
          <w:cols w:space="720"/>
          <w:docGrid w:linePitch="360"/>
        </w:sectPr>
      </w:pPr>
    </w:p>
    <w:p w:rsidR="0071027C" w:rsidRPr="006154D6" w:rsidRDefault="0071027C" w:rsidP="0071027C">
      <w:pPr>
        <w:pStyle w:val="Heading1"/>
      </w:pPr>
      <w:r w:rsidRPr="006154D6">
        <w:t>CHAPTER 7:</w:t>
      </w:r>
      <w:r w:rsidRPr="006154D6">
        <w:tab/>
        <w:t>PEDIATRIC HIV AND AIDS-RELATED CONDITIONS</w:t>
      </w:r>
      <w:bookmarkEnd w:id="239"/>
      <w:bookmarkEnd w:id="240"/>
      <w:bookmarkEnd w:id="241"/>
    </w:p>
    <w:p w:rsidR="0071027C" w:rsidRPr="006154D6" w:rsidRDefault="0071027C" w:rsidP="0071027C">
      <w:pPr>
        <w:pStyle w:val="Heading2"/>
      </w:pPr>
      <w:bookmarkStart w:id="404" w:name="_Toc373768027"/>
      <w:bookmarkStart w:id="405" w:name="_Toc378258167"/>
      <w:bookmarkStart w:id="406" w:name="_Toc382214030"/>
      <w:r w:rsidRPr="006154D6">
        <w:t>7.1 Introduction</w:t>
      </w:r>
      <w:bookmarkEnd w:id="404"/>
      <w:bookmarkEnd w:id="405"/>
      <w:bookmarkEnd w:id="406"/>
    </w:p>
    <w:p w:rsidR="0071027C" w:rsidRPr="001D55CF" w:rsidRDefault="0071027C" w:rsidP="00B247C9">
      <w:pPr>
        <w:pStyle w:val="StyleJustifiedCharChar"/>
      </w:pPr>
      <w:r w:rsidRPr="001D55CF">
        <w:t xml:space="preserve">The majority of children with HIV acquire the infection from their mothers during pregnancy, labour and delivery or after birth during breastfeeding. Exposure to HIV continues as long as a child of an HIV-infected mother is breastfed. HIV infected infants may not have any signs or symptoms of infection soon after birth but usually develop features of infection in the early infancy period, although these features may overlap with those of other common childhood diseases. The HIV infection progresses more rapidly in children than in adults. </w:t>
      </w:r>
    </w:p>
    <w:p w:rsidR="0071027C" w:rsidRPr="006154D6" w:rsidRDefault="0071027C" w:rsidP="0071027C">
      <w:pPr>
        <w:pStyle w:val="Heading2"/>
      </w:pPr>
      <w:bookmarkStart w:id="407" w:name="_Toc373768028"/>
      <w:bookmarkStart w:id="408" w:name="_Toc378258168"/>
      <w:bookmarkStart w:id="409" w:name="_Toc382214031"/>
      <w:r w:rsidRPr="006154D6">
        <w:t>7.2 Diagnosis of HIV Infection in children</w:t>
      </w:r>
      <w:bookmarkEnd w:id="407"/>
      <w:bookmarkEnd w:id="408"/>
      <w:bookmarkEnd w:id="409"/>
      <w:r w:rsidRPr="006154D6">
        <w:tab/>
      </w:r>
    </w:p>
    <w:p w:rsidR="0071027C" w:rsidRPr="006154D6" w:rsidRDefault="0071027C" w:rsidP="0071027C">
      <w:pPr>
        <w:pStyle w:val="Heading3"/>
      </w:pPr>
      <w:bookmarkStart w:id="410" w:name="_Toc373768029"/>
      <w:bookmarkStart w:id="411" w:name="_Toc378258169"/>
      <w:bookmarkStart w:id="412" w:name="_Toc382214032"/>
      <w:r w:rsidRPr="006154D6">
        <w:t>7.2.1 Diagnosis of HIV infection in children below 18 months of age</w:t>
      </w:r>
      <w:bookmarkEnd w:id="410"/>
      <w:bookmarkEnd w:id="411"/>
      <w:bookmarkEnd w:id="412"/>
    </w:p>
    <w:p w:rsidR="0071027C" w:rsidRPr="001D55CF" w:rsidRDefault="0071027C" w:rsidP="001D55CF">
      <w:pPr>
        <w:pStyle w:val="ListParagraph"/>
        <w:spacing w:before="120" w:after="120"/>
        <w:ind w:left="0"/>
        <w:jc w:val="both"/>
        <w:rPr>
          <w:rFonts w:ascii="Arial" w:hAnsi="Arial" w:cs="Arial"/>
          <w:b/>
          <w:sz w:val="22"/>
          <w:szCs w:val="22"/>
        </w:rPr>
      </w:pPr>
      <w:r w:rsidRPr="001D55CF">
        <w:rPr>
          <w:rFonts w:ascii="Arial" w:hAnsi="Arial" w:cs="Arial"/>
          <w:sz w:val="22"/>
          <w:szCs w:val="22"/>
        </w:rPr>
        <w:t>Infants born of HIV-infected women have passively transferred antibodies that can persist until 9 to 18 months of age. The positive rapid antibody tests may only indicate the presence of passively transferred maternal HIV antibodies. Therefore, virologic tests or DNA PCR, are required in order to confirm HIV infection in children &lt;18 months of age.</w:t>
      </w:r>
    </w:p>
    <w:p w:rsidR="0071027C" w:rsidRPr="001D55CF" w:rsidRDefault="0071027C" w:rsidP="001D55CF">
      <w:pPr>
        <w:pStyle w:val="ListBullet2"/>
        <w:tabs>
          <w:tab w:val="left" w:pos="720"/>
        </w:tabs>
        <w:spacing w:before="120" w:after="120"/>
        <w:ind w:left="0" w:firstLine="0"/>
        <w:jc w:val="both"/>
        <w:rPr>
          <w:rFonts w:cs="Arial"/>
          <w:sz w:val="22"/>
          <w:szCs w:val="22"/>
        </w:rPr>
      </w:pPr>
      <w:r w:rsidRPr="001D55CF">
        <w:rPr>
          <w:rFonts w:cs="Arial"/>
          <w:sz w:val="22"/>
          <w:szCs w:val="22"/>
        </w:rPr>
        <w:t>PCR tests should be done at 4-6 weeks of age or at anytime thereafter when the child is first seen by health care workers:</w:t>
      </w:r>
    </w:p>
    <w:p w:rsidR="0071027C" w:rsidRPr="001D55CF" w:rsidRDefault="0071027C" w:rsidP="00B247C9">
      <w:pPr>
        <w:pStyle w:val="StyleJustifiedCharChar"/>
      </w:pPr>
      <w:r w:rsidRPr="001D55CF">
        <w:t>A single positive PCR test means the infant is presumably infected and should be initiated on ART. At initiation, a second PCR should be taken to confirm the infection. NB:  The second test should not delay ART initiation.</w:t>
      </w:r>
    </w:p>
    <w:p w:rsidR="0071027C" w:rsidRPr="001D55CF" w:rsidRDefault="0071027C" w:rsidP="00B247C9">
      <w:pPr>
        <w:pStyle w:val="StyleJustifiedCharChar"/>
      </w:pPr>
      <w:r w:rsidRPr="001D55CF">
        <w:t xml:space="preserve">For a child that was </w:t>
      </w:r>
      <w:r w:rsidRPr="001D55CF">
        <w:rPr>
          <w:b/>
        </w:rPr>
        <w:t>never breastfed</w:t>
      </w:r>
      <w:r w:rsidRPr="001D55CF">
        <w:t>: A single negative PCR test after the age of 4 weeks excludes HIV infection.</w:t>
      </w:r>
    </w:p>
    <w:p w:rsidR="0071027C" w:rsidRPr="001D55CF" w:rsidRDefault="0071027C" w:rsidP="00B247C9">
      <w:pPr>
        <w:pStyle w:val="StyleJustifiedCharChar"/>
      </w:pPr>
      <w:r w:rsidRPr="001D55CF">
        <w:t xml:space="preserve">For a child that has completely stopped breastfeeding for </w:t>
      </w:r>
      <w:r w:rsidRPr="001D55CF">
        <w:rPr>
          <w:b/>
        </w:rPr>
        <w:t>more than 6 weeks prior to virologic (DNA PCR) testing</w:t>
      </w:r>
      <w:r w:rsidRPr="001D55CF">
        <w:t xml:space="preserve">, a negative PCR test excludes HIV infection. </w:t>
      </w:r>
    </w:p>
    <w:p w:rsidR="0071027C" w:rsidRPr="001D55CF" w:rsidRDefault="0071027C" w:rsidP="00B247C9">
      <w:pPr>
        <w:pStyle w:val="StyleJustifiedCharChar"/>
      </w:pPr>
      <w:r w:rsidRPr="001D55CF">
        <w:t xml:space="preserve">If the child is </w:t>
      </w:r>
      <w:r w:rsidRPr="001D55CF">
        <w:rPr>
          <w:b/>
        </w:rPr>
        <w:t>being breastfed</w:t>
      </w:r>
      <w:r w:rsidRPr="001D55CF">
        <w:t xml:space="preserve">, a negative virologic test does not exclude infection. On-going exposure to HIV through breastfeeding continues to put the child at risk of infection. Confirmatory testing should be done 6 weeks after complete cessation of breastfeeding as described above to determine final infection status. </w:t>
      </w:r>
    </w:p>
    <w:p w:rsidR="0071027C" w:rsidRPr="001D55CF" w:rsidRDefault="0071027C" w:rsidP="001D55CF">
      <w:pPr>
        <w:pStyle w:val="ListParagraph"/>
        <w:tabs>
          <w:tab w:val="left" w:pos="990"/>
        </w:tabs>
        <w:spacing w:before="120" w:after="120"/>
        <w:ind w:left="0"/>
        <w:jc w:val="both"/>
        <w:rPr>
          <w:rFonts w:ascii="Arial" w:hAnsi="Arial" w:cs="Arial"/>
          <w:sz w:val="22"/>
          <w:szCs w:val="22"/>
        </w:rPr>
      </w:pPr>
      <w:r w:rsidRPr="001D55CF">
        <w:rPr>
          <w:rFonts w:ascii="Arial" w:hAnsi="Arial" w:cs="Arial"/>
          <w:sz w:val="22"/>
          <w:szCs w:val="22"/>
        </w:rPr>
        <w:t xml:space="preserve">Children between the age of 9 and 18 months </w:t>
      </w:r>
      <w:r w:rsidRPr="001D55CF">
        <w:rPr>
          <w:rFonts w:ascii="Arial" w:hAnsi="Arial" w:cs="Arial"/>
          <w:i/>
          <w:sz w:val="22"/>
          <w:szCs w:val="22"/>
        </w:rPr>
        <w:t>at the first health encounter</w:t>
      </w:r>
      <w:r w:rsidRPr="001D55CF">
        <w:rPr>
          <w:rFonts w:ascii="Arial" w:hAnsi="Arial" w:cs="Arial"/>
          <w:sz w:val="22"/>
          <w:szCs w:val="22"/>
        </w:rPr>
        <w:t xml:space="preserve"> or after cessation of  breastfeeding should have a rapid HIV antibody test since maternal HIV antibodies diminish rapidly between 9-18 months of age. All positive tests should be confirmed with a DNA PCR test. However, if the child is symptomatic, </w:t>
      </w:r>
      <w:r w:rsidRPr="001D55CF">
        <w:rPr>
          <w:rFonts w:ascii="Arial" w:hAnsi="Arial" w:cs="Arial"/>
          <w:i/>
          <w:sz w:val="22"/>
          <w:szCs w:val="22"/>
        </w:rPr>
        <w:t>fulfilling WHO stage 3 or 4 criteria</w:t>
      </w:r>
      <w:r w:rsidRPr="001D55CF">
        <w:rPr>
          <w:rFonts w:ascii="Arial" w:hAnsi="Arial" w:cs="Arial"/>
          <w:sz w:val="22"/>
          <w:szCs w:val="22"/>
        </w:rPr>
        <w:t xml:space="preserve"> and virological tests are not available but HIV antibodies are present (rapid test is positive), a presumptive diagnosis should be made and ART started.</w:t>
      </w:r>
    </w:p>
    <w:p w:rsidR="0071027C" w:rsidRDefault="0071027C" w:rsidP="00AA771C">
      <w:pPr>
        <w:pStyle w:val="ListParagraph"/>
        <w:tabs>
          <w:tab w:val="left" w:pos="990"/>
        </w:tabs>
        <w:spacing w:beforeLines="120" w:before="288" w:afterLines="120" w:after="288" w:line="288" w:lineRule="auto"/>
        <w:ind w:left="0"/>
        <w:jc w:val="both"/>
        <w:rPr>
          <w:rFonts w:ascii="Arial Narrow" w:hAnsi="Arial Narrow"/>
        </w:rPr>
      </w:pPr>
    </w:p>
    <w:p w:rsidR="001D55CF" w:rsidRDefault="001D55CF" w:rsidP="00AA771C">
      <w:pPr>
        <w:pStyle w:val="ListParagraph"/>
        <w:tabs>
          <w:tab w:val="left" w:pos="990"/>
        </w:tabs>
        <w:spacing w:beforeLines="120" w:before="288" w:afterLines="120" w:after="288" w:line="288" w:lineRule="auto"/>
        <w:ind w:left="0"/>
        <w:jc w:val="both"/>
        <w:rPr>
          <w:rFonts w:ascii="Arial Narrow" w:hAnsi="Arial Narrow"/>
        </w:rPr>
      </w:pPr>
    </w:p>
    <w:p w:rsidR="001D55CF" w:rsidRPr="00C203F3" w:rsidRDefault="001D55CF" w:rsidP="00AA771C">
      <w:pPr>
        <w:pStyle w:val="ListParagraph"/>
        <w:tabs>
          <w:tab w:val="left" w:pos="990"/>
        </w:tabs>
        <w:spacing w:beforeLines="120" w:before="288" w:afterLines="120" w:after="288" w:line="288" w:lineRule="auto"/>
        <w:ind w:left="0"/>
        <w:jc w:val="both"/>
        <w:rPr>
          <w:rFonts w:ascii="Arial Narrow" w:hAnsi="Arial Narrow"/>
        </w:rPr>
      </w:pPr>
    </w:p>
    <w:p w:rsidR="0071027C" w:rsidRPr="005E20D4" w:rsidRDefault="0071027C" w:rsidP="0071027C">
      <w:pPr>
        <w:pStyle w:val="Heading-figures"/>
      </w:pPr>
      <w:r>
        <w:t>Figure 7.1</w:t>
      </w:r>
      <w:r w:rsidRPr="005E20D4">
        <w:t>: Diagnosis of HIV Infection in infants and young children less than 18 months of age</w:t>
      </w:r>
    </w:p>
    <w:p w:rsidR="0071027C" w:rsidRPr="00C203F3" w:rsidRDefault="00AA771C" w:rsidP="00AA771C">
      <w:pPr>
        <w:spacing w:beforeLines="120" w:before="288" w:afterLines="120" w:after="288" w:line="288" w:lineRule="auto"/>
        <w:jc w:val="both"/>
        <w:rPr>
          <w:rFonts w:ascii="Arial Narrow" w:hAnsi="Arial Narrow"/>
          <w:sz w:val="24"/>
          <w:szCs w:val="24"/>
        </w:rPr>
      </w:pPr>
      <w:r>
        <w:rPr>
          <w:rFonts w:ascii="Calibri" w:hAnsi="Calibri"/>
          <w:noProof/>
        </w:rPr>
        <mc:AlternateContent>
          <mc:Choice Requires="wpg">
            <w:drawing>
              <wp:inline distT="0" distB="0" distL="0" distR="0">
                <wp:extent cx="5824220" cy="6528435"/>
                <wp:effectExtent l="47625" t="9525" r="52705" b="5715"/>
                <wp:docPr id="958"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220" cy="6528435"/>
                          <a:chOff x="1515" y="1728"/>
                          <a:chExt cx="8370" cy="9704"/>
                        </a:xfrm>
                      </wpg:grpSpPr>
                      <wps:wsp>
                        <wps:cNvPr id="959" name="AutoShape 167"/>
                        <wps:cNvSpPr>
                          <a:spLocks noChangeArrowheads="1"/>
                        </wps:cNvSpPr>
                        <wps:spPr bwMode="auto">
                          <a:xfrm>
                            <a:off x="5568" y="3294"/>
                            <a:ext cx="4160" cy="761"/>
                          </a:xfrm>
                          <a:prstGeom prst="flowChartAlternateProcess">
                            <a:avLst/>
                          </a:prstGeom>
                          <a:solidFill>
                            <a:srgbClr val="CCFFFF"/>
                          </a:solidFill>
                          <a:ln w="9525">
                            <a:solidFill>
                              <a:srgbClr val="000000"/>
                            </a:solidFill>
                            <a:miter lim="800000"/>
                            <a:headEnd/>
                            <a:tailEnd/>
                          </a:ln>
                        </wps:spPr>
                        <wps:txbx>
                          <w:txbxContent>
                            <w:p w:rsidR="00B247C9" w:rsidRPr="00AB3155" w:rsidRDefault="00B247C9" w:rsidP="0071027C">
                              <w:pPr>
                                <w:jc w:val="center"/>
                                <w:rPr>
                                  <w:sz w:val="16"/>
                                  <w:szCs w:val="16"/>
                                </w:rPr>
                              </w:pPr>
                              <w:r w:rsidRPr="00AB3155">
                                <w:rPr>
                                  <w:sz w:val="16"/>
                                  <w:szCs w:val="16"/>
                                </w:rPr>
                                <w:t xml:space="preserve">Age </w:t>
                              </w:r>
                              <w:r w:rsidRPr="00AB3155">
                                <w:rPr>
                                  <w:sz w:val="16"/>
                                  <w:szCs w:val="16"/>
                                </w:rPr>
                                <w:sym w:font="Symbol" w:char="F0B3"/>
                              </w:r>
                              <w:r w:rsidRPr="00AB3155">
                                <w:rPr>
                                  <w:sz w:val="16"/>
                                  <w:szCs w:val="16"/>
                                </w:rPr>
                                <w:t>9 months: antibody testing</w:t>
                              </w:r>
                            </w:p>
                            <w:p w:rsidR="00B247C9" w:rsidRPr="00AB3155" w:rsidRDefault="00B247C9" w:rsidP="0071027C">
                              <w:pPr>
                                <w:jc w:val="center"/>
                                <w:rPr>
                                  <w:sz w:val="16"/>
                                  <w:szCs w:val="16"/>
                                </w:rPr>
                              </w:pPr>
                              <w:r w:rsidRPr="00AB3155">
                                <w:rPr>
                                  <w:sz w:val="16"/>
                                  <w:szCs w:val="16"/>
                                </w:rPr>
                                <w:t>(rapid</w:t>
                              </w:r>
                              <w:r>
                                <w:rPr>
                                  <w:sz w:val="16"/>
                                  <w:szCs w:val="16"/>
                                </w:rPr>
                                <w:t xml:space="preserve"> </w:t>
                              </w:r>
                              <w:r w:rsidRPr="00AB3155">
                                <w:rPr>
                                  <w:sz w:val="16"/>
                                  <w:szCs w:val="16"/>
                                </w:rPr>
                                <w:t>test)</w:t>
                              </w:r>
                            </w:p>
                          </w:txbxContent>
                        </wps:txbx>
                        <wps:bodyPr rot="0" vert="horz" wrap="square" lIns="18288" tIns="18288" rIns="18288" bIns="18288" anchor="ctr" anchorCtr="0" upright="1">
                          <a:noAutofit/>
                        </wps:bodyPr>
                      </wps:wsp>
                      <wps:wsp>
                        <wps:cNvPr id="572" name="Line 168"/>
                        <wps:cNvCnPr/>
                        <wps:spPr bwMode="auto">
                          <a:xfrm>
                            <a:off x="7197" y="2543"/>
                            <a:ext cx="0" cy="7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 name="AutoShape 169"/>
                        <wps:cNvSpPr>
                          <a:spLocks noChangeArrowheads="1"/>
                        </wps:cNvSpPr>
                        <wps:spPr bwMode="auto">
                          <a:xfrm>
                            <a:off x="3739" y="4593"/>
                            <a:ext cx="1717" cy="815"/>
                          </a:xfrm>
                          <a:prstGeom prst="flowChartAlternateProcess">
                            <a:avLst/>
                          </a:prstGeom>
                          <a:solidFill>
                            <a:srgbClr val="FFE2C5"/>
                          </a:solidFill>
                          <a:ln w="9525">
                            <a:solidFill>
                              <a:srgbClr val="000000"/>
                            </a:solidFill>
                            <a:miter lim="800000"/>
                            <a:headEnd/>
                            <a:tailEnd/>
                          </a:ln>
                        </wps:spPr>
                        <wps:txbx>
                          <w:txbxContent>
                            <w:p w:rsidR="00B247C9" w:rsidRPr="00576FCD" w:rsidRDefault="00B247C9" w:rsidP="0071027C">
                              <w:pPr>
                                <w:jc w:val="center"/>
                              </w:pPr>
                              <w:r w:rsidRPr="00576FCD">
                                <w:t xml:space="preserve">Negative </w:t>
                              </w:r>
                              <w:r>
                                <w:t>DNA-</w:t>
                              </w:r>
                              <w:r w:rsidRPr="00576FCD">
                                <w:t>PCR</w:t>
                              </w:r>
                            </w:p>
                          </w:txbxContent>
                        </wps:txbx>
                        <wps:bodyPr rot="0" vert="horz" wrap="square" lIns="18288" tIns="18288" rIns="18288" bIns="18288" anchor="ctr" anchorCtr="0" upright="1">
                          <a:noAutofit/>
                        </wps:bodyPr>
                      </wps:wsp>
                      <wps:wsp>
                        <wps:cNvPr id="574" name="AutoShape 170"/>
                        <wps:cNvSpPr>
                          <a:spLocks noChangeArrowheads="1"/>
                        </wps:cNvSpPr>
                        <wps:spPr bwMode="auto">
                          <a:xfrm>
                            <a:off x="5636" y="4593"/>
                            <a:ext cx="1774" cy="815"/>
                          </a:xfrm>
                          <a:prstGeom prst="flowChartAlternateProcess">
                            <a:avLst/>
                          </a:prstGeom>
                          <a:solidFill>
                            <a:srgbClr val="FFE2C5"/>
                          </a:solidFill>
                          <a:ln w="9525">
                            <a:solidFill>
                              <a:srgbClr val="000000"/>
                            </a:solidFill>
                            <a:miter lim="800000"/>
                            <a:headEnd/>
                            <a:tailEnd/>
                          </a:ln>
                        </wps:spPr>
                        <wps:txbx>
                          <w:txbxContent>
                            <w:p w:rsidR="00B247C9" w:rsidRPr="00576FCD" w:rsidRDefault="00B247C9" w:rsidP="0071027C">
                              <w:pPr>
                                <w:jc w:val="center"/>
                              </w:pPr>
                              <w:r w:rsidRPr="00576FCD">
                                <w:t xml:space="preserve">Negative </w:t>
                              </w:r>
                              <w:r>
                                <w:br/>
                                <w:t>rapid test</w:t>
                              </w:r>
                            </w:p>
                          </w:txbxContent>
                        </wps:txbx>
                        <wps:bodyPr rot="0" vert="horz" wrap="square" lIns="18288" tIns="18288" rIns="18288" bIns="18288" anchor="ctr" anchorCtr="0" upright="1">
                          <a:noAutofit/>
                        </wps:bodyPr>
                      </wps:wsp>
                      <wps:wsp>
                        <wps:cNvPr id="575" name="AutoShape 171"/>
                        <wps:cNvSpPr>
                          <a:spLocks noChangeArrowheads="1"/>
                        </wps:cNvSpPr>
                        <wps:spPr bwMode="auto">
                          <a:xfrm>
                            <a:off x="1641" y="4593"/>
                            <a:ext cx="1849" cy="815"/>
                          </a:xfrm>
                          <a:prstGeom prst="flowChartAlternateProcess">
                            <a:avLst/>
                          </a:prstGeom>
                          <a:solidFill>
                            <a:srgbClr val="FFCC99"/>
                          </a:solidFill>
                          <a:ln w="9525">
                            <a:solidFill>
                              <a:srgbClr val="000000"/>
                            </a:solidFill>
                            <a:miter lim="800000"/>
                            <a:headEnd/>
                            <a:tailEnd/>
                          </a:ln>
                        </wps:spPr>
                        <wps:txbx>
                          <w:txbxContent>
                            <w:p w:rsidR="00B247C9" w:rsidRPr="00576FCD" w:rsidRDefault="00B247C9" w:rsidP="0071027C">
                              <w:pPr>
                                <w:jc w:val="center"/>
                              </w:pPr>
                              <w:r w:rsidRPr="00576FCD">
                                <w:t xml:space="preserve">Positive </w:t>
                              </w:r>
                              <w:r>
                                <w:br/>
                                <w:t>DNA-</w:t>
                              </w:r>
                              <w:r w:rsidRPr="00576FCD">
                                <w:t>PCR</w:t>
                              </w:r>
                            </w:p>
                          </w:txbxContent>
                        </wps:txbx>
                        <wps:bodyPr rot="0" vert="horz" wrap="square" lIns="18288" tIns="18288" rIns="18288" bIns="18288" anchor="ctr" anchorCtr="0" upright="1">
                          <a:noAutofit/>
                        </wps:bodyPr>
                      </wps:wsp>
                      <wps:wsp>
                        <wps:cNvPr id="576" name="AutoShape 172"/>
                        <wps:cNvSpPr>
                          <a:spLocks noChangeArrowheads="1"/>
                        </wps:cNvSpPr>
                        <wps:spPr bwMode="auto">
                          <a:xfrm>
                            <a:off x="7599" y="4593"/>
                            <a:ext cx="1854" cy="815"/>
                          </a:xfrm>
                          <a:prstGeom prst="flowChartAlternateProcess">
                            <a:avLst/>
                          </a:prstGeom>
                          <a:solidFill>
                            <a:srgbClr val="FFCC99"/>
                          </a:solidFill>
                          <a:ln w="9525">
                            <a:solidFill>
                              <a:srgbClr val="000000"/>
                            </a:solidFill>
                            <a:miter lim="800000"/>
                            <a:headEnd/>
                            <a:tailEnd/>
                          </a:ln>
                        </wps:spPr>
                        <wps:txbx>
                          <w:txbxContent>
                            <w:p w:rsidR="00B247C9" w:rsidRPr="00576FCD" w:rsidRDefault="00B247C9" w:rsidP="0071027C">
                              <w:pPr>
                                <w:jc w:val="center"/>
                              </w:pPr>
                              <w:r w:rsidRPr="00576FCD">
                                <w:t xml:space="preserve">Positive </w:t>
                              </w:r>
                              <w:r>
                                <w:br/>
                                <w:t>rapid test</w:t>
                              </w:r>
                            </w:p>
                          </w:txbxContent>
                        </wps:txbx>
                        <wps:bodyPr rot="0" vert="horz" wrap="square" lIns="18288" tIns="18288" rIns="18288" bIns="18288" anchor="ctr" anchorCtr="0" upright="1">
                          <a:noAutofit/>
                        </wps:bodyPr>
                      </wps:wsp>
                      <wps:wsp>
                        <wps:cNvPr id="577" name="AutoShape 173"/>
                        <wps:cNvSpPr>
                          <a:spLocks noChangeArrowheads="1"/>
                        </wps:cNvSpPr>
                        <wps:spPr bwMode="auto">
                          <a:xfrm>
                            <a:off x="4760" y="5936"/>
                            <a:ext cx="1131" cy="2107"/>
                          </a:xfrm>
                          <a:prstGeom prst="flowChartAlternateProcess">
                            <a:avLst/>
                          </a:prstGeom>
                          <a:solidFill>
                            <a:srgbClr val="CCFFCC"/>
                          </a:solidFill>
                          <a:ln w="9525">
                            <a:solidFill>
                              <a:srgbClr val="000000"/>
                            </a:solidFill>
                            <a:miter lim="800000"/>
                            <a:headEnd/>
                            <a:tailEnd/>
                          </a:ln>
                        </wps:spPr>
                        <wps:txbx>
                          <w:txbxContent>
                            <w:p w:rsidR="00B247C9" w:rsidRPr="00576FCD" w:rsidRDefault="00B247C9" w:rsidP="0071027C">
                              <w:pPr>
                                <w:jc w:val="center"/>
                              </w:pPr>
                              <w:r w:rsidRPr="00576FCD">
                                <w:t>Still (or recent) breast</w:t>
                              </w:r>
                              <w:r>
                                <w:t>-</w:t>
                              </w:r>
                              <w:r w:rsidRPr="00576FCD">
                                <w:t>feeding</w:t>
                              </w:r>
                            </w:p>
                          </w:txbxContent>
                        </wps:txbx>
                        <wps:bodyPr rot="0" vert="horz" wrap="square" lIns="18288" tIns="82296" rIns="18288" bIns="82296" anchor="ctr" anchorCtr="0" upright="1">
                          <a:noAutofit/>
                        </wps:bodyPr>
                      </wps:wsp>
                      <wps:wsp>
                        <wps:cNvPr id="578" name="AutoShape 174"/>
                        <wps:cNvSpPr>
                          <a:spLocks noChangeArrowheads="1"/>
                        </wps:cNvSpPr>
                        <wps:spPr bwMode="auto">
                          <a:xfrm>
                            <a:off x="6019" y="5936"/>
                            <a:ext cx="1086" cy="2107"/>
                          </a:xfrm>
                          <a:prstGeom prst="flowChartAlternateProcess">
                            <a:avLst/>
                          </a:prstGeom>
                          <a:solidFill>
                            <a:srgbClr val="CCFFCC"/>
                          </a:solidFill>
                          <a:ln w="9525">
                            <a:solidFill>
                              <a:srgbClr val="000000"/>
                            </a:solidFill>
                            <a:miter lim="800000"/>
                            <a:headEnd/>
                            <a:tailEnd/>
                          </a:ln>
                        </wps:spPr>
                        <wps:txbx>
                          <w:txbxContent>
                            <w:p w:rsidR="00B247C9" w:rsidRPr="008F13E0" w:rsidRDefault="00B247C9" w:rsidP="0071027C">
                              <w:pPr>
                                <w:jc w:val="center"/>
                              </w:pPr>
                              <w:r w:rsidRPr="008F13E0">
                                <w:t>Not breast-fed within past 6 weeks or longer</w:t>
                              </w:r>
                            </w:p>
                          </w:txbxContent>
                        </wps:txbx>
                        <wps:bodyPr rot="0" vert="horz" wrap="square" lIns="18288" tIns="18288" rIns="18288" bIns="18288" anchor="ctr" anchorCtr="0" upright="1">
                          <a:noAutofit/>
                        </wps:bodyPr>
                      </wps:wsp>
                      <wps:wsp>
                        <wps:cNvPr id="579" name="AutoShape 175"/>
                        <wps:cNvSpPr>
                          <a:spLocks noChangeArrowheads="1"/>
                        </wps:cNvSpPr>
                        <wps:spPr bwMode="auto">
                          <a:xfrm>
                            <a:off x="3398" y="8841"/>
                            <a:ext cx="1147" cy="2352"/>
                          </a:xfrm>
                          <a:prstGeom prst="roundRect">
                            <a:avLst>
                              <a:gd name="adj" fmla="val 16667"/>
                            </a:avLst>
                          </a:prstGeom>
                          <a:solidFill>
                            <a:srgbClr val="DDD8C2"/>
                          </a:solidFill>
                          <a:ln w="9525">
                            <a:solidFill>
                              <a:srgbClr val="000000"/>
                            </a:solidFill>
                            <a:round/>
                            <a:headEnd/>
                            <a:tailEnd/>
                          </a:ln>
                        </wps:spPr>
                        <wps:txbx>
                          <w:txbxContent>
                            <w:p w:rsidR="00B247C9" w:rsidRPr="00AB3155" w:rsidRDefault="00B247C9" w:rsidP="0071027C">
                              <w:pPr>
                                <w:jc w:val="center"/>
                                <w:rPr>
                                  <w:sz w:val="16"/>
                                  <w:szCs w:val="16"/>
                                </w:rPr>
                              </w:pPr>
                              <w:r w:rsidRPr="00AB3155">
                                <w:rPr>
                                  <w:sz w:val="16"/>
                                  <w:szCs w:val="16"/>
                                </w:rPr>
                                <w:t>Negative child Re-test:</w:t>
                              </w:r>
                            </w:p>
                            <w:p w:rsidR="00B247C9" w:rsidRPr="00AB3155" w:rsidRDefault="00B247C9" w:rsidP="0071027C">
                              <w:pPr>
                                <w:pStyle w:val="BulletLIST"/>
                                <w:rPr>
                                  <w:sz w:val="16"/>
                                  <w:szCs w:val="16"/>
                                </w:rPr>
                              </w:pPr>
                              <w:r w:rsidRPr="00AB3155">
                                <w:rPr>
                                  <w:sz w:val="16"/>
                                  <w:szCs w:val="16"/>
                                </w:rPr>
                                <w:t>If symptomatic</w:t>
                              </w:r>
                            </w:p>
                            <w:p w:rsidR="00B247C9" w:rsidRPr="00AB3155" w:rsidRDefault="00B247C9" w:rsidP="0071027C">
                              <w:pPr>
                                <w:pStyle w:val="BulletLIST"/>
                                <w:rPr>
                                  <w:sz w:val="16"/>
                                  <w:szCs w:val="16"/>
                                </w:rPr>
                              </w:pPr>
                              <w:r w:rsidRPr="00AB3155">
                                <w:rPr>
                                  <w:sz w:val="16"/>
                                  <w:szCs w:val="16"/>
                                </w:rPr>
                                <w:t xml:space="preserve">At 18 months of age </w:t>
                              </w:r>
                            </w:p>
                          </w:txbxContent>
                        </wps:txbx>
                        <wps:bodyPr rot="0" vert="horz" wrap="square" lIns="18288" tIns="18288" rIns="18288" bIns="18288" anchor="ctr" anchorCtr="0" upright="1">
                          <a:noAutofit/>
                        </wps:bodyPr>
                      </wps:wsp>
                      <wps:wsp>
                        <wps:cNvPr id="580" name="AutoShape 176"/>
                        <wps:cNvSpPr>
                          <a:spLocks noChangeArrowheads="1"/>
                        </wps:cNvSpPr>
                        <wps:spPr bwMode="auto">
                          <a:xfrm>
                            <a:off x="7259" y="5936"/>
                            <a:ext cx="1019" cy="2107"/>
                          </a:xfrm>
                          <a:prstGeom prst="roundRect">
                            <a:avLst>
                              <a:gd name="adj" fmla="val 16667"/>
                            </a:avLst>
                          </a:prstGeom>
                          <a:solidFill>
                            <a:srgbClr val="C6D9F1"/>
                          </a:solidFill>
                          <a:ln w="9525">
                            <a:solidFill>
                              <a:srgbClr val="000000"/>
                            </a:solidFill>
                            <a:round/>
                            <a:headEnd/>
                            <a:tailEnd/>
                          </a:ln>
                        </wps:spPr>
                        <wps:txbx>
                          <w:txbxContent>
                            <w:p w:rsidR="00B247C9" w:rsidRPr="00576FCD" w:rsidRDefault="00B247C9" w:rsidP="0071027C">
                              <w:pPr>
                                <w:jc w:val="center"/>
                              </w:pPr>
                              <w:r w:rsidRPr="00576FCD">
                                <w:t>&lt;18 mo</w:t>
                              </w:r>
                              <w:r>
                                <w:t>nths</w:t>
                              </w:r>
                              <w:r w:rsidRPr="00576FCD">
                                <w:t xml:space="preserve">: </w:t>
                              </w:r>
                              <w:r>
                                <w:t>re-test</w:t>
                              </w:r>
                              <w:r w:rsidRPr="00576FCD">
                                <w:t xml:space="preserve"> with PCR</w:t>
                              </w:r>
                            </w:p>
                          </w:txbxContent>
                        </wps:txbx>
                        <wps:bodyPr rot="0" vert="horz" wrap="square" lIns="18288" tIns="18288" rIns="18288" bIns="18288" anchor="ctr" anchorCtr="0" upright="1">
                          <a:noAutofit/>
                        </wps:bodyPr>
                      </wps:wsp>
                      <wps:wsp>
                        <wps:cNvPr id="581" name="AutoShape 177"/>
                        <wps:cNvSpPr>
                          <a:spLocks noChangeArrowheads="1"/>
                        </wps:cNvSpPr>
                        <wps:spPr bwMode="auto">
                          <a:xfrm>
                            <a:off x="6077" y="8841"/>
                            <a:ext cx="1120" cy="2352"/>
                          </a:xfrm>
                          <a:prstGeom prst="roundRect">
                            <a:avLst>
                              <a:gd name="adj" fmla="val 16667"/>
                            </a:avLst>
                          </a:prstGeom>
                          <a:solidFill>
                            <a:srgbClr val="DDD8C2"/>
                          </a:solidFill>
                          <a:ln w="9525">
                            <a:solidFill>
                              <a:srgbClr val="000000"/>
                            </a:solidFill>
                            <a:round/>
                            <a:headEnd/>
                            <a:tailEnd/>
                          </a:ln>
                        </wps:spPr>
                        <wps:txbx>
                          <w:txbxContent>
                            <w:p w:rsidR="00B247C9" w:rsidRPr="00AB3155" w:rsidRDefault="00B247C9" w:rsidP="0071027C">
                              <w:pPr>
                                <w:spacing w:after="0" w:line="240" w:lineRule="auto"/>
                                <w:rPr>
                                  <w:sz w:val="16"/>
                                  <w:szCs w:val="16"/>
                                </w:rPr>
                              </w:pPr>
                              <w:r>
                                <w:rPr>
                                  <w:sz w:val="16"/>
                                  <w:szCs w:val="16"/>
                                </w:rPr>
                                <w:t xml:space="preserve"> </w:t>
                              </w:r>
                              <w:r w:rsidRPr="00AB3155">
                                <w:rPr>
                                  <w:sz w:val="16"/>
                                  <w:szCs w:val="16"/>
                                </w:rPr>
                                <w:t>Negative chil</w:t>
                              </w:r>
                              <w:r>
                                <w:rPr>
                                  <w:sz w:val="16"/>
                                  <w:szCs w:val="16"/>
                                </w:rPr>
                                <w:t xml:space="preserve">d </w:t>
                              </w:r>
                              <w:r w:rsidRPr="00AB3155">
                                <w:rPr>
                                  <w:sz w:val="16"/>
                                  <w:szCs w:val="16"/>
                                </w:rPr>
                                <w:t>Re-test:</w:t>
                              </w:r>
                            </w:p>
                            <w:p w:rsidR="00B247C9" w:rsidRPr="00AB3155" w:rsidRDefault="00B247C9" w:rsidP="0071027C">
                              <w:pPr>
                                <w:pStyle w:val="BulletLIST"/>
                                <w:spacing w:before="0"/>
                                <w:rPr>
                                  <w:sz w:val="16"/>
                                  <w:szCs w:val="16"/>
                                </w:rPr>
                              </w:pPr>
                              <w:r w:rsidRPr="00AB3155">
                                <w:rPr>
                                  <w:sz w:val="16"/>
                                  <w:szCs w:val="16"/>
                                </w:rPr>
                                <w:t>If symptomatic</w:t>
                              </w:r>
                            </w:p>
                            <w:p w:rsidR="00B247C9" w:rsidRPr="00AB3155" w:rsidRDefault="00B247C9" w:rsidP="0071027C">
                              <w:pPr>
                                <w:pStyle w:val="BulletLIST"/>
                                <w:spacing w:before="0"/>
                                <w:rPr>
                                  <w:sz w:val="16"/>
                                  <w:szCs w:val="16"/>
                                </w:rPr>
                              </w:pPr>
                              <w:r w:rsidRPr="00AB3155">
                                <w:rPr>
                                  <w:sz w:val="16"/>
                                  <w:szCs w:val="16"/>
                                </w:rPr>
                                <w:t xml:space="preserve">At 18 months of age </w:t>
                              </w:r>
                            </w:p>
                          </w:txbxContent>
                        </wps:txbx>
                        <wps:bodyPr rot="0" vert="horz" wrap="square" lIns="0" tIns="0" rIns="0" bIns="0" anchor="ctr" anchorCtr="0" upright="1">
                          <a:noAutofit/>
                        </wps:bodyPr>
                      </wps:wsp>
                      <wps:wsp>
                        <wps:cNvPr id="582" name="AutoShape 178"/>
                        <wps:cNvSpPr>
                          <a:spLocks noChangeArrowheads="1"/>
                        </wps:cNvSpPr>
                        <wps:spPr bwMode="auto">
                          <a:xfrm>
                            <a:off x="8410" y="5936"/>
                            <a:ext cx="1370" cy="2107"/>
                          </a:xfrm>
                          <a:prstGeom prst="roundRect">
                            <a:avLst>
                              <a:gd name="adj" fmla="val 16667"/>
                            </a:avLst>
                          </a:prstGeom>
                          <a:solidFill>
                            <a:srgbClr val="C6D9F1"/>
                          </a:solidFill>
                          <a:ln w="9525">
                            <a:solidFill>
                              <a:srgbClr val="000000"/>
                            </a:solidFill>
                            <a:round/>
                            <a:headEnd/>
                            <a:tailEnd/>
                          </a:ln>
                        </wps:spPr>
                        <wps:txbx>
                          <w:txbxContent>
                            <w:p w:rsidR="00B247C9" w:rsidRPr="00576FCD" w:rsidRDefault="00B247C9" w:rsidP="0071027C">
                              <w:pPr>
                                <w:jc w:val="center"/>
                              </w:pPr>
                              <w:r w:rsidRPr="00576FCD">
                                <w:t>≥18 mo</w:t>
                              </w:r>
                              <w:r>
                                <w:t>nths</w:t>
                              </w:r>
                              <w:r w:rsidRPr="00576FCD">
                                <w:t xml:space="preserve">: confirmatory </w:t>
                              </w:r>
                              <w:r w:rsidRPr="00A17A72">
                                <w:t>Ab test</w:t>
                              </w:r>
                            </w:p>
                          </w:txbxContent>
                        </wps:txbx>
                        <wps:bodyPr rot="0" vert="horz" wrap="square" lIns="0" tIns="18288" rIns="0" bIns="18288" anchor="ctr" anchorCtr="0" upright="1">
                          <a:noAutofit/>
                        </wps:bodyPr>
                      </wps:wsp>
                      <wps:wsp>
                        <wps:cNvPr id="583" name="AutoShape 179"/>
                        <wps:cNvSpPr>
                          <a:spLocks noChangeArrowheads="1"/>
                        </wps:cNvSpPr>
                        <wps:spPr bwMode="auto">
                          <a:xfrm>
                            <a:off x="7399" y="8841"/>
                            <a:ext cx="2054" cy="2352"/>
                          </a:xfrm>
                          <a:prstGeom prst="flowChartAlternateProcess">
                            <a:avLst/>
                          </a:prstGeom>
                          <a:solidFill>
                            <a:srgbClr val="D99594"/>
                          </a:solidFill>
                          <a:ln w="9525">
                            <a:solidFill>
                              <a:srgbClr val="000000"/>
                            </a:solidFill>
                            <a:miter lim="800000"/>
                            <a:headEnd/>
                            <a:tailEnd/>
                          </a:ln>
                        </wps:spPr>
                        <wps:txbx>
                          <w:txbxContent>
                            <w:p w:rsidR="00B247C9" w:rsidRPr="00576FCD" w:rsidRDefault="00B247C9" w:rsidP="0071027C">
                              <w:pPr>
                                <w:jc w:val="center"/>
                              </w:pPr>
                              <w:r w:rsidRPr="00576FCD">
                                <w:t>: start ART.</w:t>
                              </w:r>
                            </w:p>
                          </w:txbxContent>
                        </wps:txbx>
                        <wps:bodyPr rot="0" vert="horz" wrap="square" lIns="18288" tIns="18288" rIns="18288" bIns="18288" anchor="ctr" anchorCtr="0" upright="1">
                          <a:noAutofit/>
                        </wps:bodyPr>
                      </wps:wsp>
                      <wps:wsp>
                        <wps:cNvPr id="584" name="AutoShape 180"/>
                        <wps:cNvSpPr>
                          <a:spLocks noChangeArrowheads="1"/>
                        </wps:cNvSpPr>
                        <wps:spPr bwMode="auto">
                          <a:xfrm>
                            <a:off x="4676" y="8841"/>
                            <a:ext cx="1279" cy="2352"/>
                          </a:xfrm>
                          <a:prstGeom prst="roundRect">
                            <a:avLst>
                              <a:gd name="adj" fmla="val 16667"/>
                            </a:avLst>
                          </a:prstGeom>
                          <a:solidFill>
                            <a:srgbClr val="C6D9F1"/>
                          </a:solidFill>
                          <a:ln w="9525">
                            <a:solidFill>
                              <a:srgbClr val="000000"/>
                            </a:solidFill>
                            <a:round/>
                            <a:headEnd/>
                            <a:tailEnd/>
                          </a:ln>
                        </wps:spPr>
                        <wps:txbx>
                          <w:txbxContent>
                            <w:p w:rsidR="00B247C9" w:rsidRPr="00AB3155" w:rsidRDefault="00B247C9" w:rsidP="0071027C">
                              <w:pPr>
                                <w:spacing w:after="0" w:line="240" w:lineRule="auto"/>
                                <w:jc w:val="center"/>
                                <w:rPr>
                                  <w:sz w:val="16"/>
                                  <w:szCs w:val="16"/>
                                </w:rPr>
                              </w:pPr>
                              <w:r w:rsidRPr="00AB3155">
                                <w:rPr>
                                  <w:sz w:val="16"/>
                                  <w:szCs w:val="16"/>
                                </w:rPr>
                                <w:t>Re-test:</w:t>
                              </w:r>
                            </w:p>
                            <w:p w:rsidR="00B247C9" w:rsidRPr="00AB3155" w:rsidRDefault="00B247C9" w:rsidP="0071027C">
                              <w:pPr>
                                <w:pStyle w:val="BulletLIST"/>
                                <w:spacing w:before="0"/>
                                <w:rPr>
                                  <w:sz w:val="16"/>
                                  <w:szCs w:val="16"/>
                                </w:rPr>
                              </w:pPr>
                              <w:r w:rsidRPr="00AB3155">
                                <w:rPr>
                                  <w:sz w:val="16"/>
                                  <w:szCs w:val="16"/>
                                </w:rPr>
                                <w:t>If symptomatic</w:t>
                              </w:r>
                            </w:p>
                            <w:p w:rsidR="00B247C9" w:rsidRPr="00AB3155" w:rsidRDefault="00B247C9" w:rsidP="0071027C">
                              <w:pPr>
                                <w:pStyle w:val="BulletLIST"/>
                                <w:spacing w:before="0"/>
                              </w:pPr>
                              <w:r w:rsidRPr="00AB3155">
                                <w:rPr>
                                  <w:sz w:val="16"/>
                                  <w:szCs w:val="16"/>
                                </w:rPr>
                                <w:t xml:space="preserve">6 weeks or more after cessation of BF </w:t>
                              </w:r>
                            </w:p>
                            <w:p w:rsidR="00B247C9" w:rsidRPr="002F0FA9" w:rsidRDefault="00B247C9" w:rsidP="0071027C">
                              <w:pPr>
                                <w:pStyle w:val="BulletLIST"/>
                                <w:spacing w:before="0"/>
                              </w:pPr>
                              <w:r w:rsidRPr="00AB3155">
                                <w:rPr>
                                  <w:sz w:val="16"/>
                                  <w:szCs w:val="16"/>
                                </w:rPr>
                                <w:t>At 18 months of age</w:t>
                              </w:r>
                            </w:p>
                          </w:txbxContent>
                        </wps:txbx>
                        <wps:bodyPr rot="0" vert="horz" wrap="square" lIns="9144" tIns="9144" rIns="9144" bIns="9144" anchor="ctr" anchorCtr="0" upright="1">
                          <a:noAutofit/>
                        </wps:bodyPr>
                      </wps:wsp>
                      <wps:wsp>
                        <wps:cNvPr id="585" name="Line 181"/>
                        <wps:cNvCnPr/>
                        <wps:spPr bwMode="auto">
                          <a:xfrm>
                            <a:off x="5753" y="5408"/>
                            <a:ext cx="2" cy="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6" name="Line 182"/>
                        <wps:cNvCnPr/>
                        <wps:spPr bwMode="auto">
                          <a:xfrm>
                            <a:off x="5231" y="5408"/>
                            <a:ext cx="1" cy="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7" name="Line 183"/>
                        <wps:cNvCnPr/>
                        <wps:spPr bwMode="auto">
                          <a:xfrm>
                            <a:off x="4196" y="5408"/>
                            <a:ext cx="2" cy="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 name="Line 184"/>
                        <wps:cNvCnPr/>
                        <wps:spPr bwMode="auto">
                          <a:xfrm>
                            <a:off x="5352" y="8029"/>
                            <a:ext cx="0" cy="8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9" name="Line 185"/>
                        <wps:cNvCnPr/>
                        <wps:spPr bwMode="auto">
                          <a:xfrm>
                            <a:off x="6589" y="8029"/>
                            <a:ext cx="0" cy="8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0" name="Line 186"/>
                        <wps:cNvCnPr/>
                        <wps:spPr bwMode="auto">
                          <a:xfrm>
                            <a:off x="8926" y="8043"/>
                            <a:ext cx="2" cy="7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1" name="AutoShape 187"/>
                        <wps:cNvCnPr>
                          <a:cxnSpLocks noChangeShapeType="1"/>
                        </wps:cNvCnPr>
                        <wps:spPr bwMode="auto">
                          <a:xfrm flipV="1">
                            <a:off x="1515" y="4059"/>
                            <a:ext cx="14" cy="73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2" name="AutoShape 188"/>
                        <wps:cNvCnPr>
                          <a:cxnSpLocks noChangeShapeType="1"/>
                        </wps:cNvCnPr>
                        <wps:spPr bwMode="auto">
                          <a:xfrm flipH="1">
                            <a:off x="1515" y="11431"/>
                            <a:ext cx="83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AutoShape 189"/>
                        <wps:cNvCnPr>
                          <a:cxnSpLocks noChangeShapeType="1"/>
                        </wps:cNvCnPr>
                        <wps:spPr bwMode="auto">
                          <a:xfrm flipV="1">
                            <a:off x="9885" y="4053"/>
                            <a:ext cx="0" cy="73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 name="AutoShape 190"/>
                        <wps:cNvCnPr>
                          <a:cxnSpLocks noChangeShapeType="1"/>
                        </wps:cNvCnPr>
                        <wps:spPr bwMode="auto">
                          <a:xfrm flipV="1">
                            <a:off x="7517" y="4351"/>
                            <a:ext cx="0" cy="1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AutoShape 191"/>
                        <wps:cNvCnPr>
                          <a:cxnSpLocks noChangeShapeType="1"/>
                        </wps:cNvCnPr>
                        <wps:spPr bwMode="auto">
                          <a:xfrm flipH="1">
                            <a:off x="4961" y="4351"/>
                            <a:ext cx="255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AutoShape 192"/>
                        <wps:cNvCnPr>
                          <a:cxnSpLocks noChangeShapeType="1"/>
                        </wps:cNvCnPr>
                        <wps:spPr bwMode="auto">
                          <a:xfrm flipV="1">
                            <a:off x="4959" y="4055"/>
                            <a:ext cx="2" cy="2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 name="Line 193"/>
                        <wps:cNvCnPr/>
                        <wps:spPr bwMode="auto">
                          <a:xfrm>
                            <a:off x="4675" y="405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8" name="Line 194"/>
                        <wps:cNvCnPr/>
                        <wps:spPr bwMode="auto">
                          <a:xfrm>
                            <a:off x="2565" y="4059"/>
                            <a:ext cx="0" cy="5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9" name="Line 195"/>
                        <wps:cNvCnPr/>
                        <wps:spPr bwMode="auto">
                          <a:xfrm>
                            <a:off x="8072" y="5388"/>
                            <a:ext cx="2" cy="5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0" name="Line 196"/>
                        <wps:cNvCnPr/>
                        <wps:spPr bwMode="auto">
                          <a:xfrm>
                            <a:off x="8750" y="4053"/>
                            <a:ext cx="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1" name="Line 197"/>
                        <wps:cNvCnPr/>
                        <wps:spPr bwMode="auto">
                          <a:xfrm>
                            <a:off x="9184" y="5388"/>
                            <a:ext cx="1" cy="5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2" name="AutoShape 198"/>
                        <wps:cNvSpPr>
                          <a:spLocks noChangeArrowheads="1"/>
                        </wps:cNvSpPr>
                        <wps:spPr bwMode="auto">
                          <a:xfrm>
                            <a:off x="1641" y="3294"/>
                            <a:ext cx="3729" cy="761"/>
                          </a:xfrm>
                          <a:prstGeom prst="flowChartAlternateProcess">
                            <a:avLst/>
                          </a:prstGeom>
                          <a:solidFill>
                            <a:srgbClr val="CCFFFF"/>
                          </a:solidFill>
                          <a:ln w="9525">
                            <a:solidFill>
                              <a:srgbClr val="000000"/>
                            </a:solidFill>
                            <a:miter lim="800000"/>
                            <a:headEnd/>
                            <a:tailEnd/>
                          </a:ln>
                        </wps:spPr>
                        <wps:txbx>
                          <w:txbxContent>
                            <w:p w:rsidR="00B247C9" w:rsidRPr="00AB3155" w:rsidRDefault="00B247C9" w:rsidP="0071027C">
                              <w:pPr>
                                <w:jc w:val="center"/>
                                <w:rPr>
                                  <w:sz w:val="16"/>
                                  <w:szCs w:val="16"/>
                                </w:rPr>
                              </w:pPr>
                              <w:r w:rsidRPr="00AB3155">
                                <w:rPr>
                                  <w:sz w:val="16"/>
                                  <w:szCs w:val="16"/>
                                </w:rPr>
                                <w:t>Age &lt;9 months: virological testing (DNA-PCR)</w:t>
                              </w:r>
                            </w:p>
                          </w:txbxContent>
                        </wps:txbx>
                        <wps:bodyPr rot="0" vert="horz" wrap="square" lIns="18288" tIns="18288" rIns="18288" bIns="18288" anchor="ctr" anchorCtr="0" upright="1">
                          <a:noAutofit/>
                        </wps:bodyPr>
                      </wps:wsp>
                      <wps:wsp>
                        <wps:cNvPr id="603" name="AutoShape 199"/>
                        <wps:cNvSpPr>
                          <a:spLocks noChangeArrowheads="1"/>
                        </wps:cNvSpPr>
                        <wps:spPr bwMode="auto">
                          <a:xfrm>
                            <a:off x="3504" y="5936"/>
                            <a:ext cx="1101" cy="2107"/>
                          </a:xfrm>
                          <a:prstGeom prst="flowChartAlternateProcess">
                            <a:avLst/>
                          </a:prstGeom>
                          <a:solidFill>
                            <a:srgbClr val="CCFFCC"/>
                          </a:solidFill>
                          <a:ln w="9525">
                            <a:solidFill>
                              <a:srgbClr val="000000"/>
                            </a:solidFill>
                            <a:miter lim="800000"/>
                            <a:headEnd/>
                            <a:tailEnd/>
                          </a:ln>
                        </wps:spPr>
                        <wps:txbx>
                          <w:txbxContent>
                            <w:p w:rsidR="00B247C9" w:rsidRPr="008F13E0" w:rsidRDefault="00B247C9" w:rsidP="0071027C">
                              <w:pPr>
                                <w:jc w:val="center"/>
                              </w:pPr>
                              <w:r w:rsidRPr="008F13E0">
                                <w:t>Not breast-fed within past 6 weeks or longer</w:t>
                              </w:r>
                            </w:p>
                          </w:txbxContent>
                        </wps:txbx>
                        <wps:bodyPr rot="0" vert="horz" wrap="square" lIns="18288" tIns="18288" rIns="18288" bIns="18288" anchor="ctr" anchorCtr="0" upright="1">
                          <a:noAutofit/>
                        </wps:bodyPr>
                      </wps:wsp>
                      <wps:wsp>
                        <wps:cNvPr id="604" name="AutoShape 200"/>
                        <wps:cNvSpPr>
                          <a:spLocks noChangeArrowheads="1"/>
                        </wps:cNvSpPr>
                        <wps:spPr bwMode="auto">
                          <a:xfrm>
                            <a:off x="1835" y="5936"/>
                            <a:ext cx="1460" cy="2107"/>
                          </a:xfrm>
                          <a:prstGeom prst="flowChartAlternateProcess">
                            <a:avLst/>
                          </a:prstGeom>
                          <a:solidFill>
                            <a:srgbClr val="D99594"/>
                          </a:solidFill>
                          <a:ln w="9525">
                            <a:solidFill>
                              <a:srgbClr val="000000"/>
                            </a:solidFill>
                            <a:miter lim="800000"/>
                            <a:headEnd/>
                            <a:tailEnd/>
                          </a:ln>
                        </wps:spPr>
                        <wps:txbx>
                          <w:txbxContent>
                            <w:p w:rsidR="00B247C9" w:rsidRPr="00576FCD" w:rsidRDefault="00B247C9" w:rsidP="0071027C">
                              <w:pPr>
                                <w:jc w:val="center"/>
                              </w:pPr>
                              <w:r w:rsidRPr="00576FCD">
                                <w:t>Start ART</w:t>
                              </w:r>
                            </w:p>
                          </w:txbxContent>
                        </wps:txbx>
                        <wps:bodyPr rot="0" vert="horz" wrap="square" lIns="91440" tIns="82296" rIns="91440" bIns="82296" anchor="ctr" anchorCtr="0" upright="1">
                          <a:noAutofit/>
                        </wps:bodyPr>
                      </wps:wsp>
                      <wps:wsp>
                        <wps:cNvPr id="605" name="Line 201"/>
                        <wps:cNvCnPr/>
                        <wps:spPr bwMode="auto">
                          <a:xfrm>
                            <a:off x="2565" y="5408"/>
                            <a:ext cx="1" cy="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6" name="Line 202"/>
                        <wps:cNvCnPr/>
                        <wps:spPr bwMode="auto">
                          <a:xfrm>
                            <a:off x="6587" y="5408"/>
                            <a:ext cx="2" cy="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7" name="Line 203"/>
                        <wps:cNvCnPr/>
                        <wps:spPr bwMode="auto">
                          <a:xfrm>
                            <a:off x="6533" y="4055"/>
                            <a:ext cx="1" cy="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 name="Line 204"/>
                        <wps:cNvCnPr/>
                        <wps:spPr bwMode="auto">
                          <a:xfrm>
                            <a:off x="4073" y="8029"/>
                            <a:ext cx="0" cy="8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Line 205"/>
                        <wps:cNvCnPr/>
                        <wps:spPr bwMode="auto">
                          <a:xfrm>
                            <a:off x="3753" y="2543"/>
                            <a:ext cx="0" cy="7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5" name="AutoShape 206"/>
                        <wps:cNvSpPr>
                          <a:spLocks noChangeArrowheads="1"/>
                        </wps:cNvSpPr>
                        <wps:spPr bwMode="auto">
                          <a:xfrm>
                            <a:off x="1724" y="1728"/>
                            <a:ext cx="8004" cy="815"/>
                          </a:xfrm>
                          <a:prstGeom prst="flowChartAlternateProcess">
                            <a:avLst/>
                          </a:prstGeom>
                          <a:solidFill>
                            <a:srgbClr val="FFFF99"/>
                          </a:solidFill>
                          <a:ln w="9525">
                            <a:solidFill>
                              <a:srgbClr val="000000"/>
                            </a:solidFill>
                            <a:miter lim="800000"/>
                            <a:headEnd/>
                            <a:tailEnd/>
                          </a:ln>
                        </wps:spPr>
                        <wps:txbx>
                          <w:txbxContent>
                            <w:p w:rsidR="00B247C9" w:rsidRPr="00AC6021" w:rsidRDefault="00B247C9" w:rsidP="0071027C">
                              <w:pPr>
                                <w:jc w:val="center"/>
                                <w:rPr>
                                  <w:sz w:val="24"/>
                                  <w:szCs w:val="24"/>
                                </w:rPr>
                              </w:pPr>
                              <w:r w:rsidRPr="00AC6021">
                                <w:rPr>
                                  <w:sz w:val="24"/>
                                  <w:szCs w:val="24"/>
                                </w:rPr>
                                <w:t>Child presents at clinic</w:t>
                              </w:r>
                            </w:p>
                          </w:txbxContent>
                        </wps:txbx>
                        <wps:bodyPr rot="0" vert="horz" wrap="square" lIns="18288" tIns="18288" rIns="18288" bIns="18288" anchor="ctr" anchorCtr="0" upright="1">
                          <a:noAutofit/>
                        </wps:bodyPr>
                      </wps:wsp>
                    </wpg:wgp>
                  </a:graphicData>
                </a:graphic>
              </wp:inline>
            </w:drawing>
          </mc:Choice>
          <mc:Fallback>
            <w:pict>
              <v:group id="Group 2122" o:spid="_x0000_s1357" style="width:458.6pt;height:514.05pt;mso-position-horizontal-relative:char;mso-position-vertical-relative:line" coordorigin="1515,1728" coordsize="8370,9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67" o:spid="_x0000_s1358" type="#_x0000_t176" style="position:absolute;left:5568;top:3294;width:4160;height: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ONcUA&#10;AADcAAAADwAAAGRycy9kb3ducmV2LnhtbESP3WrCQBCF7wu+wzJCb0rdtBLR1FXaQtHeaeoDDNkx&#10;Cc3Oht3NT316VxB6eThzvjNnvR1NI3pyvras4GWWgCAurK65VHD6+XpegvABWWNjmRT8kYftZvKw&#10;xkzbgY/U56EUEcI+QwVVCG0mpS8qMuhntiWO3tk6gyFKV0rtcIhw08jXJFlIgzXHhgpb+qyo+M07&#10;E9/osdun8295uAzdR1o7Xj7tWKnH6fj+BiLQGP6P7+m9VrBKV3AbEwk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s41xQAAANwAAAAPAAAAAAAAAAAAAAAAAJgCAABkcnMv&#10;ZG93bnJldi54bWxQSwUGAAAAAAQABAD1AAAAigMAAAAA&#10;" fillcolor="#cff">
                  <v:textbox inset="1.44pt,1.44pt,1.44pt,1.44pt">
                    <w:txbxContent>
                      <w:p w:rsidR="00B247C9" w:rsidRPr="00AB3155" w:rsidRDefault="00B247C9" w:rsidP="0071027C">
                        <w:pPr>
                          <w:jc w:val="center"/>
                          <w:rPr>
                            <w:sz w:val="16"/>
                            <w:szCs w:val="16"/>
                          </w:rPr>
                        </w:pPr>
                        <w:r w:rsidRPr="00AB3155">
                          <w:rPr>
                            <w:sz w:val="16"/>
                            <w:szCs w:val="16"/>
                          </w:rPr>
                          <w:t xml:space="preserve">Age </w:t>
                        </w:r>
                        <w:r w:rsidRPr="00AB3155">
                          <w:rPr>
                            <w:sz w:val="16"/>
                            <w:szCs w:val="16"/>
                          </w:rPr>
                          <w:sym w:font="Symbol" w:char="F0B3"/>
                        </w:r>
                        <w:r w:rsidRPr="00AB3155">
                          <w:rPr>
                            <w:sz w:val="16"/>
                            <w:szCs w:val="16"/>
                          </w:rPr>
                          <w:t>9 months: antibody testing</w:t>
                        </w:r>
                      </w:p>
                      <w:p w:rsidR="00B247C9" w:rsidRPr="00AB3155" w:rsidRDefault="00B247C9" w:rsidP="0071027C">
                        <w:pPr>
                          <w:jc w:val="center"/>
                          <w:rPr>
                            <w:sz w:val="16"/>
                            <w:szCs w:val="16"/>
                          </w:rPr>
                        </w:pPr>
                        <w:r w:rsidRPr="00AB3155">
                          <w:rPr>
                            <w:sz w:val="16"/>
                            <w:szCs w:val="16"/>
                          </w:rPr>
                          <w:t>(rapid</w:t>
                        </w:r>
                        <w:r>
                          <w:rPr>
                            <w:sz w:val="16"/>
                            <w:szCs w:val="16"/>
                          </w:rPr>
                          <w:t xml:space="preserve"> </w:t>
                        </w:r>
                        <w:r w:rsidRPr="00AB3155">
                          <w:rPr>
                            <w:sz w:val="16"/>
                            <w:szCs w:val="16"/>
                          </w:rPr>
                          <w:t>test)</w:t>
                        </w:r>
                      </w:p>
                    </w:txbxContent>
                  </v:textbox>
                </v:shape>
                <v:line id="Line 168" o:spid="_x0000_s1359" style="position:absolute;visibility:visible;mso-wrap-style:square" from="7197,2543" to="7197,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0wsUAAADcAAAADwAAAGRycy9kb3ducmV2LnhtbESPQWsCMRSE74X+h/AKvdWsg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Y0wsUAAADcAAAADwAAAAAAAAAA&#10;AAAAAAChAgAAZHJzL2Rvd25yZXYueG1sUEsFBgAAAAAEAAQA+QAAAJMDAAAAAA==&#10;">
                  <v:stroke endarrow="block"/>
                </v:line>
                <v:shape id="AutoShape 169" o:spid="_x0000_s1360" type="#_x0000_t176" style="position:absolute;left:3739;top:4593;width:1717;height: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bi8UA&#10;AADcAAAADwAAAGRycy9kb3ducmV2LnhtbESPQWsCMRSE70L/Q3gFb5qtYiurUWyhoAcPtQult9fN&#10;c7O4eVmS6K7/3ghCj8PMfMMs171txIV8qB0reBlnIIhLp2uuFBTfn6M5iBCRNTaOScGVAqxXT4Ml&#10;5tp1/EWXQ6xEgnDIUYGJsc2lDKUhi2HsWuLkHZ23GJP0ldQeuwS3jZxk2au0WHNaMNjSh6HydDhb&#10;BRvtJnQsdu/tT/dbmP3Zd/PyT6nhc79ZgIjUx//wo73VCmZvU7if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FuLxQAAANwAAAAPAAAAAAAAAAAAAAAAAJgCAABkcnMv&#10;ZG93bnJldi54bWxQSwUGAAAAAAQABAD1AAAAigMAAAAA&#10;" fillcolor="#ffe2c5">
                  <v:textbox inset="1.44pt,1.44pt,1.44pt,1.44pt">
                    <w:txbxContent>
                      <w:p w:rsidR="00B247C9" w:rsidRPr="00576FCD" w:rsidRDefault="00B247C9" w:rsidP="0071027C">
                        <w:pPr>
                          <w:jc w:val="center"/>
                        </w:pPr>
                        <w:r w:rsidRPr="00576FCD">
                          <w:t xml:space="preserve">Negative </w:t>
                        </w:r>
                        <w:r>
                          <w:t>DNA-</w:t>
                        </w:r>
                        <w:r w:rsidRPr="00576FCD">
                          <w:t>PCR</w:t>
                        </w:r>
                      </w:p>
                    </w:txbxContent>
                  </v:textbox>
                </v:shape>
                <v:shape id="AutoShape 170" o:spid="_x0000_s1361" type="#_x0000_t176" style="position:absolute;left:5636;top:4593;width:1774;height: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D/8UA&#10;AADcAAAADwAAAGRycy9kb3ducmV2LnhtbESPQWsCMRSE70L/Q3gFb5qtaCurUWyhoAcPtQult9fN&#10;c7O4eVmS6K7/3ghCj8PMfMMs171txIV8qB0reBlnIIhLp2uuFBTfn6M5iBCRNTaOScGVAqxXT4Ml&#10;5tp1/EWXQ6xEgnDIUYGJsc2lDKUhi2HsWuLkHZ23GJP0ldQeuwS3jZxk2au0WHNaMNjSh6HydDhb&#10;BRvtJnQsdu/tT/dbmP3Zd/PyT6nhc79ZgIjUx//wo73VCmZvU7if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cP/xQAAANwAAAAPAAAAAAAAAAAAAAAAAJgCAABkcnMv&#10;ZG93bnJldi54bWxQSwUGAAAAAAQABAD1AAAAigMAAAAA&#10;" fillcolor="#ffe2c5">
                  <v:textbox inset="1.44pt,1.44pt,1.44pt,1.44pt">
                    <w:txbxContent>
                      <w:p w:rsidR="00B247C9" w:rsidRPr="00576FCD" w:rsidRDefault="00B247C9" w:rsidP="0071027C">
                        <w:pPr>
                          <w:jc w:val="center"/>
                        </w:pPr>
                        <w:r w:rsidRPr="00576FCD">
                          <w:t xml:space="preserve">Negative </w:t>
                        </w:r>
                        <w:r>
                          <w:br/>
                          <w:t>rapid test</w:t>
                        </w:r>
                      </w:p>
                    </w:txbxContent>
                  </v:textbox>
                </v:shape>
                <v:shape id="AutoShape 171" o:spid="_x0000_s1362" type="#_x0000_t176" style="position:absolute;left:1641;top:4593;width:1849;height: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scUA&#10;AADcAAAADwAAAGRycy9kb3ducmV2LnhtbESPUWvCQBCE3wv9D8cWfKsXhdgSPUWEQkFBatOib0tu&#10;m4Tm9kJuNfHf9wShj8PMfMMsVoNr1IW6UHs2MBknoIgLb2suDeSfb8+voIIgW2w8k4ErBVgtHx8W&#10;mFnf8wddDlKqCOGQoYFKpM20DkVFDsPYt8TR+/GdQ4myK7XtsI9w1+hpksy0w5rjQoUtbSoqfg9n&#10;Z+C42U6/ZUi/1tem3+e7yTE/iTdm9DSs56CEBvkP39vv1kD6ksLtTDw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8axxQAAANwAAAAPAAAAAAAAAAAAAAAAAJgCAABkcnMv&#10;ZG93bnJldi54bWxQSwUGAAAAAAQABAD1AAAAigMAAAAA&#10;" fillcolor="#fc9">
                  <v:textbox inset="1.44pt,1.44pt,1.44pt,1.44pt">
                    <w:txbxContent>
                      <w:p w:rsidR="00B247C9" w:rsidRPr="00576FCD" w:rsidRDefault="00B247C9" w:rsidP="0071027C">
                        <w:pPr>
                          <w:jc w:val="center"/>
                        </w:pPr>
                        <w:r w:rsidRPr="00576FCD">
                          <w:t xml:space="preserve">Positive </w:t>
                        </w:r>
                        <w:r>
                          <w:br/>
                          <w:t>DNA-</w:t>
                        </w:r>
                        <w:r w:rsidRPr="00576FCD">
                          <w:t>PCR</w:t>
                        </w:r>
                      </w:p>
                    </w:txbxContent>
                  </v:textbox>
                </v:shape>
                <v:shape id="AutoShape 172" o:spid="_x0000_s1363" type="#_x0000_t176" style="position:absolute;left:7599;top:4593;width:1854;height: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1YxsUA&#10;AADcAAAADwAAAGRycy9kb3ducmV2LnhtbESPUWvCQBCE3wv9D8cKfdOLglqip4hQEFoo1VT0bcmt&#10;STC3F3Krif++Vyj0cZiZb5jlune1ulMbKs8GxqMEFHHubcWFgezwNnwFFQTZYu2ZDDwowHr1/LTE&#10;1PqOv+i+l0JFCIcUDZQiTap1yEtyGEa+IY7exbcOJcq20LbFLsJdrSdJMtMOK44LJTa0LSm/7m/O&#10;wGn7PjlKP/3ePOruM/sYn7KzeGNeBv1mAUqol//wX3tnDUznM/g9E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VjGxQAAANwAAAAPAAAAAAAAAAAAAAAAAJgCAABkcnMv&#10;ZG93bnJldi54bWxQSwUGAAAAAAQABAD1AAAAigMAAAAA&#10;" fillcolor="#fc9">
                  <v:textbox inset="1.44pt,1.44pt,1.44pt,1.44pt">
                    <w:txbxContent>
                      <w:p w:rsidR="00B247C9" w:rsidRPr="00576FCD" w:rsidRDefault="00B247C9" w:rsidP="0071027C">
                        <w:pPr>
                          <w:jc w:val="center"/>
                        </w:pPr>
                        <w:r w:rsidRPr="00576FCD">
                          <w:t xml:space="preserve">Positive </w:t>
                        </w:r>
                        <w:r>
                          <w:br/>
                          <w:t>rapid test</w:t>
                        </w:r>
                      </w:p>
                    </w:txbxContent>
                  </v:textbox>
                </v:shape>
                <v:shape id="AutoShape 173" o:spid="_x0000_s1364" type="#_x0000_t176" style="position:absolute;left:4760;top:5936;width:1131;height:2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mqMIA&#10;AADcAAAADwAAAGRycy9kb3ducmV2LnhtbESP3YrCMBSE7xd8h3CEvVtTF9RajSLC4oIu4s8DHJpj&#10;W2xOShJrfXsjCHs5zMw3zHzZmVq05HxlWcFwkIAgzq2uuFBwPv18pSB8QNZYWyYFD/KwXPQ+5php&#10;e+cDtcdQiAhhn6GCMoQmk9LnJRn0A9sQR+9incEQpSukdniPcFPL7yQZS4MVx4USG1qXlF+PN6PA&#10;b/42Fe6dbYfbTrMudttp6pX67HerGYhAXfgPv9u/WsFoMoHX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Z2aowgAAANwAAAAPAAAAAAAAAAAAAAAAAJgCAABkcnMvZG93&#10;bnJldi54bWxQSwUGAAAAAAQABAD1AAAAhwMAAAAA&#10;" fillcolor="#cfc">
                  <v:textbox inset="1.44pt,6.48pt,1.44pt,6.48pt">
                    <w:txbxContent>
                      <w:p w:rsidR="00B247C9" w:rsidRPr="00576FCD" w:rsidRDefault="00B247C9" w:rsidP="0071027C">
                        <w:pPr>
                          <w:jc w:val="center"/>
                        </w:pPr>
                        <w:r w:rsidRPr="00576FCD">
                          <w:t>Still (or recent) breast</w:t>
                        </w:r>
                        <w:r>
                          <w:t>-</w:t>
                        </w:r>
                        <w:r w:rsidRPr="00576FCD">
                          <w:t>feeding</w:t>
                        </w:r>
                      </w:p>
                    </w:txbxContent>
                  </v:textbox>
                </v:shape>
                <v:shape id="AutoShape 174" o:spid="_x0000_s1365" type="#_x0000_t176" style="position:absolute;left:6019;top:5936;width:1086;height:2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DOMAA&#10;AADcAAAADwAAAGRycy9kb3ducmV2LnhtbERPTWsCMRC9F/ofwhR6q9ktVGU1Slu64rW2oMdhM+4u&#10;biZLJtXYX98chB4f73u5Tm5QZwrSezZQTgpQxI23PbcGvr/qpzkoicgWB89k4EoC69X93RIr6y/8&#10;SeddbFUOYanQQBfjWGktTUcOZeJH4swdfXAYMwyttgEvOdwN+rkoptphz7mhw5HeO2pOux9nINVh&#10;tv2lD5HDvk5Sv5V+U5TGPD6k1wWoSCn+i2/urTXwMstr85l8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lDOMAAAADcAAAADwAAAAAAAAAAAAAAAACYAgAAZHJzL2Rvd25y&#10;ZXYueG1sUEsFBgAAAAAEAAQA9QAAAIUDAAAAAA==&#10;" fillcolor="#cfc">
                  <v:textbox inset="1.44pt,1.44pt,1.44pt,1.44pt">
                    <w:txbxContent>
                      <w:p w:rsidR="00B247C9" w:rsidRPr="008F13E0" w:rsidRDefault="00B247C9" w:rsidP="0071027C">
                        <w:pPr>
                          <w:jc w:val="center"/>
                        </w:pPr>
                        <w:r w:rsidRPr="008F13E0">
                          <w:t>Not breast-fed within past 6 weeks or longer</w:t>
                        </w:r>
                      </w:p>
                    </w:txbxContent>
                  </v:textbox>
                </v:shape>
                <v:roundrect id="AutoShape 175" o:spid="_x0000_s1366" style="position:absolute;left:3398;top:8841;width:1147;height:23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7U8EA&#10;AADcAAAADwAAAGRycy9kb3ducmV2LnhtbESPQYvCMBSE74L/ITxhb5q6sKutRhFB1MuCVe+P5NkW&#10;m5fSZGv992ZhweMwM98wy3Vva9FR6yvHCqaTBASxdqbiQsHlvBvPQfiAbLB2TAqe5GG9Gg6WmBn3&#10;4BN1eShEhLDPUEEZQpNJ6XVJFv3ENcTRu7nWYoiyLaRp8RHhtpafSfItLVYcF0psaFuSvue/VkF3&#10;lVPNP8cZ1SZNaS/vutcXpT5G/WYBIlAf3uH/9sEo+Jql8HcmH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Tu1PBAAAA3AAAAA8AAAAAAAAAAAAAAAAAmAIAAGRycy9kb3du&#10;cmV2LnhtbFBLBQYAAAAABAAEAPUAAACGAwAAAAA=&#10;" fillcolor="#ddd8c2">
                  <v:textbox inset="1.44pt,1.44pt,1.44pt,1.44pt">
                    <w:txbxContent>
                      <w:p w:rsidR="00B247C9" w:rsidRPr="00AB3155" w:rsidRDefault="00B247C9" w:rsidP="0071027C">
                        <w:pPr>
                          <w:jc w:val="center"/>
                          <w:rPr>
                            <w:sz w:val="16"/>
                            <w:szCs w:val="16"/>
                          </w:rPr>
                        </w:pPr>
                        <w:r w:rsidRPr="00AB3155">
                          <w:rPr>
                            <w:sz w:val="16"/>
                            <w:szCs w:val="16"/>
                          </w:rPr>
                          <w:t>Negative child Re-test:</w:t>
                        </w:r>
                      </w:p>
                      <w:p w:rsidR="00B247C9" w:rsidRPr="00AB3155" w:rsidRDefault="00B247C9" w:rsidP="0071027C">
                        <w:pPr>
                          <w:pStyle w:val="BulletLIST"/>
                          <w:rPr>
                            <w:sz w:val="16"/>
                            <w:szCs w:val="16"/>
                          </w:rPr>
                        </w:pPr>
                        <w:r w:rsidRPr="00AB3155">
                          <w:rPr>
                            <w:sz w:val="16"/>
                            <w:szCs w:val="16"/>
                          </w:rPr>
                          <w:t>If symptomatic</w:t>
                        </w:r>
                      </w:p>
                      <w:p w:rsidR="00B247C9" w:rsidRPr="00AB3155" w:rsidRDefault="00B247C9" w:rsidP="0071027C">
                        <w:pPr>
                          <w:pStyle w:val="BulletLIST"/>
                          <w:rPr>
                            <w:sz w:val="16"/>
                            <w:szCs w:val="16"/>
                          </w:rPr>
                        </w:pPr>
                        <w:r w:rsidRPr="00AB3155">
                          <w:rPr>
                            <w:sz w:val="16"/>
                            <w:szCs w:val="16"/>
                          </w:rPr>
                          <w:t xml:space="preserve">At 18 months of age </w:t>
                        </w:r>
                      </w:p>
                    </w:txbxContent>
                  </v:textbox>
                </v:roundrect>
                <v:roundrect id="AutoShape 176" o:spid="_x0000_s1367" style="position:absolute;left:7259;top:5936;width:1019;height:21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W4b0A&#10;AADcAAAADwAAAGRycy9kb3ducmV2LnhtbERPSwrCMBDdC94hjOBGNFVQSjWKCIpLrZ/10IxtsZnU&#10;Jmq9vVkILh/vv1i1phIvalxpWcF4FIEgzqwuOVdwPm2HMQjnkTVWlknBhxyslt3OAhNt33ykV+pz&#10;EULYJaig8L5OpHRZQQbdyNbEgbvZxqAPsMmlbvAdwk0lJ1E0kwZLDg0F1rQpKLunT6NgMDiYG06u&#10;/mF2H5J1O77s04tS/V67noPw1Pq/+OfeawXTOMwPZ8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uDW4b0AAADcAAAADwAAAAAAAAAAAAAAAACYAgAAZHJzL2Rvd25yZXYu&#10;eG1sUEsFBgAAAAAEAAQA9QAAAIIDAAAAAA==&#10;" fillcolor="#c6d9f1">
                  <v:textbox inset="1.44pt,1.44pt,1.44pt,1.44pt">
                    <w:txbxContent>
                      <w:p w:rsidR="00B247C9" w:rsidRPr="00576FCD" w:rsidRDefault="00B247C9" w:rsidP="0071027C">
                        <w:pPr>
                          <w:jc w:val="center"/>
                        </w:pPr>
                        <w:r w:rsidRPr="00576FCD">
                          <w:t>&lt;18 mo</w:t>
                        </w:r>
                        <w:r>
                          <w:t>nths</w:t>
                        </w:r>
                        <w:r w:rsidRPr="00576FCD">
                          <w:t xml:space="preserve">: </w:t>
                        </w:r>
                        <w:r>
                          <w:t>re-test</w:t>
                        </w:r>
                        <w:r w:rsidRPr="00576FCD">
                          <w:t xml:space="preserve"> with PCR</w:t>
                        </w:r>
                      </w:p>
                    </w:txbxContent>
                  </v:textbox>
                </v:roundrect>
                <v:roundrect id="AutoShape 177" o:spid="_x0000_s1368" style="position:absolute;left:6077;top:8841;width:1120;height:23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fhcQA&#10;AADcAAAADwAAAGRycy9kb3ducmV2LnhtbESP0YrCMBRE34X9h3AXfBFNu+Ii1SiLICuCol0/4NJc&#10;29LmpttErX9vBMHHYebMMPNlZ2pxpdaVlhXEowgEcWZ1ybmC0996OAXhPLLG2jIpuJOD5eKjN8dE&#10;2xsf6Zr6XIQSdgkqKLxvEildVpBBN7INcfDOtjXog2xzqVu8hXJTy68o+pYGSw4LBTa0Kiir0otR&#10;MPmt4maS3i//+121HfjtuDxkY6X6n93PDISnzr/DL3qjAzeN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U34XEAAAA3AAAAA8AAAAAAAAAAAAAAAAAmAIAAGRycy9k&#10;b3ducmV2LnhtbFBLBQYAAAAABAAEAPUAAACJAwAAAAA=&#10;" fillcolor="#ddd8c2">
                  <v:textbox inset="0,0,0,0">
                    <w:txbxContent>
                      <w:p w:rsidR="00B247C9" w:rsidRPr="00AB3155" w:rsidRDefault="00B247C9" w:rsidP="0071027C">
                        <w:pPr>
                          <w:spacing w:after="0" w:line="240" w:lineRule="auto"/>
                          <w:rPr>
                            <w:sz w:val="16"/>
                            <w:szCs w:val="16"/>
                          </w:rPr>
                        </w:pPr>
                        <w:r>
                          <w:rPr>
                            <w:sz w:val="16"/>
                            <w:szCs w:val="16"/>
                          </w:rPr>
                          <w:t xml:space="preserve"> </w:t>
                        </w:r>
                        <w:r w:rsidRPr="00AB3155">
                          <w:rPr>
                            <w:sz w:val="16"/>
                            <w:szCs w:val="16"/>
                          </w:rPr>
                          <w:t>Negative chil</w:t>
                        </w:r>
                        <w:r>
                          <w:rPr>
                            <w:sz w:val="16"/>
                            <w:szCs w:val="16"/>
                          </w:rPr>
                          <w:t xml:space="preserve">d </w:t>
                        </w:r>
                        <w:r w:rsidRPr="00AB3155">
                          <w:rPr>
                            <w:sz w:val="16"/>
                            <w:szCs w:val="16"/>
                          </w:rPr>
                          <w:t>Re-test:</w:t>
                        </w:r>
                      </w:p>
                      <w:p w:rsidR="00B247C9" w:rsidRPr="00AB3155" w:rsidRDefault="00B247C9" w:rsidP="0071027C">
                        <w:pPr>
                          <w:pStyle w:val="BulletLIST"/>
                          <w:spacing w:before="0"/>
                          <w:rPr>
                            <w:sz w:val="16"/>
                            <w:szCs w:val="16"/>
                          </w:rPr>
                        </w:pPr>
                        <w:r w:rsidRPr="00AB3155">
                          <w:rPr>
                            <w:sz w:val="16"/>
                            <w:szCs w:val="16"/>
                          </w:rPr>
                          <w:t>If symptomatic</w:t>
                        </w:r>
                      </w:p>
                      <w:p w:rsidR="00B247C9" w:rsidRPr="00AB3155" w:rsidRDefault="00B247C9" w:rsidP="0071027C">
                        <w:pPr>
                          <w:pStyle w:val="BulletLIST"/>
                          <w:spacing w:before="0"/>
                          <w:rPr>
                            <w:sz w:val="16"/>
                            <w:szCs w:val="16"/>
                          </w:rPr>
                        </w:pPr>
                        <w:r w:rsidRPr="00AB3155">
                          <w:rPr>
                            <w:sz w:val="16"/>
                            <w:szCs w:val="16"/>
                          </w:rPr>
                          <w:t xml:space="preserve">At 18 months of age </w:t>
                        </w:r>
                      </w:p>
                    </w:txbxContent>
                  </v:textbox>
                </v:roundrect>
                <v:roundrect id="AutoShape 178" o:spid="_x0000_s1369" style="position:absolute;left:8410;top:5936;width:1370;height:21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wwsYA&#10;AADcAAAADwAAAGRycy9kb3ducmV2LnhtbESPQWvCQBSE7wX/w/KE3upGqyVGVym2Qk7Rpr309sw+&#10;k2D2bchuY/z33YLQ4zAz3zDr7WAa0VPnassKppMIBHFhdc2lgq/P/VMMwnlkjY1lUnAjB9vN6GGN&#10;ibZX/qA+96UIEHYJKqi8bxMpXVGRQTexLXHwzrYz6IPsSqk7vAa4aeQsil6kwZrDQoUt7SoqLvmP&#10;UfC2O55yPPfZ8vD+Tcfl8zzPbqlSj+PhdQXC0+D/w/d2qhUs4hn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NwwsYAAADcAAAADwAAAAAAAAAAAAAAAACYAgAAZHJz&#10;L2Rvd25yZXYueG1sUEsFBgAAAAAEAAQA9QAAAIsDAAAAAA==&#10;" fillcolor="#c6d9f1">
                  <v:textbox inset="0,1.44pt,0,1.44pt">
                    <w:txbxContent>
                      <w:p w:rsidR="00B247C9" w:rsidRPr="00576FCD" w:rsidRDefault="00B247C9" w:rsidP="0071027C">
                        <w:pPr>
                          <w:jc w:val="center"/>
                        </w:pPr>
                        <w:r w:rsidRPr="00576FCD">
                          <w:t>≥18 mo</w:t>
                        </w:r>
                        <w:r>
                          <w:t>nths</w:t>
                        </w:r>
                        <w:r w:rsidRPr="00576FCD">
                          <w:t xml:space="preserve">: confirmatory </w:t>
                        </w:r>
                        <w:r w:rsidRPr="00A17A72">
                          <w:t>Ab test</w:t>
                        </w:r>
                      </w:p>
                    </w:txbxContent>
                  </v:textbox>
                </v:roundrect>
                <v:shape id="AutoShape 179" o:spid="_x0000_s1370" type="#_x0000_t176" style="position:absolute;left:7399;top:8841;width:2054;height:2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dWzsUA&#10;AADcAAAADwAAAGRycy9kb3ducmV2LnhtbESP0UoDMRRE3wX/IVzBN5ttRSlr09IWKyLtQ1s/4JLc&#10;bkI3N0sSu6tfbwShj8PMnGFmi8G34kIxucAKxqMKBLEOxnGj4PO4eZiCSBnZYBuYFHxTgsX89maG&#10;tQk97+lyyI0oEE41KrA5d7WUSVvymEahIy7eKUSPucjYSBOxL3DfyklVPUuPjsuCxY7WlvT58OUV&#10;7K1rd2/6PLF6u4ofr9uN++nHSt3fDcsXEJmGfA3/t9+NgqfpI/ydK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1bOxQAAANwAAAAPAAAAAAAAAAAAAAAAAJgCAABkcnMv&#10;ZG93bnJldi54bWxQSwUGAAAAAAQABAD1AAAAigMAAAAA&#10;" fillcolor="#d99594">
                  <v:textbox inset="1.44pt,1.44pt,1.44pt,1.44pt">
                    <w:txbxContent>
                      <w:p w:rsidR="00B247C9" w:rsidRPr="00576FCD" w:rsidRDefault="00B247C9" w:rsidP="0071027C">
                        <w:pPr>
                          <w:jc w:val="center"/>
                        </w:pPr>
                        <w:r w:rsidRPr="00576FCD">
                          <w:t>: start ART.</w:t>
                        </w:r>
                      </w:p>
                    </w:txbxContent>
                  </v:textbox>
                </v:shape>
                <v:roundrect id="AutoShape 180" o:spid="_x0000_s1371" style="position:absolute;left:4676;top:8841;width:1279;height:23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V8MIA&#10;AADcAAAADwAAAGRycy9kb3ducmV2LnhtbESPX2vCMBTF3wd+h3AF32bq0KHVKCJMBnuyCuLbpbk2&#10;xeYmNLHWb78MhD0ezp8fZ7XpbSM6akPtWMFknIEgLp2uuVJwOn69z0GEiKyxcUwKnhRgsx68rTDX&#10;7sEH6opYiTTCIUcFJkafSxlKQxbD2Hni5F1dazEm2VZSt/hI47aRH1n2KS3WnAgGPe0MlbfibhPk&#10;/DOJ18LLvfHP6WJGvrh3F6VGw367BBGpj//hV/tbK5jNp/B3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JXwwgAAANwAAAAPAAAAAAAAAAAAAAAAAJgCAABkcnMvZG93&#10;bnJldi54bWxQSwUGAAAAAAQABAD1AAAAhwMAAAAA&#10;" fillcolor="#c6d9f1">
                  <v:textbox inset=".72pt,.72pt,.72pt,.72pt">
                    <w:txbxContent>
                      <w:p w:rsidR="00B247C9" w:rsidRPr="00AB3155" w:rsidRDefault="00B247C9" w:rsidP="0071027C">
                        <w:pPr>
                          <w:spacing w:after="0" w:line="240" w:lineRule="auto"/>
                          <w:jc w:val="center"/>
                          <w:rPr>
                            <w:sz w:val="16"/>
                            <w:szCs w:val="16"/>
                          </w:rPr>
                        </w:pPr>
                        <w:r w:rsidRPr="00AB3155">
                          <w:rPr>
                            <w:sz w:val="16"/>
                            <w:szCs w:val="16"/>
                          </w:rPr>
                          <w:t>Re-test:</w:t>
                        </w:r>
                      </w:p>
                      <w:p w:rsidR="00B247C9" w:rsidRPr="00AB3155" w:rsidRDefault="00B247C9" w:rsidP="0071027C">
                        <w:pPr>
                          <w:pStyle w:val="BulletLIST"/>
                          <w:spacing w:before="0"/>
                          <w:rPr>
                            <w:sz w:val="16"/>
                            <w:szCs w:val="16"/>
                          </w:rPr>
                        </w:pPr>
                        <w:r w:rsidRPr="00AB3155">
                          <w:rPr>
                            <w:sz w:val="16"/>
                            <w:szCs w:val="16"/>
                          </w:rPr>
                          <w:t>If symptomatic</w:t>
                        </w:r>
                      </w:p>
                      <w:p w:rsidR="00B247C9" w:rsidRPr="00AB3155" w:rsidRDefault="00B247C9" w:rsidP="0071027C">
                        <w:pPr>
                          <w:pStyle w:val="BulletLIST"/>
                          <w:spacing w:before="0"/>
                        </w:pPr>
                        <w:r w:rsidRPr="00AB3155">
                          <w:rPr>
                            <w:sz w:val="16"/>
                            <w:szCs w:val="16"/>
                          </w:rPr>
                          <w:t xml:space="preserve">6 weeks or more after cessation of BF </w:t>
                        </w:r>
                      </w:p>
                      <w:p w:rsidR="00B247C9" w:rsidRPr="002F0FA9" w:rsidRDefault="00B247C9" w:rsidP="0071027C">
                        <w:pPr>
                          <w:pStyle w:val="BulletLIST"/>
                          <w:spacing w:before="0"/>
                        </w:pPr>
                        <w:r w:rsidRPr="00AB3155">
                          <w:rPr>
                            <w:sz w:val="16"/>
                            <w:szCs w:val="16"/>
                          </w:rPr>
                          <w:t>At 18 months of age</w:t>
                        </w:r>
                      </w:p>
                    </w:txbxContent>
                  </v:textbox>
                </v:roundrect>
                <v:line id="Line 181" o:spid="_x0000_s1372" style="position:absolute;visibility:visible;mso-wrap-style:square" from="5753,5408" to="5755,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ckcUAAADcAAAADwAAAGRycy9kb3ducmV2LnhtbESPT2sCMRTE7wW/Q3iCt5q1YNWtUaSL&#10;4KEW/EPPr5vXzeLmZdnENf32jVDwOMzMb5jlOtpG9NT52rGCyTgDQVw6XXOl4HzaPs9B+ICssXFM&#10;Cn7Jw3o1eFpirt2ND9QfQyUShH2OCkwIbS6lLw1Z9GPXEifvx3UWQ5JdJXWHtwS3jXzJsldpsea0&#10;YLCld0Pl5Xi1CmamOMiZLD5On0VfTxZxH7++F0qNhnHzBiJQDI/wf3unFUznU7if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rckcUAAADcAAAADwAAAAAAAAAA&#10;AAAAAAChAgAAZHJzL2Rvd25yZXYueG1sUEsFBgAAAAAEAAQA+QAAAJMDAAAAAA==&#10;">
                  <v:stroke endarrow="block"/>
                </v:line>
                <v:line id="Line 182" o:spid="_x0000_s1373" style="position:absolute;visibility:visible;mso-wrap-style:square" from="5231,5408" to="5232,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C5sUAAADcAAAADwAAAGRycy9kb3ducmV2LnhtbESPT2sCMRTE70K/Q3gFb5q14L+tUUoX&#10;wYMV1NLz6+Z1s3TzsmziGr+9KQg9DjPzG2a1ibYRPXW+dqxgMs5AEJdO11wp+DxvRwsQPiBrbByT&#10;ght52KyfBivMtbvykfpTqESCsM9RgQmhzaX0pSGLfuxa4uT9uM5iSLKrpO7wmuC2kS9ZNpMWa04L&#10;Blt6N1T+ni5WwdwURzmXxf58KPp6sowf8et7qdTwOb69gggUw3/40d5pBdPFDP7O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hC5sUAAADcAAAADwAAAAAAAAAA&#10;AAAAAAChAgAAZHJzL2Rvd25yZXYueG1sUEsFBgAAAAAEAAQA+QAAAJMDAAAAAA==&#10;">
                  <v:stroke endarrow="block"/>
                </v:line>
                <v:line id="Line 183" o:spid="_x0000_s1374" style="position:absolute;visibility:visible;mso-wrap-style:square" from="4196,5408" to="4198,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TnfcUAAADcAAAADwAAAGRycy9kb3ducmV2LnhtbESPzWrDMBCE74W8g9hAb42cQuvEiRJC&#10;TKGHtpAfct5YG8vEWhlLddS3rwqFHIeZ+YZZrqNtxUC9bxwrmE4yEMSV0w3XCo6Ht6cZCB+QNbaO&#10;ScEPeVivRg9LLLS78Y6GfahFgrAvUIEJoSuk9JUhi37iOuLkXVxvMSTZ11L3eEtw28rnLHuVFhtO&#10;CwY72hqqrvtvqyA35U7msvw4fJVDM53Hz3g6z5V6HMfNAkSgGO7h//a7VvAyy+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TnfcUAAADcAAAADwAAAAAAAAAA&#10;AAAAAAChAgAAZHJzL2Rvd25yZXYueG1sUEsFBgAAAAAEAAQA+QAAAJMDAAAAAA==&#10;">
                  <v:stroke endarrow="block"/>
                </v:line>
                <v:line id="Line 184" o:spid="_x0000_s1375" style="position:absolute;visibility:visible;mso-wrap-style:square" from="5352,8029" to="5352,8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zD8EAAADcAAAADwAAAGRycy9kb3ducmV2LnhtbERPy2oCMRTdC/5DuEJ3mlHwNRqldBC6&#10;qAW1dH2d3E6GTm6GSRzTvzcLocvDeW/30Taip87XjhVMJxkI4tLpmisFX5fDeAXCB2SNjWNS8Ece&#10;9rvhYIu5dnc+UX8OlUgh7HNUYEJocyl9aciin7iWOHE/rrMYEuwqqTu8p3DbyFmWLaTFmlODwZbe&#10;DJW/55tVsDTFSS5l8XH5LPp6uo7H+H1dK/Uyiq8bEIFi+Bc/3e9awXyV1qYz6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63MPwQAAANwAAAAPAAAAAAAAAAAAAAAA&#10;AKECAABkcnMvZG93bnJldi54bWxQSwUGAAAAAAQABAD5AAAAjwMAAAAA&#10;">
                  <v:stroke endarrow="block"/>
                </v:line>
                <v:line id="Line 185" o:spid="_x0000_s1376" style="position:absolute;visibility:visible;mso-wrap-style:square" from="6589,8029" to="6589,8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WlMUAAADcAAAADwAAAGRycy9kb3ducmV2LnhtbESPzWrDMBCE74W8g9hAb42cQpvYiRJC&#10;TKGHtpAfct5YG8vEWhlLddS3rwqFHIeZ+YZZrqNtxUC9bxwrmE4yEMSV0w3XCo6Ht6c5CB+QNbaO&#10;ScEPeVivRg9LLLS78Y6GfahFgrAvUIEJoSuk9JUhi37iOuLkXVxvMSTZ11L3eEtw28rnLHuVFhtO&#10;CwY72hqqrvtvq2Bmyp2cyfLj8FUOzTSPn/F0zpV6HMfNAkSgGO7h//a7VvAyz+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fWlMUAAADcAAAADwAAAAAAAAAA&#10;AAAAAAChAgAAZHJzL2Rvd25yZXYueG1sUEsFBgAAAAAEAAQA+QAAAJMDAAAAAA==&#10;">
                  <v:stroke endarrow="block"/>
                </v:line>
                <v:line id="Line 186" o:spid="_x0000_s1377" style="position:absolute;visibility:visible;mso-wrap-style:square" from="8926,8043" to="8928,8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Tp1MIAAADcAAAADwAAAGRycy9kb3ducmV2LnhtbERPW2vCMBR+H+w/hDPY20wVpr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Tp1MIAAADcAAAADwAAAAAAAAAAAAAA&#10;AAChAgAAZHJzL2Rvd25yZXYueG1sUEsFBgAAAAAEAAQA+QAAAJADAAAAAA==&#10;">
                  <v:stroke endarrow="block"/>
                </v:line>
                <v:shape id="AutoShape 187" o:spid="_x0000_s1378" type="#_x0000_t32" style="position:absolute;left:1515;top:4059;width:14;height:73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f50sQAAADcAAAADwAAAGRycy9kb3ducmV2LnhtbESPwWrDMBBE74X8g9hAb7XsQErqRjFN&#10;oBB6CU0KyXGxtraotTKWajl/HxUKOQ4z84ZZV5PtxEiDN44VFFkOgrh22nCj4Ov0/rQC4QOyxs4x&#10;KbiSh2oze1hjqV3kTxqPoREJwr5EBW0IfSmlr1uy6DPXEyfv2w0WQ5JDI/WAMcFtJxd5/iwtGk4L&#10;Lfa0a6n+Of5aBSYezNjvd3H7cb54Hclcl84o9Tif3l5BBJrCPfzf3msFy5cC/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Z/nSxAAAANwAAAAPAAAAAAAAAAAA&#10;AAAAAKECAABkcnMvZG93bnJldi54bWxQSwUGAAAAAAQABAD5AAAAkgMAAAAA&#10;">
                  <v:stroke endarrow="block"/>
                </v:shape>
                <v:shape id="AutoShape 188" o:spid="_x0000_s1379" type="#_x0000_t32" style="position:absolute;left:1515;top:11431;width:837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IA2sUAAADcAAAADwAAAGRycy9kb3ducmV2LnhtbESPwWrDMBBE74H+g9hCLyGRHWhIXMsh&#10;FAolh0ITH3JcpI1taq0cSXXcv68KhRyHmXnDlLvJ9mIkHzrHCvJlBoJYO9Nxo6A+vS02IEJENtg7&#10;JgU/FGBXPcxKLIy78SeNx9iIBOFQoII2xqGQMuiWLIalG4iTd3HeYkzSN9J4vCW47eUqy9bSYsdp&#10;ocWBXlvSX8dvq6A71B/1OL9GrzeH/OzzcDr3Wqmnx2n/AiLSFO/h//a7UfC8XcH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IA2sUAAADcAAAADwAAAAAAAAAA&#10;AAAAAAChAgAAZHJzL2Rvd25yZXYueG1sUEsFBgAAAAAEAAQA+QAAAJMDAAAAAA==&#10;"/>
                <v:shape id="AutoShape 189" o:spid="_x0000_s1380" type="#_x0000_t32" style="position:absolute;left:9885;top:4053;width:0;height:73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CPsQAAADcAAAADwAAAGRycy9kb3ducmV2LnhtbESPQWvCQBSE7wX/w/KE3urGFovGbMQK&#10;BemlVAU9PrLPZDH7NmS32fjvu4VCj8PMfMMUm9G2YqDeG8cK5rMMBHHltOFawen4/rQE4QOyxtYx&#10;KbiTh005eSgw1y7yFw2HUIsEYZ+jgiaELpfSVw1Z9DPXESfv6nqLIcm+lrrHmOC2lc9Z9iotGk4L&#10;DXa0a6i6Hb6tAhM/zdDtd/Ht43zxOpK5L5xR6nE6btcgAo3hP/zX3msFi9U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I+xAAAANwAAAAPAAAAAAAAAAAA&#10;AAAAAKECAABkcnMvZG93bnJldi54bWxQSwUGAAAAAAQABAD5AAAAkgMAAAAA&#10;">
                  <v:stroke endarrow="block"/>
                </v:shape>
                <v:shape id="AutoShape 190" o:spid="_x0000_s1381" type="#_x0000_t32" style="position:absolute;left:7517;top:4351;width:0;height:15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9NcUAAADcAAAADwAAAGRycy9kb3ducmV2LnhtbESPQWvCQBSE70L/w/IEL6KbSCuaukop&#10;FMRDoTEHj4/d1ySYfZvubmP8991CocdhZr5hdofRdmIgH1rHCvJlBoJYO9NyraA6vy02IEJENtg5&#10;JgV3CnDYP0x2WBh34w8ayliLBOFQoIImxr6QMuiGLIal64mT9+m8xZikr6XxeEtw28lVlq2lxZbT&#10;QoM9vTakr+W3VdCeqvdqmH9Frzen/OLzcL50WqnZdHx5BhFpjP/hv/bRKHjaP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c9NcUAAADcAAAADwAAAAAAAAAA&#10;AAAAAAChAgAAZHJzL2Rvd25yZXYueG1sUEsFBgAAAAAEAAQA+QAAAJMDAAAAAA==&#10;"/>
                <v:shape id="AutoShape 191" o:spid="_x0000_s1382" type="#_x0000_t32" style="position:absolute;left:4961;top:4351;width:255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uYrsUAAADcAAAADwAAAGRycy9kb3ducmV2LnhtbESPQWsCMRSE7wX/Q3hCL6Vmt6DoahQp&#10;FIoHoboHj4/kdXdx87Im6br+eyMUPA4z8w2z2gy2FT350DhWkE8yEMTamYYrBeXx630OIkRkg61j&#10;UnCjAJv16GWFhXFX/qH+ECuRIBwKVFDH2BVSBl2TxTBxHXHyfp23GJP0lTQerwluW/mRZTNpseG0&#10;UGNHnzXp8+HPKmh25b7s3y7R6/kuP/k8HE+tVup1PGyXICIN8Rn+b38bBdPF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uYrsUAAADcAAAADwAAAAAAAAAA&#10;AAAAAAChAgAAZHJzL2Rvd25yZXYueG1sUEsFBgAAAAAEAAQA+QAAAJMDAAAAAA==&#10;"/>
                <v:shape id="AutoShape 192" o:spid="_x0000_s1383" type="#_x0000_t32" style="position:absolute;left:4959;top:4055;width:2;height:2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5hpsQAAADcAAAADwAAAGRycy9kb3ducmV2LnhtbESPwWrDMBBE74H+g9hCbrHcQkLqRjGt&#10;IRB6CUkK7XGxtraotTKWajl/XwUCOQ4z84bZlJPtxEiDN44VPGU5COLaacONgs/zbrEG4QOyxs4x&#10;KbiQh3L7MNtgoV3kI42n0IgEYV+ggjaEvpDS1y1Z9JnriZP34waLIcmhkXrAmOC2k895vpIWDaeF&#10;FnuqWqp/T39WgYkHM/b7Kr5/fH17Hclcls4oNX+c3l5BBJrCPXxr77WC5csK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jmGmxAAAANwAAAAPAAAAAAAAAAAA&#10;AAAAAKECAABkcnMvZG93bnJldi54bWxQSwUGAAAAAAQABAD5AAAAkgMAAAAA&#10;">
                  <v:stroke endarrow="block"/>
                </v:shape>
                <v:line id="Line 193" o:spid="_x0000_s1384" style="position:absolute;visibility:visible;mso-wrap-style:square" from="4675,4053" to="4676,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1xoMUAAADcAAAADwAAAGRycy9kb3ducmV2LnhtbESPQWvCQBSE74X+h+UVeqsbC5omukpp&#10;EHrQglp6fmZfs6HZtyG7jeu/d4VCj8PMfMMs19F2YqTBt44VTCcZCOLa6ZYbBZ/HzdMLCB+QNXaO&#10;ScGFPKxX93dLLLU7857GQ2hEgrAvUYEJoS+l9LUhi37ieuLkfbvBYkhyaKQe8JzgtpPPWTaXFltO&#10;CwZ7ejNU/xx+rYLcVHuZy2p7/KjGdlrEXfw6FUo9PsTXBYhAMfyH/9rvWsGs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1xoMUAAADcAAAADwAAAAAAAAAA&#10;AAAAAAChAgAAZHJzL2Rvd25yZXYueG1sUEsFBgAAAAAEAAQA+QAAAJMDAAAAAA==&#10;">
                  <v:stroke endarrow="block"/>
                </v:line>
                <v:line id="Line 194" o:spid="_x0000_s1385" style="position:absolute;visibility:visible;mso-wrap-style:square" from="2565,4059" to="2565,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Ll0sIAAADcAAAADwAAAGRycy9kb3ducmV2LnhtbERPW2vCMBR+H+w/hDPY20wVprYaRSyD&#10;PWwDL/h8bI5NsTkpTazZvzcPgz1+fPflOtpWDNT7xrGC8SgDQVw53XCt4Hj4eJuD8AFZY+uYFPyS&#10;h/Xq+WmJhXZ33tGwD7VIIewLVGBC6AopfWXIoh+5jjhxF9dbDAn2tdQ93lO4beUky6bSYsOpwWBH&#10;W0PVdX+zCmam3MmZLL8OP+XQjPP4HU/nXKnXl7hZgAgUw7/4z/2pFbzn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Ll0sIAAADcAAAADwAAAAAAAAAAAAAA&#10;AAChAgAAZHJzL2Rvd25yZXYueG1sUEsFBgAAAAAEAAQA+QAAAJADAAAAAA==&#10;">
                  <v:stroke endarrow="block"/>
                </v:line>
                <v:line id="Line 195" o:spid="_x0000_s1386" style="position:absolute;visibility:visible;mso-wrap-style:square" from="8072,5388" to="8074,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5AScUAAADcAAAADwAAAGRycy9kb3ducmV2LnhtbESPzWrDMBCE74W8g9hAb42cQprYiRJK&#10;TaCHppAfct5YW8vUWhlLddS3rwKFHIeZ+YZZbaJtxUC9bxwrmE4yEMSV0w3XCk7H7dMChA/IGlvH&#10;pOCXPGzWo4cVFtpdeU/DIdQiQdgXqMCE0BVS+sqQRT9xHXHyvlxvMSTZ11L3eE1w28rnLHuRFhtO&#10;CwY7ejNUfR9+rIK5KfdyLsuP42c5NNM87uL5kiv1OI6vSxCBYriH/9vvWsEsz+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5AScUAAADcAAAADwAAAAAAAAAA&#10;AAAAAAChAgAAZHJzL2Rvd25yZXYueG1sUEsFBgAAAAAEAAQA+QAAAJMDAAAAAA==&#10;">
                  <v:stroke endarrow="block"/>
                </v:line>
                <v:line id="Line 196" o:spid="_x0000_s1387" style="position:absolute;visibility:visible;mso-wrap-style:square" from="8750,4053" to="8752,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dL8EAAADcAAAADwAAAGRycy9kb3ducmV2LnhtbERPy4rCMBTdD/gP4QruxlQXOlajiGXA&#10;xYzgA9fX5toUm5vSZGrm7ycLYZaH815tom1ET52vHSuYjDMQxKXTNVcKLufP9w8QPiBrbByTgl/y&#10;sFkP3laYa/fkI/WnUIkUwj5HBSaENpfSl4Ys+rFriRN3d53FkGBXSd3hM4XbRk6zbCYt1pwaDLa0&#10;M1Q+Tj9WwdwURzmXxdf5UPT1ZBG/4/W2UGo0jNsliEAx/Itf7r1WMMvS/H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ax0vwQAAANwAAAAPAAAAAAAAAAAAAAAA&#10;AKECAABkcnMvZG93bnJldi54bWxQSwUGAAAAAAQABAD5AAAAjwMAAAAA&#10;">
                  <v:stroke endarrow="block"/>
                </v:line>
                <v:line id="Line 197" o:spid="_x0000_s1388" style="position:absolute;visibility:visible;mso-wrap-style:square" from="9184,5388" to="9185,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e4tMQAAADcAAAADwAAAGRycy9kb3ducmV2LnhtbESPQWsCMRSE7wX/Q3iCt5pdD1q3RhEX&#10;wYMtqKXn183rZunmZdnENf57Uyj0OMzMN8xqE20rBup941hBPs1AEFdON1wr+Ljsn19A+ICssXVM&#10;Cu7kYbMePa2w0O7GJxrOoRYJwr5ABSaErpDSV4Ys+qnriJP37XqLIcm+lrrHW4LbVs6ybC4tNpwW&#10;DHa0M1T9nK9WwcKUJ7mQ5fHyXg5Nvoxv8fNrqdRkHLevIALF8B/+ax+0gnmWw++Zd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7i0xAAAANwAAAAPAAAAAAAAAAAA&#10;AAAAAKECAABkcnMvZG93bnJldi54bWxQSwUGAAAAAAQABAD5AAAAkgMAAAAA&#10;">
                  <v:stroke endarrow="block"/>
                </v:line>
                <v:shape id="AutoShape 198" o:spid="_x0000_s1389" type="#_x0000_t176" style="position:absolute;left:1641;top:3294;width:3729;height: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nD8QA&#10;AADcAAAADwAAAGRycy9kb3ducmV2LnhtbESPzWrDMBCE74G8g9hALqGRm5IQ3MgmKYSmt/w9wGJt&#10;bVNrZST5p336qlDIcZidb3Z2+Wga0ZPztWUFz8sEBHFhdc2lgvvt+LQF4QOyxsYyKfgmD3k2neww&#10;1XbgC/XXUIoIYZ+igiqENpXSFxUZ9EvbEkfv0zqDIUpXSu1wiHDTyFWSbKTBmmNDhS29VVR8XTsT&#10;3+ixO61fPuT5Z+gO69rxdvHOSs1n4/4VRKAxPI7/0yetYJOs4G9MJI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55w/EAAAA3AAAAA8AAAAAAAAAAAAAAAAAmAIAAGRycy9k&#10;b3ducmV2LnhtbFBLBQYAAAAABAAEAPUAAACJAwAAAAA=&#10;" fillcolor="#cff">
                  <v:textbox inset="1.44pt,1.44pt,1.44pt,1.44pt">
                    <w:txbxContent>
                      <w:p w:rsidR="00B247C9" w:rsidRPr="00AB3155" w:rsidRDefault="00B247C9" w:rsidP="0071027C">
                        <w:pPr>
                          <w:jc w:val="center"/>
                          <w:rPr>
                            <w:sz w:val="16"/>
                            <w:szCs w:val="16"/>
                          </w:rPr>
                        </w:pPr>
                        <w:r w:rsidRPr="00AB3155">
                          <w:rPr>
                            <w:sz w:val="16"/>
                            <w:szCs w:val="16"/>
                          </w:rPr>
                          <w:t>Age &lt;9 months: virological testing (DNA-PCR)</w:t>
                        </w:r>
                      </w:p>
                    </w:txbxContent>
                  </v:textbox>
                </v:shape>
                <v:shape id="AutoShape 199" o:spid="_x0000_s1390" type="#_x0000_t176" style="position:absolute;left:3504;top:5936;width:1101;height:2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7DSMIA&#10;AADcAAAADwAAAGRycy9kb3ducmV2LnhtbESPQUsDMRSE74L/ITzBm01WoZa1abHFlV5tC3p8bJ67&#10;i5uXJS+20V9vBMHjMDPfMMt19qM6UZQhsIVqZkARt8EN3Fk4HpqbBShJyA7HwGThiwTWq8uLJdYu&#10;nPmFTvvUqQJhqdFCn9JUay1tTx5lFibi4r2H6DEVGTvtIp4L3I/61pi59jhwWehxom1P7cf+01vI&#10;TbzffdOTyNtrk6XZVOHZVNZeX+XHB1CJcvoP/7V3zsLc3MHvmXIE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sNIwgAAANwAAAAPAAAAAAAAAAAAAAAAAJgCAABkcnMvZG93&#10;bnJldi54bWxQSwUGAAAAAAQABAD1AAAAhwMAAAAA&#10;" fillcolor="#cfc">
                  <v:textbox inset="1.44pt,1.44pt,1.44pt,1.44pt">
                    <w:txbxContent>
                      <w:p w:rsidR="00B247C9" w:rsidRPr="008F13E0" w:rsidRDefault="00B247C9" w:rsidP="0071027C">
                        <w:pPr>
                          <w:jc w:val="center"/>
                        </w:pPr>
                        <w:r w:rsidRPr="008F13E0">
                          <w:t>Not breast-fed within past 6 weeks or longer</w:t>
                        </w:r>
                      </w:p>
                    </w:txbxContent>
                  </v:textbox>
                </v:shape>
                <v:shape id="AutoShape 200" o:spid="_x0000_s1391" type="#_x0000_t176" style="position:absolute;left:1835;top:5936;width:1460;height:2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PsMEA&#10;AADcAAAADwAAAGRycy9kb3ducmV2LnhtbESPQYvCMBSE74L/ITzBm6YrpUg1igiKFxGr6PVt87Yt&#10;27yUJmr990YQPA4z8w0zX3amFndqXWVZwc84AkGcW11xoeB82oymIJxH1lhbJgVPcrBc9HtzTLV9&#10;8JHumS9EgLBLUUHpfZNK6fKSDLqxbYiD92dbgz7ItpC6xUeAm1pOoiiRBisOCyU2tC4p/89uRsHW&#10;rveE11V8OsTXQl66JPs9JEoNB91qBsJT57/hT3unFSRRDO8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yj7DBAAAA3AAAAA8AAAAAAAAAAAAAAAAAmAIAAGRycy9kb3du&#10;cmV2LnhtbFBLBQYAAAAABAAEAPUAAACGAwAAAAA=&#10;" fillcolor="#d99594">
                  <v:textbox inset=",6.48pt,,6.48pt">
                    <w:txbxContent>
                      <w:p w:rsidR="00B247C9" w:rsidRPr="00576FCD" w:rsidRDefault="00B247C9" w:rsidP="0071027C">
                        <w:pPr>
                          <w:jc w:val="center"/>
                        </w:pPr>
                        <w:r w:rsidRPr="00576FCD">
                          <w:t>Start ART</w:t>
                        </w:r>
                      </w:p>
                    </w:txbxContent>
                  </v:textbox>
                </v:shape>
                <v:line id="Line 201" o:spid="_x0000_s1392" style="position:absolute;visibility:visible;mso-wrap-style:square" from="2565,5408" to="2566,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t8UAAADcAAAADwAAAGRycy9kb3ducmV2LnhtbESPS2vDMBCE74X8B7GB3Bo5hbzcKCHU&#10;FHJoCnnQ89baWibWyliqo/z7KlDIcZiZb5jVJtpG9NT52rGCyTgDQVw6XXOl4Hx6f16A8AFZY+OY&#10;FNzIw2Y9eFphrt2VD9QfQyUShH2OCkwIbS6lLw1Z9GPXEifvx3UWQ5JdJXWH1wS3jXzJspm0WHNa&#10;MNjSm6Hycvy1CuamOMi5LD5On0VfT5ZxH7++l0qNhnH7CiJQDI/wf3unFcyyK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y+t8UAAADcAAAADwAAAAAAAAAA&#10;AAAAAAChAgAAZHJzL2Rvd25yZXYueG1sUEsFBgAAAAAEAAQA+QAAAJMDAAAAAA==&#10;">
                  <v:stroke endarrow="block"/>
                </v:line>
                <v:line id="Line 202" o:spid="_x0000_s1393" style="position:absolute;visibility:visible;mso-wrap-style:square" from="6587,5408" to="6589,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4gwMUAAADcAAAADwAAAGRycy9kb3ducmV2LnhtbESPQWvCQBSE74L/YXlCb7qxh6ipq4ih&#10;0EMrGEvPr9nXbGj2bchu4/bfdwuCx2FmvmG2+2g7MdLgW8cKlosMBHHtdMuNgvfL83wNwgdkjZ1j&#10;UvBLHva76WSLhXZXPtNYhUYkCPsCFZgQ+kJKXxuy6BeuJ07elxsshiSHRuoBrwluO/mYZbm02HJa&#10;MNjT0VD9Xf1YBStTnuVKlq+XUzm2y018ix+fG6UeZvHwBCJQDPfwrf2iFeRZDv9n0h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4gwMUAAADcAAAADwAAAAAAAAAA&#10;AAAAAAChAgAAZHJzL2Rvd25yZXYueG1sUEsFBgAAAAAEAAQA+QAAAJMDAAAAAA==&#10;">
                  <v:stroke endarrow="block"/>
                </v:line>
                <v:line id="Line 203" o:spid="_x0000_s1394" style="position:absolute;visibility:visible;mso-wrap-style:square" from="6533,4055" to="6534,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FW8UAAADcAAAADwAAAGRycy9kb3ducmV2LnhtbESPQWvCQBSE74L/YXlCb7qxB6Opq4ih&#10;0ENbMIrn1+xrNjT7NmS3cfvvu4WCx2FmvmG2+2g7MdLgW8cKlosMBHHtdMuNgsv5eb4G4QOyxs4x&#10;KfghD/vddLLFQrsbn2isQiMShH2BCkwIfSGlrw1Z9AvXEyfv0w0WQ5JDI/WAtwS3nXzMspW02HJa&#10;MNjT0VD9VX1bBbkpTzKX5ev5vRzb5Sa+xevHRqmHWTw8gQgUwz38337RClZZDn9n0hG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KFW8UAAADcAAAADwAAAAAAAAAA&#10;AAAAAAChAgAAZHJzL2Rvd25yZXYueG1sUEsFBgAAAAAEAAQA+QAAAJMDAAAAAA==&#10;">
                  <v:stroke endarrow="block"/>
                </v:line>
                <v:line id="Line 204" o:spid="_x0000_s1395" style="position:absolute;visibility:visible;mso-wrap-style:square" from="4073,8029" to="4073,8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v:line id="Line 205" o:spid="_x0000_s1396" style="position:absolute;visibility:visible;mso-wrap-style:square" from="3753,2543" to="375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N8cUAAADcAAAADwAAAGRycy9kb3ducmV2LnhtbESPQWsCMRSE74X+h/AK3mp2i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mN8cUAAADcAAAADwAAAAAAAAAA&#10;AAAAAAChAgAAZHJzL2Rvd25yZXYueG1sUEsFBgAAAAAEAAQA+QAAAJMDAAAAAA==&#10;">
                  <v:stroke endarrow="block"/>
                </v:line>
                <v:shape id="AutoShape 206" o:spid="_x0000_s1397" type="#_x0000_t176" style="position:absolute;left:1724;top:1728;width:8004;height: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SucMA&#10;AADcAAAADwAAAGRycy9kb3ducmV2LnhtbESPQWsCMRSE7wX/Q3hCbzWroNStUarQ4sGDjf6Ax+a5&#10;WUxelk2q2/56Iwgeh5n5hlmseu/EhbrYBFYwHhUgiKtgGq4VHA9fb+8gYkI26AKTgj+KsFoOXhZY&#10;mnDlH7roVIsM4ViiAptSW0oZK0se4yi0xNk7hc5jyrKrpenwmuHeyUlRzKTHhvOCxZY2lqqz/vUK&#10;op7vT9M17s680+6/ss3622mlXof95weIRH16hh/trVEwG0/hfiYf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oSucMAAADcAAAADwAAAAAAAAAAAAAAAACYAgAAZHJzL2Rv&#10;d25yZXYueG1sUEsFBgAAAAAEAAQA9QAAAIgDAAAAAA==&#10;" fillcolor="#ff9">
                  <v:textbox inset="1.44pt,1.44pt,1.44pt,1.44pt">
                    <w:txbxContent>
                      <w:p w:rsidR="00B247C9" w:rsidRPr="00AC6021" w:rsidRDefault="00B247C9" w:rsidP="0071027C">
                        <w:pPr>
                          <w:jc w:val="center"/>
                          <w:rPr>
                            <w:sz w:val="24"/>
                            <w:szCs w:val="24"/>
                          </w:rPr>
                        </w:pPr>
                        <w:r w:rsidRPr="00AC6021">
                          <w:rPr>
                            <w:sz w:val="24"/>
                            <w:szCs w:val="24"/>
                          </w:rPr>
                          <w:t>Child presents at clinic</w:t>
                        </w:r>
                      </w:p>
                    </w:txbxContent>
                  </v:textbox>
                </v:shape>
                <w10:anchorlock/>
              </v:group>
            </w:pict>
          </mc:Fallback>
        </mc:AlternateContent>
      </w:r>
    </w:p>
    <w:p w:rsidR="0071027C" w:rsidRPr="00C203F3" w:rsidRDefault="0071027C" w:rsidP="00AA771C">
      <w:pPr>
        <w:pStyle w:val="ListParagraph"/>
        <w:spacing w:beforeLines="120" w:before="288" w:afterLines="120" w:after="288" w:line="288" w:lineRule="auto"/>
        <w:ind w:left="0"/>
        <w:jc w:val="both"/>
        <w:rPr>
          <w:rFonts w:ascii="Arial Narrow" w:hAnsi="Arial Narrow"/>
          <w:b/>
          <w:u w:val="single"/>
        </w:rPr>
      </w:pPr>
    </w:p>
    <w:p w:rsidR="0071027C" w:rsidRPr="00EE505A" w:rsidRDefault="0071027C" w:rsidP="0071027C">
      <w:pPr>
        <w:pStyle w:val="Heading3"/>
      </w:pPr>
      <w:bookmarkStart w:id="413" w:name="_Toc373768030"/>
      <w:bookmarkStart w:id="414" w:name="_Toc378258170"/>
      <w:bookmarkStart w:id="415" w:name="_Toc382214033"/>
      <w:r w:rsidRPr="00EE505A">
        <w:t>7.2.2 Diagnosis of HIV infection in children where the mother is not available</w:t>
      </w:r>
      <w:bookmarkEnd w:id="413"/>
      <w:bookmarkEnd w:id="414"/>
      <w:bookmarkEnd w:id="415"/>
    </w:p>
    <w:p w:rsidR="0071027C" w:rsidRPr="001D55CF" w:rsidRDefault="0071027C" w:rsidP="00B247C9">
      <w:pPr>
        <w:pStyle w:val="StyleJustifiedCharChar"/>
      </w:pPr>
      <w:r w:rsidRPr="001D55CF">
        <w:t>Since the mother’s HIV status is unknown, the HIV exposure status of the baby will have to be established by performing a rapid HIV antibody test. The guardian/care taker needs to be counselled for HIV testing of the child.  If the antibody test is positive then HIV DNA PCR (if available) should be done, ideally at 4 weeks of age or thereafter. If the age of the infant cannot be established do a PCR immediately. Repeat the PCR for all infants after 6 weeks if the initial PCR was negative. In addition, the child should be started on co-trimoxazole prophylaxis.</w:t>
      </w:r>
    </w:p>
    <w:p w:rsidR="0071027C" w:rsidRPr="001D55CF" w:rsidRDefault="0071027C" w:rsidP="00B247C9">
      <w:pPr>
        <w:pStyle w:val="StyleJustifiedCharChar"/>
        <w:rPr>
          <w:b/>
        </w:rPr>
      </w:pPr>
      <w:r w:rsidRPr="001D55CF">
        <w:t>Steps for diagnosis of HIV infection in children where the mother is not available</w:t>
      </w:r>
    </w:p>
    <w:p w:rsidR="0071027C" w:rsidRPr="001D55CF" w:rsidRDefault="00AA771C" w:rsidP="00B247C9">
      <w:pPr>
        <w:pStyle w:val="StyleJustifiedCharChar"/>
      </w:pPr>
      <w:r>
        <w:rPr>
          <w:noProof/>
          <w:lang w:val="en-US"/>
        </w:rPr>
        <mc:AlternateContent>
          <mc:Choice Requires="wps">
            <w:drawing>
              <wp:anchor distT="0" distB="0" distL="114300" distR="114300" simplePos="0" relativeHeight="251688960" behindDoc="0" locked="0" layoutInCell="1" allowOverlap="1">
                <wp:simplePos x="0" y="0"/>
                <wp:positionH relativeFrom="column">
                  <wp:posOffset>85725</wp:posOffset>
                </wp:positionH>
                <wp:positionV relativeFrom="paragraph">
                  <wp:posOffset>102870</wp:posOffset>
                </wp:positionV>
                <wp:extent cx="5715000" cy="1165860"/>
                <wp:effectExtent l="9525" t="7620" r="9525" b="7620"/>
                <wp:wrapSquare wrapText="bothSides"/>
                <wp:docPr id="957"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65860"/>
                        </a:xfrm>
                        <a:prstGeom prst="rect">
                          <a:avLst/>
                        </a:prstGeom>
                        <a:solidFill>
                          <a:srgbClr val="FFFFFF"/>
                        </a:solidFill>
                        <a:ln w="9525">
                          <a:solidFill>
                            <a:srgbClr val="000000"/>
                          </a:solidFill>
                          <a:miter lim="800000"/>
                          <a:headEnd/>
                          <a:tailEnd/>
                        </a:ln>
                      </wps:spPr>
                      <wps:txbx>
                        <w:txbxContent>
                          <w:p w:rsidR="00B247C9" w:rsidRPr="006154D6" w:rsidRDefault="00B247C9" w:rsidP="00274941">
                            <w:pPr>
                              <w:widowControl/>
                              <w:numPr>
                                <w:ilvl w:val="0"/>
                                <w:numId w:val="41"/>
                              </w:numPr>
                              <w:spacing w:after="0" w:line="240" w:lineRule="auto"/>
                              <w:jc w:val="both"/>
                              <w:rPr>
                                <w:rFonts w:ascii="Arial Narrow" w:hAnsi="Arial Narrow" w:cs="Arial"/>
                                <w:sz w:val="24"/>
                                <w:szCs w:val="24"/>
                              </w:rPr>
                            </w:pPr>
                            <w:r w:rsidRPr="006154D6">
                              <w:rPr>
                                <w:rFonts w:ascii="Arial Narrow" w:hAnsi="Arial Narrow" w:cs="Arial"/>
                                <w:sz w:val="24"/>
                                <w:szCs w:val="24"/>
                              </w:rPr>
                              <w:t xml:space="preserve">Do rapid test  </w:t>
                            </w:r>
                          </w:p>
                          <w:p w:rsidR="00B247C9" w:rsidRPr="006154D6" w:rsidRDefault="00B247C9" w:rsidP="00274941">
                            <w:pPr>
                              <w:widowControl/>
                              <w:numPr>
                                <w:ilvl w:val="0"/>
                                <w:numId w:val="41"/>
                              </w:numPr>
                              <w:spacing w:after="0" w:line="240" w:lineRule="auto"/>
                              <w:jc w:val="both"/>
                              <w:rPr>
                                <w:rFonts w:ascii="Arial Narrow" w:hAnsi="Arial Narrow" w:cs="Arial"/>
                                <w:sz w:val="24"/>
                                <w:szCs w:val="24"/>
                              </w:rPr>
                            </w:pPr>
                            <w:r w:rsidRPr="006154D6">
                              <w:rPr>
                                <w:rFonts w:ascii="Arial Narrow" w:hAnsi="Arial Narrow" w:cs="Arial"/>
                                <w:sz w:val="24"/>
                                <w:szCs w:val="24"/>
                              </w:rPr>
                              <w:t xml:space="preserve">If positive: HIV PCR </w:t>
                            </w:r>
                          </w:p>
                          <w:p w:rsidR="00B247C9" w:rsidRPr="006154D6" w:rsidRDefault="00B247C9" w:rsidP="00274941">
                            <w:pPr>
                              <w:widowControl/>
                              <w:numPr>
                                <w:ilvl w:val="0"/>
                                <w:numId w:val="41"/>
                              </w:numPr>
                              <w:spacing w:after="0" w:line="240" w:lineRule="auto"/>
                              <w:jc w:val="both"/>
                              <w:rPr>
                                <w:rFonts w:ascii="Arial Narrow" w:hAnsi="Arial Narrow" w:cs="Arial"/>
                                <w:sz w:val="24"/>
                                <w:szCs w:val="24"/>
                              </w:rPr>
                            </w:pPr>
                            <w:r w:rsidRPr="006154D6">
                              <w:rPr>
                                <w:rFonts w:ascii="Arial Narrow" w:hAnsi="Arial Narrow" w:cs="Arial"/>
                                <w:sz w:val="24"/>
                                <w:szCs w:val="24"/>
                              </w:rPr>
                              <w:t>If age is known: HIV PCR  at 4 weeks of age</w:t>
                            </w:r>
                          </w:p>
                          <w:p w:rsidR="00B247C9" w:rsidRPr="006154D6" w:rsidRDefault="00B247C9" w:rsidP="00274941">
                            <w:pPr>
                              <w:widowControl/>
                              <w:numPr>
                                <w:ilvl w:val="0"/>
                                <w:numId w:val="41"/>
                              </w:numPr>
                              <w:spacing w:after="0" w:line="240" w:lineRule="auto"/>
                              <w:jc w:val="both"/>
                              <w:rPr>
                                <w:rFonts w:ascii="Arial Narrow" w:hAnsi="Arial Narrow" w:cs="Arial"/>
                                <w:sz w:val="24"/>
                                <w:szCs w:val="24"/>
                              </w:rPr>
                            </w:pPr>
                            <w:r w:rsidRPr="006154D6">
                              <w:rPr>
                                <w:rFonts w:ascii="Arial Narrow" w:hAnsi="Arial Narrow" w:cs="Arial"/>
                                <w:sz w:val="24"/>
                                <w:szCs w:val="24"/>
                              </w:rPr>
                              <w:t>If age is unknown: HIV PCR immediately</w:t>
                            </w:r>
                          </w:p>
                          <w:p w:rsidR="00B247C9" w:rsidRPr="006154D6" w:rsidRDefault="00B247C9" w:rsidP="00274941">
                            <w:pPr>
                              <w:widowControl/>
                              <w:numPr>
                                <w:ilvl w:val="0"/>
                                <w:numId w:val="41"/>
                              </w:numPr>
                              <w:spacing w:after="0" w:line="240" w:lineRule="auto"/>
                              <w:jc w:val="both"/>
                              <w:rPr>
                                <w:rFonts w:ascii="Arial Narrow" w:hAnsi="Arial Narrow" w:cs="Arial"/>
                                <w:sz w:val="24"/>
                                <w:szCs w:val="24"/>
                              </w:rPr>
                            </w:pPr>
                            <w:r w:rsidRPr="006154D6">
                              <w:rPr>
                                <w:rFonts w:ascii="Arial Narrow" w:hAnsi="Arial Narrow" w:cs="Arial"/>
                                <w:sz w:val="24"/>
                                <w:szCs w:val="24"/>
                              </w:rPr>
                              <w:t xml:space="preserve">For all:  Repeat HIV PCR to confirm 6-8 weeks later if first result was negative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398" type="#_x0000_t202" style="position:absolute;left:0;text-align:left;margin-left:6.75pt;margin-top:8.1pt;width:450pt;height:9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">
                <v:textbox>
                  <w:txbxContent>
                    <w:p w:rsidR="00B247C9" w:rsidRPr="006154D6" w:rsidRDefault="00B247C9" w:rsidP="00274941">
                      <w:pPr>
                        <w:widowControl/>
                        <w:numPr>
                          <w:ilvl w:val="0"/>
                          <w:numId w:val="41"/>
                        </w:numPr>
                        <w:spacing w:after="0" w:line="240" w:lineRule="auto"/>
                        <w:jc w:val="both"/>
                        <w:rPr>
                          <w:rFonts w:ascii="Arial Narrow" w:hAnsi="Arial Narrow" w:cs="Arial"/>
                          <w:sz w:val="24"/>
                          <w:szCs w:val="24"/>
                        </w:rPr>
                      </w:pPr>
                      <w:r w:rsidRPr="006154D6">
                        <w:rPr>
                          <w:rFonts w:ascii="Arial Narrow" w:hAnsi="Arial Narrow" w:cs="Arial"/>
                          <w:sz w:val="24"/>
                          <w:szCs w:val="24"/>
                        </w:rPr>
                        <w:t xml:space="preserve">Do rapid test  </w:t>
                      </w:r>
                    </w:p>
                    <w:p w:rsidR="00B247C9" w:rsidRPr="006154D6" w:rsidRDefault="00B247C9" w:rsidP="00274941">
                      <w:pPr>
                        <w:widowControl/>
                        <w:numPr>
                          <w:ilvl w:val="0"/>
                          <w:numId w:val="41"/>
                        </w:numPr>
                        <w:spacing w:after="0" w:line="240" w:lineRule="auto"/>
                        <w:jc w:val="both"/>
                        <w:rPr>
                          <w:rFonts w:ascii="Arial Narrow" w:hAnsi="Arial Narrow" w:cs="Arial"/>
                          <w:sz w:val="24"/>
                          <w:szCs w:val="24"/>
                        </w:rPr>
                      </w:pPr>
                      <w:r w:rsidRPr="006154D6">
                        <w:rPr>
                          <w:rFonts w:ascii="Arial Narrow" w:hAnsi="Arial Narrow" w:cs="Arial"/>
                          <w:sz w:val="24"/>
                          <w:szCs w:val="24"/>
                        </w:rPr>
                        <w:t xml:space="preserve">If positive: HIV PCR </w:t>
                      </w:r>
                    </w:p>
                    <w:p w:rsidR="00B247C9" w:rsidRPr="006154D6" w:rsidRDefault="00B247C9" w:rsidP="00274941">
                      <w:pPr>
                        <w:widowControl/>
                        <w:numPr>
                          <w:ilvl w:val="0"/>
                          <w:numId w:val="41"/>
                        </w:numPr>
                        <w:spacing w:after="0" w:line="240" w:lineRule="auto"/>
                        <w:jc w:val="both"/>
                        <w:rPr>
                          <w:rFonts w:ascii="Arial Narrow" w:hAnsi="Arial Narrow" w:cs="Arial"/>
                          <w:sz w:val="24"/>
                          <w:szCs w:val="24"/>
                        </w:rPr>
                      </w:pPr>
                      <w:r w:rsidRPr="006154D6">
                        <w:rPr>
                          <w:rFonts w:ascii="Arial Narrow" w:hAnsi="Arial Narrow" w:cs="Arial"/>
                          <w:sz w:val="24"/>
                          <w:szCs w:val="24"/>
                        </w:rPr>
                        <w:t>If age is known: HIV PCR  at 4 weeks of age</w:t>
                      </w:r>
                    </w:p>
                    <w:p w:rsidR="00B247C9" w:rsidRPr="006154D6" w:rsidRDefault="00B247C9" w:rsidP="00274941">
                      <w:pPr>
                        <w:widowControl/>
                        <w:numPr>
                          <w:ilvl w:val="0"/>
                          <w:numId w:val="41"/>
                        </w:numPr>
                        <w:spacing w:after="0" w:line="240" w:lineRule="auto"/>
                        <w:jc w:val="both"/>
                        <w:rPr>
                          <w:rFonts w:ascii="Arial Narrow" w:hAnsi="Arial Narrow" w:cs="Arial"/>
                          <w:sz w:val="24"/>
                          <w:szCs w:val="24"/>
                        </w:rPr>
                      </w:pPr>
                      <w:r w:rsidRPr="006154D6">
                        <w:rPr>
                          <w:rFonts w:ascii="Arial Narrow" w:hAnsi="Arial Narrow" w:cs="Arial"/>
                          <w:sz w:val="24"/>
                          <w:szCs w:val="24"/>
                        </w:rPr>
                        <w:t>If age is unknown: HIV PCR immediately</w:t>
                      </w:r>
                    </w:p>
                    <w:p w:rsidR="00B247C9" w:rsidRPr="006154D6" w:rsidRDefault="00B247C9" w:rsidP="00274941">
                      <w:pPr>
                        <w:widowControl/>
                        <w:numPr>
                          <w:ilvl w:val="0"/>
                          <w:numId w:val="41"/>
                        </w:numPr>
                        <w:spacing w:after="0" w:line="240" w:lineRule="auto"/>
                        <w:jc w:val="both"/>
                        <w:rPr>
                          <w:rFonts w:ascii="Arial Narrow" w:hAnsi="Arial Narrow" w:cs="Arial"/>
                          <w:sz w:val="24"/>
                          <w:szCs w:val="24"/>
                        </w:rPr>
                      </w:pPr>
                      <w:r w:rsidRPr="006154D6">
                        <w:rPr>
                          <w:rFonts w:ascii="Arial Narrow" w:hAnsi="Arial Narrow" w:cs="Arial"/>
                          <w:sz w:val="24"/>
                          <w:szCs w:val="24"/>
                        </w:rPr>
                        <w:t xml:space="preserve">For all:  Repeat HIV PCR to confirm 6-8 weeks later if first result was negative   </w:t>
                      </w:r>
                    </w:p>
                  </w:txbxContent>
                </v:textbox>
                <w10:wrap type="square"/>
              </v:shape>
            </w:pict>
          </mc:Fallback>
        </mc:AlternateContent>
      </w:r>
    </w:p>
    <w:p w:rsidR="0071027C" w:rsidRPr="001D55CF" w:rsidRDefault="0071027C" w:rsidP="00B247C9">
      <w:pPr>
        <w:pStyle w:val="StyleJustifiedCharChar"/>
      </w:pPr>
      <w:r w:rsidRPr="001D55CF">
        <w:t>Notes:</w:t>
      </w:r>
    </w:p>
    <w:p w:rsidR="0071027C" w:rsidRPr="001D55CF" w:rsidRDefault="0071027C" w:rsidP="00274941">
      <w:pPr>
        <w:widowControl/>
        <w:numPr>
          <w:ilvl w:val="0"/>
          <w:numId w:val="42"/>
        </w:numPr>
        <w:spacing w:before="120" w:after="120" w:line="240" w:lineRule="auto"/>
        <w:jc w:val="both"/>
        <w:rPr>
          <w:rFonts w:ascii="Arial" w:hAnsi="Arial" w:cs="Arial"/>
        </w:rPr>
      </w:pPr>
      <w:r w:rsidRPr="001D55CF">
        <w:rPr>
          <w:rFonts w:ascii="Arial" w:hAnsi="Arial" w:cs="Arial"/>
        </w:rPr>
        <w:t xml:space="preserve">Exposed children should be seen monthly for the first year of life and should be followed up as per recommendations for all children. A </w:t>
      </w:r>
      <w:r w:rsidRPr="001D55CF">
        <w:rPr>
          <w:rFonts w:ascii="Arial" w:hAnsi="Arial" w:cs="Arial"/>
          <w:b/>
        </w:rPr>
        <w:t>clinical examination</w:t>
      </w:r>
      <w:r w:rsidRPr="001D55CF">
        <w:rPr>
          <w:rFonts w:ascii="Arial" w:hAnsi="Arial" w:cs="Arial"/>
        </w:rPr>
        <w:t xml:space="preserve"> to assess for signs and symptoms of HIV infection should be performed during all visits.</w:t>
      </w:r>
      <w:r w:rsidRPr="001D55CF" w:rsidDel="00F57D9A">
        <w:rPr>
          <w:rFonts w:ascii="Arial" w:hAnsi="Arial" w:cs="Arial"/>
        </w:rPr>
        <w:t xml:space="preserve"> </w:t>
      </w:r>
      <w:r w:rsidRPr="001D55CF">
        <w:rPr>
          <w:rFonts w:ascii="Arial" w:hAnsi="Arial" w:cs="Arial"/>
        </w:rPr>
        <w:t xml:space="preserve"> Failure to thrive and neurodevelopment delay might be signs of HIV infection.</w:t>
      </w:r>
    </w:p>
    <w:p w:rsidR="0071027C" w:rsidRPr="001D55CF" w:rsidRDefault="0071027C" w:rsidP="00274941">
      <w:pPr>
        <w:widowControl/>
        <w:numPr>
          <w:ilvl w:val="0"/>
          <w:numId w:val="42"/>
        </w:numPr>
        <w:spacing w:before="120" w:after="120" w:line="240" w:lineRule="auto"/>
        <w:jc w:val="both"/>
        <w:rPr>
          <w:rFonts w:ascii="Arial" w:hAnsi="Arial" w:cs="Arial"/>
          <w:b/>
        </w:rPr>
      </w:pPr>
      <w:r w:rsidRPr="001D55CF">
        <w:rPr>
          <w:rFonts w:ascii="Arial" w:hAnsi="Arial" w:cs="Arial"/>
          <w:b/>
        </w:rPr>
        <w:t>Postnatal transmission</w:t>
      </w:r>
      <w:r w:rsidRPr="001D55CF">
        <w:rPr>
          <w:rFonts w:ascii="Arial" w:hAnsi="Arial" w:cs="Arial"/>
        </w:rPr>
        <w:t xml:space="preserve"> of HIV infection is likely to be evident by 6 weeks after breastfeeding has been terminated. </w:t>
      </w:r>
      <w:r w:rsidRPr="001D55CF">
        <w:rPr>
          <w:rFonts w:ascii="Arial" w:hAnsi="Arial" w:cs="Arial"/>
          <w:b/>
        </w:rPr>
        <w:t>If PCR is unavailable,</w:t>
      </w:r>
      <w:r w:rsidRPr="001D55CF">
        <w:rPr>
          <w:rFonts w:ascii="Arial" w:hAnsi="Arial" w:cs="Arial"/>
        </w:rPr>
        <w:t xml:space="preserve"> clinical monitoring and prophylaxis should continue until presumptive diagnosis of HIV can be done, upon which ART should be started. </w:t>
      </w:r>
    </w:p>
    <w:p w:rsidR="0071027C" w:rsidRPr="00EE505A" w:rsidRDefault="0071027C" w:rsidP="0071027C">
      <w:pPr>
        <w:pStyle w:val="Heading2"/>
      </w:pPr>
      <w:bookmarkStart w:id="416" w:name="_Toc373768031"/>
      <w:bookmarkStart w:id="417" w:name="_Toc378258171"/>
      <w:bookmarkStart w:id="418" w:name="_Toc382214034"/>
      <w:r>
        <w:t xml:space="preserve">7.3 </w:t>
      </w:r>
      <w:r w:rsidRPr="00EE505A">
        <w:t xml:space="preserve">HIV and AIDS </w:t>
      </w:r>
      <w:r>
        <w:t>m</w:t>
      </w:r>
      <w:r w:rsidRPr="00EE505A">
        <w:t xml:space="preserve">anifestations in </w:t>
      </w:r>
      <w:r>
        <w:t>c</w:t>
      </w:r>
      <w:r w:rsidRPr="00EE505A">
        <w:t>hildren</w:t>
      </w:r>
      <w:bookmarkEnd w:id="416"/>
      <w:bookmarkEnd w:id="417"/>
      <w:bookmarkEnd w:id="418"/>
    </w:p>
    <w:p w:rsidR="0071027C" w:rsidRPr="001D55CF" w:rsidRDefault="0071027C" w:rsidP="0071027C">
      <w:pPr>
        <w:widowControl/>
        <w:spacing w:before="120" w:after="120" w:line="240" w:lineRule="auto"/>
        <w:jc w:val="both"/>
        <w:rPr>
          <w:rFonts w:ascii="Arial" w:hAnsi="Arial" w:cs="Arial"/>
        </w:rPr>
      </w:pPr>
      <w:r w:rsidRPr="001D55CF">
        <w:rPr>
          <w:rFonts w:ascii="Arial" w:hAnsi="Arial" w:cs="Arial"/>
        </w:rPr>
        <w:t>Clinical signs and symptoms of HIV infection are useful parameters in making an HIV diagnosis, but in children, these features sometimes overlap with those of other common childhood diseases.  Children with severe or atypical clinical diseases are more likely to be HIV-infected.</w:t>
      </w:r>
    </w:p>
    <w:p w:rsidR="0071027C" w:rsidRPr="001D55CF" w:rsidRDefault="0071027C" w:rsidP="0071027C">
      <w:pPr>
        <w:autoSpaceDE w:val="0"/>
        <w:autoSpaceDN w:val="0"/>
        <w:adjustRightInd w:val="0"/>
        <w:spacing w:before="100" w:beforeAutospacing="1" w:after="100" w:afterAutospacing="1" w:line="240" w:lineRule="auto"/>
        <w:jc w:val="both"/>
        <w:rPr>
          <w:rFonts w:ascii="Arial" w:hAnsi="Arial" w:cs="Arial"/>
          <w:b/>
        </w:rPr>
      </w:pPr>
      <w:r w:rsidRPr="001D55CF">
        <w:rPr>
          <w:rFonts w:ascii="Arial" w:hAnsi="Arial" w:cs="Arial"/>
          <w:b/>
        </w:rPr>
        <w:t>Signs/conditions specific to HIV infection</w:t>
      </w:r>
    </w:p>
    <w:p w:rsidR="0071027C" w:rsidRPr="001D55CF" w:rsidRDefault="0071027C" w:rsidP="00274941">
      <w:pPr>
        <w:pStyle w:val="ListParagraph"/>
        <w:numPr>
          <w:ilvl w:val="0"/>
          <w:numId w:val="47"/>
        </w:numPr>
        <w:autoSpaceDE w:val="0"/>
        <w:autoSpaceDN w:val="0"/>
        <w:adjustRightInd w:val="0"/>
        <w:contextualSpacing w:val="0"/>
        <w:jc w:val="both"/>
        <w:rPr>
          <w:rFonts w:ascii="Arial" w:hAnsi="Arial" w:cs="Arial"/>
          <w:sz w:val="22"/>
          <w:szCs w:val="22"/>
        </w:rPr>
      </w:pPr>
      <w:r w:rsidRPr="001D55CF">
        <w:rPr>
          <w:rFonts w:ascii="Arial" w:hAnsi="Arial" w:cs="Arial"/>
          <w:sz w:val="22"/>
          <w:szCs w:val="22"/>
        </w:rPr>
        <w:t>Pneumocystis pneumonia</w:t>
      </w:r>
    </w:p>
    <w:p w:rsidR="0071027C" w:rsidRPr="001D55CF" w:rsidRDefault="0071027C" w:rsidP="00274941">
      <w:pPr>
        <w:pStyle w:val="ListParagraph"/>
        <w:numPr>
          <w:ilvl w:val="0"/>
          <w:numId w:val="47"/>
        </w:numPr>
        <w:autoSpaceDE w:val="0"/>
        <w:autoSpaceDN w:val="0"/>
        <w:adjustRightInd w:val="0"/>
        <w:contextualSpacing w:val="0"/>
        <w:jc w:val="both"/>
        <w:rPr>
          <w:rFonts w:ascii="Arial" w:hAnsi="Arial" w:cs="Arial"/>
          <w:sz w:val="22"/>
          <w:szCs w:val="22"/>
        </w:rPr>
      </w:pPr>
      <w:r w:rsidRPr="001D55CF">
        <w:rPr>
          <w:rFonts w:ascii="Arial" w:hAnsi="Arial" w:cs="Arial"/>
          <w:sz w:val="22"/>
          <w:szCs w:val="22"/>
        </w:rPr>
        <w:t>Oesophageal candidiasis</w:t>
      </w:r>
    </w:p>
    <w:p w:rsidR="0071027C" w:rsidRPr="001D55CF" w:rsidRDefault="0071027C" w:rsidP="00274941">
      <w:pPr>
        <w:pStyle w:val="ListParagraph"/>
        <w:numPr>
          <w:ilvl w:val="0"/>
          <w:numId w:val="47"/>
        </w:numPr>
        <w:autoSpaceDE w:val="0"/>
        <w:autoSpaceDN w:val="0"/>
        <w:adjustRightInd w:val="0"/>
        <w:contextualSpacing w:val="0"/>
        <w:jc w:val="both"/>
        <w:rPr>
          <w:rFonts w:ascii="Arial" w:hAnsi="Arial" w:cs="Arial"/>
          <w:sz w:val="22"/>
          <w:szCs w:val="22"/>
        </w:rPr>
      </w:pPr>
      <w:r w:rsidRPr="001D55CF">
        <w:rPr>
          <w:rFonts w:ascii="Arial" w:hAnsi="Arial" w:cs="Arial"/>
          <w:sz w:val="22"/>
          <w:szCs w:val="22"/>
        </w:rPr>
        <w:t>Extrapulmonary cryptococcosis</w:t>
      </w:r>
    </w:p>
    <w:p w:rsidR="0071027C" w:rsidRPr="001D55CF" w:rsidRDefault="0071027C" w:rsidP="00274941">
      <w:pPr>
        <w:pStyle w:val="ListParagraph"/>
        <w:numPr>
          <w:ilvl w:val="0"/>
          <w:numId w:val="47"/>
        </w:numPr>
        <w:autoSpaceDE w:val="0"/>
        <w:autoSpaceDN w:val="0"/>
        <w:adjustRightInd w:val="0"/>
        <w:contextualSpacing w:val="0"/>
        <w:jc w:val="both"/>
        <w:rPr>
          <w:rFonts w:ascii="Arial" w:hAnsi="Arial" w:cs="Arial"/>
          <w:sz w:val="22"/>
          <w:szCs w:val="22"/>
        </w:rPr>
      </w:pPr>
      <w:r w:rsidRPr="001D55CF">
        <w:rPr>
          <w:rFonts w:ascii="Arial" w:hAnsi="Arial" w:cs="Arial"/>
          <w:sz w:val="22"/>
          <w:szCs w:val="22"/>
        </w:rPr>
        <w:t>Lymphoid interstitial pneumonitis</w:t>
      </w:r>
    </w:p>
    <w:p w:rsidR="0071027C" w:rsidRPr="001D55CF" w:rsidRDefault="0071027C" w:rsidP="00274941">
      <w:pPr>
        <w:pStyle w:val="ListParagraph"/>
        <w:numPr>
          <w:ilvl w:val="0"/>
          <w:numId w:val="47"/>
        </w:numPr>
        <w:autoSpaceDE w:val="0"/>
        <w:autoSpaceDN w:val="0"/>
        <w:adjustRightInd w:val="0"/>
        <w:contextualSpacing w:val="0"/>
        <w:jc w:val="both"/>
        <w:rPr>
          <w:rFonts w:ascii="Arial" w:hAnsi="Arial" w:cs="Arial"/>
          <w:sz w:val="22"/>
          <w:szCs w:val="22"/>
        </w:rPr>
      </w:pPr>
      <w:r w:rsidRPr="001D55CF">
        <w:rPr>
          <w:rFonts w:ascii="Arial" w:hAnsi="Arial" w:cs="Arial"/>
          <w:sz w:val="22"/>
          <w:szCs w:val="22"/>
        </w:rPr>
        <w:t>Herpes zoster (shingles) with multi-dermatomal involvement</w:t>
      </w:r>
    </w:p>
    <w:p w:rsidR="0071027C" w:rsidRPr="001D55CF" w:rsidRDefault="0071027C" w:rsidP="00274941">
      <w:pPr>
        <w:pStyle w:val="ListParagraph"/>
        <w:numPr>
          <w:ilvl w:val="0"/>
          <w:numId w:val="47"/>
        </w:numPr>
        <w:autoSpaceDE w:val="0"/>
        <w:autoSpaceDN w:val="0"/>
        <w:adjustRightInd w:val="0"/>
        <w:contextualSpacing w:val="0"/>
        <w:jc w:val="both"/>
        <w:rPr>
          <w:rFonts w:ascii="Arial" w:hAnsi="Arial" w:cs="Arial"/>
          <w:sz w:val="22"/>
          <w:szCs w:val="22"/>
        </w:rPr>
      </w:pPr>
      <w:r w:rsidRPr="001D55CF">
        <w:rPr>
          <w:rFonts w:ascii="Arial" w:hAnsi="Arial" w:cs="Arial"/>
          <w:sz w:val="22"/>
          <w:szCs w:val="22"/>
        </w:rPr>
        <w:t>Kaposi’s sarcoma</w:t>
      </w:r>
    </w:p>
    <w:p w:rsidR="0071027C" w:rsidRPr="001D55CF" w:rsidRDefault="0071027C" w:rsidP="00274941">
      <w:pPr>
        <w:pStyle w:val="ListParagraph"/>
        <w:numPr>
          <w:ilvl w:val="0"/>
          <w:numId w:val="47"/>
        </w:numPr>
        <w:autoSpaceDE w:val="0"/>
        <w:autoSpaceDN w:val="0"/>
        <w:adjustRightInd w:val="0"/>
        <w:contextualSpacing w:val="0"/>
        <w:jc w:val="both"/>
        <w:rPr>
          <w:rFonts w:ascii="Arial" w:hAnsi="Arial" w:cs="Arial"/>
          <w:sz w:val="22"/>
          <w:szCs w:val="22"/>
        </w:rPr>
      </w:pPr>
      <w:r w:rsidRPr="001D55CF">
        <w:rPr>
          <w:rFonts w:ascii="Arial" w:hAnsi="Arial" w:cs="Arial"/>
          <w:sz w:val="22"/>
          <w:szCs w:val="22"/>
        </w:rPr>
        <w:t>Lymphoma</w:t>
      </w:r>
    </w:p>
    <w:p w:rsidR="0071027C" w:rsidRPr="001D55CF" w:rsidRDefault="0071027C" w:rsidP="00274941">
      <w:pPr>
        <w:pStyle w:val="ListParagraph"/>
        <w:numPr>
          <w:ilvl w:val="0"/>
          <w:numId w:val="47"/>
        </w:numPr>
        <w:autoSpaceDE w:val="0"/>
        <w:autoSpaceDN w:val="0"/>
        <w:adjustRightInd w:val="0"/>
        <w:contextualSpacing w:val="0"/>
        <w:jc w:val="both"/>
        <w:rPr>
          <w:rFonts w:ascii="Arial" w:hAnsi="Arial" w:cs="Arial"/>
          <w:sz w:val="22"/>
          <w:szCs w:val="22"/>
        </w:rPr>
      </w:pPr>
      <w:r w:rsidRPr="001D55CF">
        <w:rPr>
          <w:rFonts w:ascii="Arial" w:hAnsi="Arial" w:cs="Arial"/>
          <w:sz w:val="22"/>
          <w:szCs w:val="22"/>
        </w:rPr>
        <w:t>Progressive multifocal encephalopathy</w:t>
      </w:r>
    </w:p>
    <w:p w:rsidR="0071027C" w:rsidRPr="001D55CF" w:rsidRDefault="0071027C" w:rsidP="0071027C">
      <w:pPr>
        <w:autoSpaceDE w:val="0"/>
        <w:autoSpaceDN w:val="0"/>
        <w:adjustRightInd w:val="0"/>
        <w:spacing w:before="100" w:beforeAutospacing="1" w:after="100" w:afterAutospacing="1" w:line="240" w:lineRule="auto"/>
        <w:jc w:val="both"/>
        <w:rPr>
          <w:rFonts w:ascii="Arial" w:hAnsi="Arial" w:cs="Arial"/>
          <w:b/>
        </w:rPr>
      </w:pPr>
    </w:p>
    <w:p w:rsidR="0071027C" w:rsidRPr="001D55CF" w:rsidRDefault="0071027C" w:rsidP="0071027C">
      <w:pPr>
        <w:autoSpaceDE w:val="0"/>
        <w:autoSpaceDN w:val="0"/>
        <w:adjustRightInd w:val="0"/>
        <w:spacing w:before="100" w:beforeAutospacing="1" w:after="100" w:afterAutospacing="1" w:line="240" w:lineRule="auto"/>
        <w:jc w:val="both"/>
        <w:rPr>
          <w:rFonts w:ascii="Arial" w:hAnsi="Arial" w:cs="Arial"/>
        </w:rPr>
      </w:pPr>
      <w:r w:rsidRPr="001D55CF">
        <w:rPr>
          <w:rFonts w:ascii="Arial" w:hAnsi="Arial" w:cs="Arial"/>
          <w:b/>
        </w:rPr>
        <w:t>Signs/conditions common in HIV-infected children and uncommon in uninfected children</w:t>
      </w:r>
    </w:p>
    <w:p w:rsidR="0071027C" w:rsidRPr="001D55CF" w:rsidRDefault="0071027C" w:rsidP="00274941">
      <w:pPr>
        <w:pStyle w:val="ListParagraph"/>
        <w:numPr>
          <w:ilvl w:val="0"/>
          <w:numId w:val="47"/>
        </w:numPr>
        <w:autoSpaceDE w:val="0"/>
        <w:autoSpaceDN w:val="0"/>
        <w:adjustRightInd w:val="0"/>
        <w:contextualSpacing w:val="0"/>
        <w:jc w:val="both"/>
        <w:rPr>
          <w:rFonts w:ascii="Arial" w:hAnsi="Arial" w:cs="Arial"/>
          <w:sz w:val="22"/>
          <w:szCs w:val="22"/>
        </w:rPr>
      </w:pPr>
      <w:r w:rsidRPr="001D55CF">
        <w:rPr>
          <w:rFonts w:ascii="Arial" w:hAnsi="Arial" w:cs="Arial"/>
          <w:sz w:val="22"/>
          <w:szCs w:val="22"/>
        </w:rPr>
        <w:t>Severe bacterial infections, particularly if recurrent</w:t>
      </w:r>
    </w:p>
    <w:p w:rsidR="0071027C" w:rsidRPr="001D55CF" w:rsidRDefault="0071027C" w:rsidP="00274941">
      <w:pPr>
        <w:pStyle w:val="ListParagraph"/>
        <w:numPr>
          <w:ilvl w:val="0"/>
          <w:numId w:val="47"/>
        </w:numPr>
        <w:autoSpaceDE w:val="0"/>
        <w:autoSpaceDN w:val="0"/>
        <w:adjustRightInd w:val="0"/>
        <w:contextualSpacing w:val="0"/>
        <w:jc w:val="both"/>
        <w:rPr>
          <w:rFonts w:ascii="Arial" w:hAnsi="Arial" w:cs="Arial"/>
          <w:sz w:val="22"/>
          <w:szCs w:val="22"/>
        </w:rPr>
      </w:pPr>
      <w:r w:rsidRPr="001D55CF">
        <w:rPr>
          <w:rFonts w:ascii="Arial" w:hAnsi="Arial" w:cs="Arial"/>
          <w:sz w:val="22"/>
          <w:szCs w:val="22"/>
        </w:rPr>
        <w:t>Persistent or recurrent oral thrush</w:t>
      </w:r>
    </w:p>
    <w:p w:rsidR="0071027C" w:rsidRPr="001D55CF" w:rsidRDefault="0071027C" w:rsidP="00274941">
      <w:pPr>
        <w:pStyle w:val="ListParagraph"/>
        <w:numPr>
          <w:ilvl w:val="0"/>
          <w:numId w:val="47"/>
        </w:numPr>
        <w:autoSpaceDE w:val="0"/>
        <w:autoSpaceDN w:val="0"/>
        <w:adjustRightInd w:val="0"/>
        <w:contextualSpacing w:val="0"/>
        <w:jc w:val="both"/>
        <w:rPr>
          <w:rFonts w:ascii="Arial" w:hAnsi="Arial" w:cs="Arial"/>
          <w:sz w:val="22"/>
          <w:szCs w:val="22"/>
        </w:rPr>
      </w:pPr>
      <w:r w:rsidRPr="001D55CF">
        <w:rPr>
          <w:rFonts w:ascii="Arial" w:hAnsi="Arial" w:cs="Arial"/>
          <w:sz w:val="22"/>
          <w:szCs w:val="22"/>
        </w:rPr>
        <w:t>Bilateral painless persistent parotid enlargement</w:t>
      </w:r>
    </w:p>
    <w:p w:rsidR="0071027C" w:rsidRPr="001D55CF" w:rsidRDefault="0071027C" w:rsidP="00274941">
      <w:pPr>
        <w:pStyle w:val="ListParagraph"/>
        <w:numPr>
          <w:ilvl w:val="0"/>
          <w:numId w:val="47"/>
        </w:numPr>
        <w:autoSpaceDE w:val="0"/>
        <w:autoSpaceDN w:val="0"/>
        <w:adjustRightInd w:val="0"/>
        <w:contextualSpacing w:val="0"/>
        <w:jc w:val="both"/>
        <w:rPr>
          <w:rFonts w:ascii="Arial" w:hAnsi="Arial" w:cs="Arial"/>
          <w:sz w:val="22"/>
          <w:szCs w:val="22"/>
        </w:rPr>
      </w:pPr>
      <w:r w:rsidRPr="001D55CF">
        <w:rPr>
          <w:rFonts w:ascii="Arial" w:hAnsi="Arial" w:cs="Arial"/>
          <w:sz w:val="22"/>
          <w:szCs w:val="22"/>
        </w:rPr>
        <w:t>Generalized persistent non-inguinal lymphadenopathy</w:t>
      </w:r>
    </w:p>
    <w:p w:rsidR="0071027C" w:rsidRPr="001D55CF" w:rsidRDefault="0071027C" w:rsidP="00274941">
      <w:pPr>
        <w:pStyle w:val="ListParagraph"/>
        <w:numPr>
          <w:ilvl w:val="0"/>
          <w:numId w:val="47"/>
        </w:numPr>
        <w:autoSpaceDE w:val="0"/>
        <w:autoSpaceDN w:val="0"/>
        <w:adjustRightInd w:val="0"/>
        <w:contextualSpacing w:val="0"/>
        <w:jc w:val="both"/>
        <w:rPr>
          <w:rFonts w:ascii="Arial" w:hAnsi="Arial" w:cs="Arial"/>
          <w:sz w:val="22"/>
          <w:szCs w:val="22"/>
        </w:rPr>
      </w:pPr>
      <w:r w:rsidRPr="001D55CF">
        <w:rPr>
          <w:rFonts w:ascii="Arial" w:hAnsi="Arial" w:cs="Arial"/>
          <w:sz w:val="22"/>
          <w:szCs w:val="22"/>
        </w:rPr>
        <w:t>Hepatosplenomegaly (in non-malaria endemic areas)</w:t>
      </w:r>
    </w:p>
    <w:p w:rsidR="0071027C" w:rsidRPr="001D55CF" w:rsidRDefault="0071027C" w:rsidP="00274941">
      <w:pPr>
        <w:pStyle w:val="ListParagraph"/>
        <w:numPr>
          <w:ilvl w:val="0"/>
          <w:numId w:val="47"/>
        </w:numPr>
        <w:autoSpaceDE w:val="0"/>
        <w:autoSpaceDN w:val="0"/>
        <w:adjustRightInd w:val="0"/>
        <w:contextualSpacing w:val="0"/>
        <w:jc w:val="both"/>
        <w:rPr>
          <w:rFonts w:ascii="Arial" w:hAnsi="Arial" w:cs="Arial"/>
          <w:sz w:val="22"/>
          <w:szCs w:val="22"/>
        </w:rPr>
      </w:pPr>
      <w:r w:rsidRPr="001D55CF">
        <w:rPr>
          <w:rFonts w:ascii="Arial" w:hAnsi="Arial" w:cs="Arial"/>
          <w:sz w:val="22"/>
          <w:szCs w:val="22"/>
        </w:rPr>
        <w:t>Persistent and/or recurrent fever</w:t>
      </w:r>
    </w:p>
    <w:p w:rsidR="0071027C" w:rsidRPr="001D55CF" w:rsidRDefault="0071027C" w:rsidP="00274941">
      <w:pPr>
        <w:pStyle w:val="ListParagraph"/>
        <w:numPr>
          <w:ilvl w:val="0"/>
          <w:numId w:val="47"/>
        </w:numPr>
        <w:autoSpaceDE w:val="0"/>
        <w:autoSpaceDN w:val="0"/>
        <w:adjustRightInd w:val="0"/>
        <w:contextualSpacing w:val="0"/>
        <w:jc w:val="both"/>
        <w:rPr>
          <w:rFonts w:ascii="Arial" w:hAnsi="Arial" w:cs="Arial"/>
          <w:sz w:val="22"/>
          <w:szCs w:val="22"/>
        </w:rPr>
      </w:pPr>
      <w:r w:rsidRPr="001D55CF">
        <w:rPr>
          <w:rFonts w:ascii="Arial" w:hAnsi="Arial" w:cs="Arial"/>
          <w:sz w:val="22"/>
          <w:szCs w:val="22"/>
        </w:rPr>
        <w:t>Neurologic dysfunction</w:t>
      </w:r>
    </w:p>
    <w:p w:rsidR="0071027C" w:rsidRPr="001D55CF" w:rsidRDefault="0071027C" w:rsidP="00274941">
      <w:pPr>
        <w:pStyle w:val="ListParagraph"/>
        <w:numPr>
          <w:ilvl w:val="0"/>
          <w:numId w:val="47"/>
        </w:numPr>
        <w:autoSpaceDE w:val="0"/>
        <w:autoSpaceDN w:val="0"/>
        <w:adjustRightInd w:val="0"/>
        <w:contextualSpacing w:val="0"/>
        <w:jc w:val="both"/>
        <w:rPr>
          <w:rFonts w:ascii="Arial" w:hAnsi="Arial" w:cs="Arial"/>
          <w:sz w:val="22"/>
          <w:szCs w:val="22"/>
        </w:rPr>
      </w:pPr>
      <w:r w:rsidRPr="001D55CF">
        <w:rPr>
          <w:rFonts w:ascii="Arial" w:hAnsi="Arial" w:cs="Arial"/>
          <w:sz w:val="22"/>
          <w:szCs w:val="22"/>
        </w:rPr>
        <w:t>Herpes zoster (shingles), single dermatome</w:t>
      </w:r>
    </w:p>
    <w:p w:rsidR="0071027C" w:rsidRPr="001D55CF" w:rsidRDefault="0071027C" w:rsidP="00274941">
      <w:pPr>
        <w:pStyle w:val="ListParagraph"/>
        <w:numPr>
          <w:ilvl w:val="0"/>
          <w:numId w:val="47"/>
        </w:numPr>
        <w:autoSpaceDE w:val="0"/>
        <w:autoSpaceDN w:val="0"/>
        <w:adjustRightInd w:val="0"/>
        <w:contextualSpacing w:val="0"/>
        <w:jc w:val="both"/>
        <w:rPr>
          <w:rFonts w:ascii="Arial" w:hAnsi="Arial" w:cs="Arial"/>
          <w:sz w:val="22"/>
          <w:szCs w:val="22"/>
        </w:rPr>
      </w:pPr>
      <w:r w:rsidRPr="001D55CF">
        <w:rPr>
          <w:rFonts w:ascii="Arial" w:hAnsi="Arial" w:cs="Arial"/>
          <w:sz w:val="22"/>
          <w:szCs w:val="22"/>
        </w:rPr>
        <w:t>Persistent generalized dermatitis unresponsive to treatment</w:t>
      </w:r>
    </w:p>
    <w:p w:rsidR="0071027C" w:rsidRPr="001D55CF" w:rsidRDefault="0071027C" w:rsidP="0071027C">
      <w:pPr>
        <w:autoSpaceDE w:val="0"/>
        <w:autoSpaceDN w:val="0"/>
        <w:adjustRightInd w:val="0"/>
        <w:spacing w:before="100" w:beforeAutospacing="1" w:after="100" w:afterAutospacing="1" w:line="240" w:lineRule="auto"/>
        <w:jc w:val="both"/>
        <w:rPr>
          <w:rFonts w:ascii="Arial" w:hAnsi="Arial" w:cs="Arial"/>
          <w:b/>
        </w:rPr>
      </w:pPr>
      <w:r w:rsidRPr="001D55CF">
        <w:rPr>
          <w:rFonts w:ascii="Arial" w:hAnsi="Arial" w:cs="Arial"/>
          <w:b/>
        </w:rPr>
        <w:t xml:space="preserve">Signs/conditions common in HIV-infected children but also common in uninfected children </w:t>
      </w:r>
    </w:p>
    <w:p w:rsidR="0071027C" w:rsidRPr="001D55CF" w:rsidRDefault="0071027C" w:rsidP="00274941">
      <w:pPr>
        <w:pStyle w:val="ListParagraph"/>
        <w:numPr>
          <w:ilvl w:val="0"/>
          <w:numId w:val="47"/>
        </w:numPr>
        <w:autoSpaceDE w:val="0"/>
        <w:autoSpaceDN w:val="0"/>
        <w:adjustRightInd w:val="0"/>
        <w:contextualSpacing w:val="0"/>
        <w:jc w:val="both"/>
        <w:rPr>
          <w:rFonts w:ascii="Arial" w:hAnsi="Arial" w:cs="Arial"/>
          <w:sz w:val="22"/>
          <w:szCs w:val="22"/>
        </w:rPr>
      </w:pPr>
      <w:r w:rsidRPr="001D55CF">
        <w:rPr>
          <w:rFonts w:ascii="Arial" w:hAnsi="Arial" w:cs="Arial"/>
          <w:sz w:val="22"/>
          <w:szCs w:val="22"/>
        </w:rPr>
        <w:t>Chronic, recurrent otitis with ear discharge</w:t>
      </w:r>
    </w:p>
    <w:p w:rsidR="0071027C" w:rsidRPr="001D55CF" w:rsidRDefault="0071027C" w:rsidP="00274941">
      <w:pPr>
        <w:pStyle w:val="ListParagraph"/>
        <w:numPr>
          <w:ilvl w:val="0"/>
          <w:numId w:val="47"/>
        </w:numPr>
        <w:autoSpaceDE w:val="0"/>
        <w:autoSpaceDN w:val="0"/>
        <w:adjustRightInd w:val="0"/>
        <w:contextualSpacing w:val="0"/>
        <w:jc w:val="both"/>
        <w:rPr>
          <w:rFonts w:ascii="Arial" w:hAnsi="Arial" w:cs="Arial"/>
          <w:sz w:val="22"/>
          <w:szCs w:val="22"/>
        </w:rPr>
      </w:pPr>
      <w:r w:rsidRPr="001D55CF">
        <w:rPr>
          <w:rFonts w:ascii="Arial" w:hAnsi="Arial" w:cs="Arial"/>
          <w:sz w:val="22"/>
          <w:szCs w:val="22"/>
        </w:rPr>
        <w:t>Persistent or recurrent diarrhoea</w:t>
      </w:r>
    </w:p>
    <w:p w:rsidR="0071027C" w:rsidRPr="001D55CF" w:rsidRDefault="0071027C" w:rsidP="00274941">
      <w:pPr>
        <w:pStyle w:val="ListParagraph"/>
        <w:numPr>
          <w:ilvl w:val="0"/>
          <w:numId w:val="47"/>
        </w:numPr>
        <w:autoSpaceDE w:val="0"/>
        <w:autoSpaceDN w:val="0"/>
        <w:adjustRightInd w:val="0"/>
        <w:contextualSpacing w:val="0"/>
        <w:jc w:val="both"/>
        <w:rPr>
          <w:rFonts w:ascii="Arial" w:hAnsi="Arial" w:cs="Arial"/>
          <w:sz w:val="22"/>
          <w:szCs w:val="22"/>
        </w:rPr>
      </w:pPr>
      <w:r w:rsidRPr="001D55CF">
        <w:rPr>
          <w:rFonts w:ascii="Arial" w:hAnsi="Arial" w:cs="Arial"/>
          <w:sz w:val="22"/>
          <w:szCs w:val="22"/>
        </w:rPr>
        <w:t>Severe pneumonia</w:t>
      </w:r>
    </w:p>
    <w:p w:rsidR="0071027C" w:rsidRPr="001D55CF" w:rsidRDefault="0071027C" w:rsidP="00274941">
      <w:pPr>
        <w:pStyle w:val="ListParagraph"/>
        <w:numPr>
          <w:ilvl w:val="0"/>
          <w:numId w:val="47"/>
        </w:numPr>
        <w:autoSpaceDE w:val="0"/>
        <w:autoSpaceDN w:val="0"/>
        <w:adjustRightInd w:val="0"/>
        <w:contextualSpacing w:val="0"/>
        <w:jc w:val="both"/>
        <w:rPr>
          <w:rFonts w:ascii="Arial" w:hAnsi="Arial" w:cs="Arial"/>
          <w:sz w:val="22"/>
          <w:szCs w:val="22"/>
        </w:rPr>
      </w:pPr>
      <w:r w:rsidRPr="001D55CF">
        <w:rPr>
          <w:rFonts w:ascii="Arial" w:hAnsi="Arial" w:cs="Arial"/>
          <w:sz w:val="22"/>
          <w:szCs w:val="22"/>
        </w:rPr>
        <w:t>Tuberculosis</w:t>
      </w:r>
    </w:p>
    <w:p w:rsidR="0071027C" w:rsidRPr="001D55CF" w:rsidRDefault="0071027C" w:rsidP="00274941">
      <w:pPr>
        <w:pStyle w:val="ListParagraph"/>
        <w:numPr>
          <w:ilvl w:val="0"/>
          <w:numId w:val="47"/>
        </w:numPr>
        <w:autoSpaceDE w:val="0"/>
        <w:autoSpaceDN w:val="0"/>
        <w:adjustRightInd w:val="0"/>
        <w:contextualSpacing w:val="0"/>
        <w:jc w:val="both"/>
        <w:rPr>
          <w:rFonts w:ascii="Arial" w:hAnsi="Arial" w:cs="Arial"/>
          <w:sz w:val="22"/>
          <w:szCs w:val="22"/>
        </w:rPr>
      </w:pPr>
      <w:r w:rsidRPr="001D55CF">
        <w:rPr>
          <w:rFonts w:ascii="Arial" w:hAnsi="Arial" w:cs="Arial"/>
          <w:sz w:val="22"/>
          <w:szCs w:val="22"/>
        </w:rPr>
        <w:t>Failure to thrive</w:t>
      </w:r>
    </w:p>
    <w:p w:rsidR="0071027C" w:rsidRPr="001D55CF" w:rsidRDefault="0071027C" w:rsidP="00274941">
      <w:pPr>
        <w:pStyle w:val="ListParagraph"/>
        <w:numPr>
          <w:ilvl w:val="0"/>
          <w:numId w:val="47"/>
        </w:numPr>
        <w:autoSpaceDE w:val="0"/>
        <w:autoSpaceDN w:val="0"/>
        <w:adjustRightInd w:val="0"/>
        <w:contextualSpacing w:val="0"/>
        <w:jc w:val="both"/>
        <w:rPr>
          <w:rFonts w:ascii="Arial" w:hAnsi="Arial" w:cs="Arial"/>
          <w:sz w:val="22"/>
          <w:szCs w:val="22"/>
        </w:rPr>
      </w:pPr>
      <w:r w:rsidRPr="001D55CF">
        <w:rPr>
          <w:rFonts w:ascii="Arial" w:hAnsi="Arial" w:cs="Arial"/>
          <w:sz w:val="22"/>
          <w:szCs w:val="22"/>
        </w:rPr>
        <w:t xml:space="preserve">Acute and chronic malnutrition including  marasmus and being  underweight </w:t>
      </w:r>
    </w:p>
    <w:p w:rsidR="0071027C" w:rsidRPr="001D55CF" w:rsidRDefault="0071027C" w:rsidP="0071027C">
      <w:pPr>
        <w:autoSpaceDE w:val="0"/>
        <w:autoSpaceDN w:val="0"/>
        <w:adjustRightInd w:val="0"/>
        <w:spacing w:before="100" w:beforeAutospacing="1" w:after="100" w:afterAutospacing="1" w:line="240" w:lineRule="auto"/>
        <w:jc w:val="both"/>
        <w:rPr>
          <w:rFonts w:ascii="Arial" w:hAnsi="Arial" w:cs="Arial"/>
        </w:rPr>
      </w:pPr>
      <w:r w:rsidRPr="001D55CF">
        <w:rPr>
          <w:rFonts w:ascii="Arial" w:hAnsi="Arial" w:cs="Arial"/>
        </w:rPr>
        <w:t>A presumptive diagnosis of severe HIV disease should be made if the child fits the criteria of Table 7.1:</w:t>
      </w:r>
    </w:p>
    <w:p w:rsidR="001D55CF" w:rsidRPr="001D55CF" w:rsidRDefault="001D55CF" w:rsidP="001D55CF">
      <w:pPr>
        <w:autoSpaceDE w:val="0"/>
        <w:autoSpaceDN w:val="0"/>
        <w:adjustRightInd w:val="0"/>
        <w:spacing w:before="100" w:beforeAutospacing="1" w:after="100" w:afterAutospacing="1" w:line="240" w:lineRule="auto"/>
        <w:jc w:val="both"/>
        <w:rPr>
          <w:rFonts w:ascii="Arial" w:hAnsi="Arial" w:cs="Arial"/>
        </w:rPr>
        <w:sectPr w:rsidR="001D55CF" w:rsidRPr="001D55CF" w:rsidSect="0027452F">
          <w:pgSz w:w="12240" w:h="15840"/>
          <w:pgMar w:top="1440" w:right="1440" w:bottom="1440" w:left="1440" w:header="720" w:footer="720" w:gutter="0"/>
          <w:cols w:space="720"/>
          <w:docGrid w:linePitch="360"/>
        </w:sectPr>
      </w:pPr>
    </w:p>
    <w:p w:rsidR="001D55CF" w:rsidRPr="00C203F3" w:rsidRDefault="001D55CF" w:rsidP="001D55CF">
      <w:pPr>
        <w:autoSpaceDE w:val="0"/>
        <w:autoSpaceDN w:val="0"/>
        <w:adjustRightInd w:val="0"/>
        <w:spacing w:before="100" w:beforeAutospacing="1" w:after="100" w:afterAutospacing="1" w:line="240" w:lineRule="auto"/>
        <w:jc w:val="both"/>
        <w:rPr>
          <w:rFonts w:ascii="Arial Narrow" w:hAnsi="Arial Narrow"/>
          <w:sz w:val="24"/>
          <w:szCs w:val="24"/>
        </w:rPr>
      </w:pPr>
    </w:p>
    <w:tbl>
      <w:tblPr>
        <w:tblW w:w="0" w:type="auto"/>
        <w:tblLook w:val="04A0" w:firstRow="1" w:lastRow="0" w:firstColumn="1" w:lastColumn="0" w:noHBand="0" w:noVBand="1"/>
      </w:tblPr>
      <w:tblGrid>
        <w:gridCol w:w="4788"/>
        <w:gridCol w:w="4788"/>
      </w:tblGrid>
      <w:tr w:rsidR="0071027C" w:rsidTr="0071027C">
        <w:tc>
          <w:tcPr>
            <w:tcW w:w="9576" w:type="dxa"/>
            <w:gridSpan w:val="2"/>
          </w:tcPr>
          <w:p w:rsidR="0071027C" w:rsidRPr="001D55CF" w:rsidRDefault="0071027C" w:rsidP="0071027C">
            <w:pPr>
              <w:tabs>
                <w:tab w:val="left" w:pos="1088"/>
              </w:tabs>
              <w:rPr>
                <w:rFonts w:ascii="Arial" w:hAnsi="Arial" w:cs="Arial"/>
              </w:rPr>
            </w:pPr>
            <w:r w:rsidRPr="001D55CF">
              <w:rPr>
                <w:rFonts w:ascii="Arial" w:hAnsi="Arial" w:cs="Arial"/>
              </w:rPr>
              <w:t>Table 7. 1: Criteria for presumptive diagnosis of severe HIV disease in infants and children &lt;18 months of age where viral testing is not available</w:t>
            </w:r>
          </w:p>
        </w:tc>
      </w:tr>
      <w:tr w:rsidR="0071027C" w:rsidTr="001D55CF">
        <w:tc>
          <w:tcPr>
            <w:tcW w:w="9576" w:type="dxa"/>
            <w:gridSpan w:val="2"/>
            <w:tcBorders>
              <w:left w:val="single" w:sz="4" w:space="0" w:color="auto"/>
              <w:right w:val="single" w:sz="4" w:space="0" w:color="auto"/>
            </w:tcBorders>
            <w:shd w:val="clear" w:color="auto" w:fill="000000" w:themeFill="text1"/>
          </w:tcPr>
          <w:p w:rsidR="0071027C" w:rsidRPr="001D55CF" w:rsidRDefault="0071027C" w:rsidP="0071027C">
            <w:pPr>
              <w:tabs>
                <w:tab w:val="left" w:pos="1088"/>
              </w:tabs>
              <w:rPr>
                <w:rFonts w:ascii="Arial" w:hAnsi="Arial" w:cs="Arial"/>
                <w:color w:val="FFFFFF" w:themeColor="background1"/>
              </w:rPr>
            </w:pPr>
            <w:r w:rsidRPr="001D55CF">
              <w:rPr>
                <w:rFonts w:ascii="Arial" w:hAnsi="Arial" w:cs="Arial"/>
                <w:color w:val="FFFFFF" w:themeColor="background1"/>
              </w:rPr>
              <w:t>A presumptive diagnosis of severe HIV should be made if:</w:t>
            </w:r>
          </w:p>
        </w:tc>
      </w:tr>
      <w:tr w:rsidR="0071027C" w:rsidTr="001D55CF">
        <w:tc>
          <w:tcPr>
            <w:tcW w:w="4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027C" w:rsidRPr="009B0D75" w:rsidRDefault="0071027C" w:rsidP="00274941">
            <w:pPr>
              <w:pStyle w:val="ListParagraph"/>
              <w:numPr>
                <w:ilvl w:val="0"/>
                <w:numId w:val="53"/>
              </w:numPr>
              <w:tabs>
                <w:tab w:val="left" w:pos="1088"/>
              </w:tabs>
            </w:pPr>
            <w:r w:rsidRPr="009B0D75">
              <w:t>The child is confirmed as being HIV antibody-positive</w:t>
            </w:r>
          </w:p>
          <w:p w:rsidR="0071027C" w:rsidRPr="009B0D75" w:rsidRDefault="0071027C" w:rsidP="0071027C">
            <w:pPr>
              <w:tabs>
                <w:tab w:val="left" w:pos="1088"/>
              </w:tabs>
            </w:pPr>
          </w:p>
          <w:p w:rsidR="0071027C" w:rsidRPr="009B0D75" w:rsidRDefault="0071027C" w:rsidP="0071027C">
            <w:pPr>
              <w:tabs>
                <w:tab w:val="left" w:pos="1088"/>
              </w:tabs>
            </w:pPr>
            <w:r w:rsidRPr="009B0D75">
              <w:t xml:space="preserve">              AND</w:t>
            </w:r>
          </w:p>
        </w:tc>
        <w:tc>
          <w:tcPr>
            <w:tcW w:w="4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027C" w:rsidRPr="009B0D75" w:rsidRDefault="0071027C" w:rsidP="00274941">
            <w:pPr>
              <w:pStyle w:val="ListParagraph"/>
              <w:numPr>
                <w:ilvl w:val="0"/>
                <w:numId w:val="53"/>
              </w:numPr>
              <w:tabs>
                <w:tab w:val="left" w:pos="1088"/>
              </w:tabs>
            </w:pPr>
            <w:r w:rsidRPr="009B0D75">
              <w:t>2a. The infant is symptomatic with two or more of the following:</w:t>
            </w:r>
          </w:p>
          <w:p w:rsidR="0071027C" w:rsidRPr="009B0D75" w:rsidRDefault="0071027C" w:rsidP="00274941">
            <w:pPr>
              <w:pStyle w:val="ListParagraph"/>
              <w:numPr>
                <w:ilvl w:val="0"/>
                <w:numId w:val="54"/>
              </w:numPr>
              <w:tabs>
                <w:tab w:val="left" w:pos="1088"/>
              </w:tabs>
            </w:pPr>
            <w:r w:rsidRPr="009B0D75">
              <w:t>Oral thrush</w:t>
            </w:r>
          </w:p>
          <w:p w:rsidR="0071027C" w:rsidRPr="009B0D75" w:rsidRDefault="0071027C" w:rsidP="00274941">
            <w:pPr>
              <w:pStyle w:val="ListParagraph"/>
              <w:numPr>
                <w:ilvl w:val="0"/>
                <w:numId w:val="54"/>
              </w:numPr>
              <w:tabs>
                <w:tab w:val="left" w:pos="1088"/>
              </w:tabs>
            </w:pPr>
            <w:r w:rsidRPr="009B0D75">
              <w:t>Severe pneumonia</w:t>
            </w:r>
          </w:p>
          <w:p w:rsidR="0071027C" w:rsidRPr="009B0D75" w:rsidRDefault="0071027C" w:rsidP="00274941">
            <w:pPr>
              <w:pStyle w:val="ListParagraph"/>
              <w:numPr>
                <w:ilvl w:val="0"/>
                <w:numId w:val="54"/>
              </w:numPr>
              <w:tabs>
                <w:tab w:val="left" w:pos="1088"/>
              </w:tabs>
            </w:pPr>
            <w:r w:rsidRPr="009B0D75">
              <w:t>Severe sepsis</w:t>
            </w:r>
          </w:p>
          <w:p w:rsidR="0071027C" w:rsidRPr="009B0D75" w:rsidRDefault="0071027C" w:rsidP="0071027C">
            <w:pPr>
              <w:tabs>
                <w:tab w:val="left" w:pos="1088"/>
              </w:tabs>
            </w:pPr>
            <w:r w:rsidRPr="009B0D75">
              <w:t>OR</w:t>
            </w:r>
          </w:p>
          <w:p w:rsidR="0071027C" w:rsidRPr="009B0D75" w:rsidRDefault="0071027C" w:rsidP="001D55CF">
            <w:pPr>
              <w:tabs>
                <w:tab w:val="left" w:pos="1088"/>
              </w:tabs>
            </w:pPr>
            <w:r w:rsidRPr="009B0D75">
              <w:t>2b. A diagnosis of any AIDS-indicator condition(s) can be mad</w:t>
            </w:r>
            <w:r w:rsidR="001D55CF">
              <w:t>e.</w:t>
            </w:r>
            <w:r w:rsidRPr="009B0D75">
              <w:rPr>
                <w:highlight w:val="yellow"/>
              </w:rPr>
              <w:t xml:space="preserve"> </w:t>
            </w:r>
          </w:p>
        </w:tc>
      </w:tr>
      <w:tr w:rsidR="001D55CF" w:rsidTr="001D55CF">
        <w:tc>
          <w:tcPr>
            <w:tcW w:w="9576" w:type="dxa"/>
            <w:gridSpan w:val="2"/>
            <w:tcBorders>
              <w:left w:val="single" w:sz="4" w:space="0" w:color="auto"/>
              <w:bottom w:val="single" w:sz="4" w:space="0" w:color="auto"/>
              <w:right w:val="single" w:sz="4" w:space="0" w:color="auto"/>
            </w:tcBorders>
            <w:shd w:val="clear" w:color="auto" w:fill="D9D9D9" w:themeFill="background1" w:themeFillShade="D9"/>
          </w:tcPr>
          <w:p w:rsidR="001D55CF" w:rsidRPr="009B0D75" w:rsidRDefault="001D55CF" w:rsidP="001D55CF">
            <w:pPr>
              <w:tabs>
                <w:tab w:val="left" w:pos="1088"/>
              </w:tabs>
            </w:pPr>
            <w:r w:rsidRPr="009B0D75">
              <w:t>Other findings that support the diagnosis of severe HIV disease in an HIV-seropositive infant include:</w:t>
            </w:r>
          </w:p>
          <w:p w:rsidR="001D55CF" w:rsidRPr="009B0D75" w:rsidRDefault="001D55CF" w:rsidP="00274941">
            <w:pPr>
              <w:pStyle w:val="ListParagraph"/>
              <w:numPr>
                <w:ilvl w:val="0"/>
                <w:numId w:val="55"/>
              </w:numPr>
              <w:tabs>
                <w:tab w:val="left" w:pos="1088"/>
              </w:tabs>
            </w:pPr>
            <w:r w:rsidRPr="009B0D75">
              <w:t>Recent HIV-related maternal death or advanced HIV disease</w:t>
            </w:r>
          </w:p>
          <w:p w:rsidR="001D55CF" w:rsidRPr="009B0D75" w:rsidRDefault="001D55CF" w:rsidP="001D55CF">
            <w:pPr>
              <w:tabs>
                <w:tab w:val="left" w:pos="1088"/>
              </w:tabs>
            </w:pPr>
            <w:r w:rsidRPr="009B0D75">
              <w:t>Child’s %cd4 +&lt;20%</w:t>
            </w:r>
          </w:p>
        </w:tc>
      </w:tr>
      <w:tr w:rsidR="001D55CF" w:rsidTr="001D55CF">
        <w:tc>
          <w:tcPr>
            <w:tcW w:w="9576" w:type="dxa"/>
            <w:gridSpan w:val="2"/>
            <w:tcBorders>
              <w:left w:val="single" w:sz="4" w:space="0" w:color="auto"/>
              <w:bottom w:val="single" w:sz="4" w:space="0" w:color="auto"/>
              <w:right w:val="single" w:sz="4" w:space="0" w:color="auto"/>
            </w:tcBorders>
            <w:shd w:val="clear" w:color="auto" w:fill="D9D9D9" w:themeFill="background1" w:themeFillShade="D9"/>
          </w:tcPr>
          <w:p w:rsidR="001D55CF" w:rsidRPr="009B0D75" w:rsidRDefault="001D55CF" w:rsidP="001D55CF">
            <w:pPr>
              <w:tabs>
                <w:tab w:val="left" w:pos="1088"/>
              </w:tabs>
            </w:pPr>
            <w:r w:rsidRPr="009B0D75">
              <w:t>Confirm the diagnosis of HIV infection as soon as possible.</w:t>
            </w:r>
          </w:p>
        </w:tc>
      </w:tr>
      <w:tr w:rsidR="001D55CF" w:rsidTr="001D55CF">
        <w:tc>
          <w:tcPr>
            <w:tcW w:w="9576" w:type="dxa"/>
            <w:gridSpan w:val="2"/>
            <w:shd w:val="clear" w:color="auto" w:fill="auto"/>
          </w:tcPr>
          <w:p w:rsidR="001D55CF" w:rsidRDefault="001D55CF" w:rsidP="001D55CF">
            <w:pPr>
              <w:pStyle w:val="ListParagraph"/>
              <w:tabs>
                <w:tab w:val="left" w:pos="1088"/>
              </w:tabs>
            </w:pPr>
          </w:p>
          <w:p w:rsidR="001D55CF" w:rsidRPr="001D55CF" w:rsidRDefault="001D55CF" w:rsidP="00274941">
            <w:pPr>
              <w:pStyle w:val="ListParagraph"/>
              <w:numPr>
                <w:ilvl w:val="0"/>
                <w:numId w:val="56"/>
              </w:numPr>
              <w:tabs>
                <w:tab w:val="left" w:pos="1088"/>
              </w:tabs>
              <w:jc w:val="both"/>
              <w:rPr>
                <w:rFonts w:ascii="Arial" w:hAnsi="Arial" w:cs="Arial"/>
                <w:sz w:val="22"/>
                <w:szCs w:val="22"/>
              </w:rPr>
            </w:pPr>
            <w:r w:rsidRPr="001D55CF">
              <w:rPr>
                <w:rFonts w:ascii="Arial" w:hAnsi="Arial" w:cs="Arial"/>
                <w:sz w:val="22"/>
                <w:szCs w:val="22"/>
              </w:rPr>
              <w:t>AIDS-indicator conditions include some but not all HIV paediatric clinical stage 4 conditions such as Pneumocystis pneumonia, Cryptococcal meningitis, severe wasting or severe malnutrition, Kaposi sarcoma, Extra-pulmonary TB.</w:t>
            </w:r>
          </w:p>
          <w:p w:rsidR="001D55CF" w:rsidRPr="001D55CF" w:rsidRDefault="001D55CF" w:rsidP="00274941">
            <w:pPr>
              <w:pStyle w:val="ListParagraph"/>
              <w:numPr>
                <w:ilvl w:val="0"/>
                <w:numId w:val="56"/>
              </w:numPr>
              <w:tabs>
                <w:tab w:val="left" w:pos="1088"/>
              </w:tabs>
              <w:jc w:val="both"/>
              <w:rPr>
                <w:rFonts w:ascii="Arial" w:hAnsi="Arial" w:cs="Arial"/>
                <w:sz w:val="22"/>
                <w:szCs w:val="22"/>
              </w:rPr>
            </w:pPr>
            <w:r w:rsidRPr="001D55CF">
              <w:rPr>
                <w:rFonts w:ascii="Arial" w:hAnsi="Arial" w:cs="Arial"/>
                <w:sz w:val="22"/>
                <w:szCs w:val="22"/>
              </w:rPr>
              <w:t xml:space="preserve">As per IMCI definition </w:t>
            </w:r>
          </w:p>
          <w:p w:rsidR="001D55CF" w:rsidRPr="001D55CF" w:rsidRDefault="001D55CF" w:rsidP="00274941">
            <w:pPr>
              <w:pStyle w:val="ListParagraph"/>
              <w:numPr>
                <w:ilvl w:val="0"/>
                <w:numId w:val="56"/>
              </w:numPr>
              <w:tabs>
                <w:tab w:val="left" w:pos="1088"/>
              </w:tabs>
              <w:jc w:val="both"/>
              <w:rPr>
                <w:rFonts w:ascii="Arial" w:hAnsi="Arial" w:cs="Arial"/>
                <w:sz w:val="22"/>
                <w:szCs w:val="22"/>
              </w:rPr>
            </w:pPr>
            <w:r w:rsidRPr="001D55CF">
              <w:rPr>
                <w:rFonts w:ascii="Arial" w:hAnsi="Arial" w:cs="Arial"/>
                <w:sz w:val="22"/>
                <w:szCs w:val="22"/>
              </w:rPr>
              <w:t xml:space="preserve">Oral thrush: Creamy white-to-yellow soft small plaques on red or normally coloured mucusa which can often be scraped off (pseudomembranous), or red patches on the tongue, palate or lining of the mouth, usually painful or tender. </w:t>
            </w:r>
          </w:p>
          <w:p w:rsidR="001D55CF" w:rsidRPr="001D55CF" w:rsidRDefault="001D55CF" w:rsidP="00274941">
            <w:pPr>
              <w:pStyle w:val="ListParagraph"/>
              <w:numPr>
                <w:ilvl w:val="0"/>
                <w:numId w:val="56"/>
              </w:numPr>
              <w:tabs>
                <w:tab w:val="left" w:pos="1088"/>
              </w:tabs>
              <w:jc w:val="both"/>
              <w:rPr>
                <w:rFonts w:ascii="Arial" w:hAnsi="Arial" w:cs="Arial"/>
                <w:sz w:val="22"/>
                <w:szCs w:val="22"/>
              </w:rPr>
            </w:pPr>
            <w:r w:rsidRPr="001D55CF">
              <w:rPr>
                <w:rFonts w:ascii="Arial" w:hAnsi="Arial" w:cs="Arial"/>
                <w:sz w:val="22"/>
                <w:szCs w:val="22"/>
              </w:rPr>
              <w:t xml:space="preserve">Severe pneumonia: Cough or difficult breathing in a child with chest indrawing, stridor or any of the IMCI general danger signs; i.e lethargic or unconscious,  not able to drink or breastfeed, vomiting, and presence or history of convulsions during current illness; responding to antibiotics. </w:t>
            </w:r>
          </w:p>
          <w:p w:rsidR="001D55CF" w:rsidRPr="001D55CF" w:rsidRDefault="001D55CF" w:rsidP="00274941">
            <w:pPr>
              <w:pStyle w:val="ListParagraph"/>
              <w:numPr>
                <w:ilvl w:val="0"/>
                <w:numId w:val="56"/>
              </w:numPr>
              <w:tabs>
                <w:tab w:val="left" w:pos="1088"/>
              </w:tabs>
              <w:jc w:val="both"/>
              <w:rPr>
                <w:rFonts w:ascii="Arial" w:hAnsi="Arial" w:cs="Arial"/>
                <w:sz w:val="22"/>
                <w:szCs w:val="22"/>
              </w:rPr>
            </w:pPr>
            <w:r w:rsidRPr="001D55CF">
              <w:rPr>
                <w:rFonts w:ascii="Arial" w:hAnsi="Arial" w:cs="Arial"/>
                <w:sz w:val="22"/>
                <w:szCs w:val="22"/>
              </w:rPr>
              <w:t>Severe sepsis: Fever or low body temperature in young infant with any severe sign, e.g. fast breathing, chest indrawing, bulging fontanele, lethargy, reduced movement, not feeding or sucking breast milk, convulsions.</w:t>
            </w:r>
          </w:p>
          <w:p w:rsidR="001D55CF" w:rsidRPr="001D55CF" w:rsidRDefault="001D55CF" w:rsidP="00274941">
            <w:pPr>
              <w:pStyle w:val="ListParagraph"/>
              <w:numPr>
                <w:ilvl w:val="0"/>
                <w:numId w:val="56"/>
              </w:numPr>
              <w:tabs>
                <w:tab w:val="left" w:pos="1088"/>
              </w:tabs>
              <w:jc w:val="both"/>
              <w:rPr>
                <w:rFonts w:ascii="Arial" w:hAnsi="Arial" w:cs="Arial"/>
                <w:sz w:val="22"/>
                <w:szCs w:val="22"/>
              </w:rPr>
            </w:pPr>
            <w:r w:rsidRPr="001D55CF">
              <w:rPr>
                <w:rFonts w:ascii="Arial" w:hAnsi="Arial" w:cs="Arial"/>
                <w:sz w:val="22"/>
                <w:szCs w:val="22"/>
              </w:rPr>
              <w:t>It is unclear how often CD4 is lowered in the above conditions in HIV-uninfected children.</w:t>
            </w:r>
          </w:p>
          <w:p w:rsidR="001D55CF" w:rsidRDefault="001D55CF" w:rsidP="0071027C">
            <w:pPr>
              <w:tabs>
                <w:tab w:val="left" w:pos="1088"/>
              </w:tabs>
            </w:pPr>
          </w:p>
        </w:tc>
      </w:tr>
    </w:tbl>
    <w:p w:rsidR="0071027C" w:rsidRPr="0051683D" w:rsidRDefault="0071027C" w:rsidP="00274941">
      <w:pPr>
        <w:widowControl/>
        <w:numPr>
          <w:ilvl w:val="0"/>
          <w:numId w:val="40"/>
        </w:numPr>
        <w:spacing w:after="0" w:line="240" w:lineRule="auto"/>
        <w:jc w:val="both"/>
        <w:rPr>
          <w:rFonts w:ascii="Arial" w:hAnsi="Arial" w:cs="Arial"/>
        </w:rPr>
      </w:pPr>
      <w:r w:rsidRPr="0051683D">
        <w:rPr>
          <w:rFonts w:ascii="Arial" w:hAnsi="Arial" w:cs="Arial"/>
        </w:rPr>
        <w:t xml:space="preserve">The HIV status should be confirmed at 18 months or as soon as possible. </w:t>
      </w:r>
    </w:p>
    <w:p w:rsidR="0071027C" w:rsidRPr="0051683D" w:rsidRDefault="0071027C" w:rsidP="00274941">
      <w:pPr>
        <w:widowControl/>
        <w:numPr>
          <w:ilvl w:val="0"/>
          <w:numId w:val="40"/>
        </w:numPr>
        <w:spacing w:after="0" w:line="240" w:lineRule="auto"/>
        <w:jc w:val="both"/>
        <w:rPr>
          <w:rFonts w:ascii="Arial" w:hAnsi="Arial" w:cs="Arial"/>
          <w:bCs/>
        </w:rPr>
      </w:pPr>
      <w:r w:rsidRPr="0051683D">
        <w:rPr>
          <w:rFonts w:ascii="Arial" w:hAnsi="Arial" w:cs="Arial"/>
          <w:bCs/>
        </w:rPr>
        <w:t xml:space="preserve">Presumptive diagnosis should NOT be done in children older than 18 months of age. In these children HIV infection must be confirmed or excluded using widely available antibody tests. </w:t>
      </w:r>
    </w:p>
    <w:p w:rsidR="0071027C" w:rsidRPr="0051683D" w:rsidRDefault="0071027C" w:rsidP="00274941">
      <w:pPr>
        <w:widowControl/>
        <w:numPr>
          <w:ilvl w:val="0"/>
          <w:numId w:val="40"/>
        </w:numPr>
        <w:spacing w:after="0" w:line="240" w:lineRule="auto"/>
        <w:jc w:val="both"/>
        <w:rPr>
          <w:rFonts w:ascii="Arial" w:hAnsi="Arial" w:cs="Arial"/>
          <w:bCs/>
        </w:rPr>
      </w:pPr>
      <w:r w:rsidRPr="0051683D">
        <w:rPr>
          <w:rFonts w:ascii="Arial" w:hAnsi="Arial" w:cs="Arial"/>
          <w:bCs/>
        </w:rPr>
        <w:t>For details see Annex 3 Presumptive and definitive criteria for recognizing HIV/AIDS related clinical events in infants and children with established HIV infection</w:t>
      </w:r>
    </w:p>
    <w:p w:rsidR="0051683D" w:rsidRDefault="0051683D" w:rsidP="0071027C">
      <w:pPr>
        <w:autoSpaceDE w:val="0"/>
        <w:autoSpaceDN w:val="0"/>
        <w:adjustRightInd w:val="0"/>
        <w:spacing w:before="120" w:after="120" w:line="240" w:lineRule="auto"/>
        <w:jc w:val="both"/>
        <w:rPr>
          <w:rFonts w:ascii="Arial Narrow" w:hAnsi="Arial Narrow"/>
          <w:b/>
          <w:sz w:val="24"/>
          <w:szCs w:val="24"/>
        </w:rPr>
        <w:sectPr w:rsidR="0051683D" w:rsidSect="0027452F">
          <w:pgSz w:w="12240" w:h="15840"/>
          <w:pgMar w:top="1440" w:right="1440" w:bottom="1440" w:left="1440" w:header="720" w:footer="720" w:gutter="0"/>
          <w:cols w:space="720"/>
          <w:docGrid w:linePitch="360"/>
        </w:sectPr>
      </w:pPr>
    </w:p>
    <w:p w:rsidR="0071027C" w:rsidRPr="0051683D" w:rsidRDefault="0071027C" w:rsidP="0071027C">
      <w:pPr>
        <w:autoSpaceDE w:val="0"/>
        <w:autoSpaceDN w:val="0"/>
        <w:adjustRightInd w:val="0"/>
        <w:spacing w:before="120" w:after="120" w:line="240" w:lineRule="auto"/>
        <w:jc w:val="both"/>
        <w:rPr>
          <w:rFonts w:ascii="Arial" w:hAnsi="Arial" w:cs="Arial"/>
          <w:b/>
        </w:rPr>
      </w:pPr>
      <w:r w:rsidRPr="0051683D">
        <w:rPr>
          <w:rFonts w:ascii="Arial" w:hAnsi="Arial" w:cs="Arial"/>
          <w:b/>
        </w:rPr>
        <w:t>Diagnosis using the Integrated Management of Childhood Illnesses (IMCI) Algorithm</w:t>
      </w:r>
    </w:p>
    <w:p w:rsidR="0071027C" w:rsidRPr="0051683D" w:rsidRDefault="0071027C" w:rsidP="0071027C">
      <w:pPr>
        <w:pStyle w:val="PlainText"/>
        <w:spacing w:before="120" w:after="120"/>
        <w:jc w:val="both"/>
        <w:rPr>
          <w:rFonts w:ascii="Arial" w:hAnsi="Arial" w:cs="Arial"/>
          <w:sz w:val="22"/>
          <w:szCs w:val="22"/>
        </w:rPr>
      </w:pPr>
      <w:r w:rsidRPr="0051683D">
        <w:rPr>
          <w:rFonts w:ascii="Arial" w:hAnsi="Arial" w:cs="Arial"/>
          <w:sz w:val="22"/>
          <w:szCs w:val="22"/>
        </w:rPr>
        <w:t xml:space="preserve">IMCI guidelines are a useful tool at the first level referral facility to screen children with possible HIV infection who need to be referred for HIV testing or that have the test performed and are referred for care and treatment if they test positive.  </w:t>
      </w:r>
    </w:p>
    <w:p w:rsidR="0071027C" w:rsidRPr="0051683D" w:rsidRDefault="0071027C" w:rsidP="0071027C">
      <w:pPr>
        <w:autoSpaceDE w:val="0"/>
        <w:autoSpaceDN w:val="0"/>
        <w:adjustRightInd w:val="0"/>
        <w:spacing w:before="120" w:after="120" w:line="240" w:lineRule="auto"/>
        <w:jc w:val="both"/>
        <w:rPr>
          <w:rFonts w:ascii="Arial" w:hAnsi="Arial" w:cs="Arial"/>
        </w:rPr>
      </w:pPr>
      <w:r w:rsidRPr="0051683D">
        <w:rPr>
          <w:rFonts w:ascii="Arial" w:hAnsi="Arial" w:cs="Arial"/>
        </w:rPr>
        <w:t>IMCI algorithm should not be used for initiation of ARVs in children rather it should be used to refer children for further HIV evaluation and management.</w:t>
      </w:r>
    </w:p>
    <w:p w:rsidR="0071027C" w:rsidRPr="0051683D" w:rsidRDefault="0071027C" w:rsidP="0071027C">
      <w:pPr>
        <w:pStyle w:val="PlainText"/>
        <w:spacing w:before="120" w:after="120"/>
        <w:jc w:val="both"/>
        <w:rPr>
          <w:rFonts w:ascii="Arial" w:hAnsi="Arial" w:cs="Arial"/>
          <w:sz w:val="22"/>
          <w:szCs w:val="22"/>
        </w:rPr>
      </w:pPr>
      <w:r w:rsidRPr="0051683D">
        <w:rPr>
          <w:rFonts w:ascii="Arial" w:hAnsi="Arial" w:cs="Arial"/>
          <w:sz w:val="22"/>
          <w:szCs w:val="22"/>
        </w:rPr>
        <w:t>Any sick child, whether qualifying by IMCI algorithm or not, should be offered HIV testing (PITC) to establish the infection status as early as possible.</w:t>
      </w:r>
    </w:p>
    <w:p w:rsidR="0071027C" w:rsidRPr="0051683D" w:rsidRDefault="0071027C" w:rsidP="0071027C">
      <w:pPr>
        <w:spacing w:before="120" w:after="120" w:line="240" w:lineRule="auto"/>
        <w:rPr>
          <w:rFonts w:ascii="Arial" w:hAnsi="Arial" w:cs="Arial"/>
          <w:b/>
          <w:bCs/>
        </w:rPr>
      </w:pPr>
      <w:r w:rsidRPr="0051683D">
        <w:rPr>
          <w:rFonts w:ascii="Arial" w:hAnsi="Arial" w:cs="Arial"/>
          <w:b/>
        </w:rPr>
        <w:t>WHO CLINICAL S</w:t>
      </w:r>
      <w:r w:rsidRPr="0051683D">
        <w:rPr>
          <w:rFonts w:ascii="Arial" w:hAnsi="Arial" w:cs="Arial"/>
          <w:b/>
          <w:spacing w:val="-20"/>
        </w:rPr>
        <w:t>T</w:t>
      </w:r>
      <w:r w:rsidRPr="0051683D">
        <w:rPr>
          <w:rFonts w:ascii="Arial" w:hAnsi="Arial" w:cs="Arial"/>
          <w:b/>
        </w:rPr>
        <w:t xml:space="preserve">AGING OF HIV/ AIDS FOR CHILDREN WITH CONFIRMED HIV INFECTION </w:t>
      </w:r>
      <w:r w:rsidRPr="0051683D">
        <w:rPr>
          <w:rFonts w:ascii="Arial" w:hAnsi="Arial" w:cs="Arial"/>
          <w:b/>
          <w:bCs/>
        </w:rPr>
        <w:t>(refer to the annex 2)</w:t>
      </w:r>
    </w:p>
    <w:p w:rsidR="0071027C" w:rsidRPr="0051683D" w:rsidRDefault="0071027C" w:rsidP="0071027C">
      <w:pPr>
        <w:autoSpaceDE w:val="0"/>
        <w:autoSpaceDN w:val="0"/>
        <w:adjustRightInd w:val="0"/>
        <w:spacing w:before="120" w:after="120" w:line="240" w:lineRule="auto"/>
        <w:jc w:val="both"/>
        <w:rPr>
          <w:rFonts w:ascii="Arial" w:hAnsi="Arial" w:cs="Arial"/>
        </w:rPr>
      </w:pPr>
      <w:r w:rsidRPr="0051683D">
        <w:rPr>
          <w:rFonts w:ascii="Arial" w:hAnsi="Arial" w:cs="Arial"/>
        </w:rPr>
        <w:t>Clinical staging is useful for assessment at baseline (first diagnosis of HIV infection), entry into long-term HIV care and in the follow-up of patients in care and treatment programmes.. The clinical stages have been shown to be related to survival, prognosis and progression of clinical disease without antiretroviral therapy in adults and children.</w:t>
      </w:r>
    </w:p>
    <w:p w:rsidR="0071027C" w:rsidRPr="006D4B79" w:rsidRDefault="0071027C" w:rsidP="0071027C">
      <w:pPr>
        <w:autoSpaceDE w:val="0"/>
        <w:autoSpaceDN w:val="0"/>
        <w:adjustRightInd w:val="0"/>
        <w:spacing w:before="120" w:after="120" w:line="240" w:lineRule="auto"/>
        <w:jc w:val="both"/>
        <w:rPr>
          <w:rFonts w:ascii="Arial Narrow" w:hAnsi="Arial Narrow"/>
          <w:sz w:val="24"/>
          <w:szCs w:val="24"/>
        </w:rPr>
      </w:pPr>
    </w:p>
    <w:p w:rsidR="0071027C" w:rsidRPr="00EE505A" w:rsidRDefault="0071027C" w:rsidP="0071027C">
      <w:pPr>
        <w:pStyle w:val="Heading2"/>
        <w:spacing w:before="120" w:after="120"/>
      </w:pPr>
      <w:bookmarkStart w:id="419" w:name="_Toc373768032"/>
      <w:bookmarkStart w:id="420" w:name="_Toc378258172"/>
      <w:bookmarkStart w:id="421" w:name="_Toc382214035"/>
      <w:r w:rsidRPr="00EE505A">
        <w:t xml:space="preserve">7.4 Care and </w:t>
      </w:r>
      <w:r>
        <w:t>s</w:t>
      </w:r>
      <w:r w:rsidRPr="00EE505A">
        <w:t xml:space="preserve">upport of HIV </w:t>
      </w:r>
      <w:r>
        <w:t>e</w:t>
      </w:r>
      <w:r w:rsidRPr="00EE505A">
        <w:t xml:space="preserve">xposed and </w:t>
      </w:r>
      <w:r>
        <w:t>i</w:t>
      </w:r>
      <w:r w:rsidRPr="00EE505A">
        <w:t xml:space="preserve">nfected </w:t>
      </w:r>
      <w:r>
        <w:t>c</w:t>
      </w:r>
      <w:r w:rsidRPr="00EE505A">
        <w:t>hildren</w:t>
      </w:r>
      <w:bookmarkEnd w:id="419"/>
      <w:bookmarkEnd w:id="420"/>
      <w:bookmarkEnd w:id="421"/>
      <w:r w:rsidRPr="00EE505A">
        <w:tab/>
      </w:r>
    </w:p>
    <w:p w:rsidR="0071027C" w:rsidRPr="00EE505A" w:rsidRDefault="0071027C" w:rsidP="0071027C">
      <w:pPr>
        <w:pStyle w:val="Heading3"/>
        <w:spacing w:before="120" w:after="120"/>
      </w:pPr>
      <w:bookmarkStart w:id="422" w:name="_Toc378258173"/>
      <w:bookmarkStart w:id="423" w:name="_Toc382214036"/>
      <w:r w:rsidRPr="00EE505A">
        <w:t xml:space="preserve">7.4.1 Care of HIV infected </w:t>
      </w:r>
      <w:r>
        <w:t>c</w:t>
      </w:r>
      <w:r w:rsidRPr="00EE505A">
        <w:t>hildren</w:t>
      </w:r>
      <w:bookmarkEnd w:id="422"/>
      <w:bookmarkEnd w:id="423"/>
    </w:p>
    <w:p w:rsidR="0071027C" w:rsidRPr="0051683D" w:rsidRDefault="0071027C" w:rsidP="00274941">
      <w:pPr>
        <w:pStyle w:val="ListParagraph"/>
        <w:numPr>
          <w:ilvl w:val="0"/>
          <w:numId w:val="43"/>
        </w:numPr>
        <w:contextualSpacing w:val="0"/>
        <w:jc w:val="both"/>
        <w:rPr>
          <w:rFonts w:ascii="Arial" w:hAnsi="Arial" w:cs="Arial"/>
          <w:sz w:val="22"/>
          <w:szCs w:val="22"/>
        </w:rPr>
      </w:pPr>
      <w:r w:rsidRPr="0051683D">
        <w:rPr>
          <w:rFonts w:ascii="Arial" w:hAnsi="Arial" w:cs="Arial"/>
          <w:sz w:val="22"/>
          <w:szCs w:val="22"/>
        </w:rPr>
        <w:t>All children should be assessed for symptoms related to HIV as well as the need for treatment and prophylaxis for opportunistic infections and other HIV related conditions.</w:t>
      </w:r>
    </w:p>
    <w:p w:rsidR="0071027C" w:rsidRPr="0051683D" w:rsidRDefault="0071027C" w:rsidP="00274941">
      <w:pPr>
        <w:pStyle w:val="ListParagraph"/>
        <w:numPr>
          <w:ilvl w:val="0"/>
          <w:numId w:val="43"/>
        </w:numPr>
        <w:contextualSpacing w:val="0"/>
        <w:jc w:val="both"/>
        <w:rPr>
          <w:rFonts w:ascii="Arial" w:hAnsi="Arial" w:cs="Arial"/>
          <w:sz w:val="22"/>
          <w:szCs w:val="22"/>
        </w:rPr>
      </w:pPr>
      <w:r w:rsidRPr="0051683D">
        <w:rPr>
          <w:rFonts w:ascii="Arial" w:hAnsi="Arial" w:cs="Arial"/>
          <w:sz w:val="22"/>
          <w:szCs w:val="22"/>
        </w:rPr>
        <w:t>Baseline laboratory tests should be performed to establish viral and immunological status whenever possible.</w:t>
      </w:r>
    </w:p>
    <w:p w:rsidR="0071027C" w:rsidRPr="0051683D" w:rsidRDefault="0071027C" w:rsidP="00274941">
      <w:pPr>
        <w:pStyle w:val="ListParagraph"/>
        <w:numPr>
          <w:ilvl w:val="0"/>
          <w:numId w:val="43"/>
        </w:numPr>
        <w:contextualSpacing w:val="0"/>
        <w:jc w:val="both"/>
        <w:rPr>
          <w:rFonts w:ascii="Arial" w:hAnsi="Arial" w:cs="Arial"/>
          <w:sz w:val="22"/>
          <w:szCs w:val="22"/>
        </w:rPr>
      </w:pPr>
      <w:r w:rsidRPr="0051683D">
        <w:rPr>
          <w:rFonts w:ascii="Arial" w:hAnsi="Arial" w:cs="Arial"/>
          <w:sz w:val="22"/>
          <w:szCs w:val="22"/>
        </w:rPr>
        <w:t>A complete medical and immunization history should be obtained, with particular emphasis on the suspected mode of HIV transmission, history of ARV exposure (pre-, intra-, post-partum, and during breastfeeding) and timing of HIV diagnosis. HIV-infected children should receive routine paediatric care and be monitored for their HIV disease progression. Children should be seen monthly.</w:t>
      </w:r>
    </w:p>
    <w:p w:rsidR="0071027C" w:rsidRPr="0051683D" w:rsidRDefault="0071027C" w:rsidP="00274941">
      <w:pPr>
        <w:pStyle w:val="ListParagraph"/>
        <w:numPr>
          <w:ilvl w:val="0"/>
          <w:numId w:val="43"/>
        </w:numPr>
        <w:contextualSpacing w:val="0"/>
        <w:jc w:val="both"/>
        <w:rPr>
          <w:rFonts w:ascii="Arial" w:hAnsi="Arial" w:cs="Arial"/>
          <w:sz w:val="22"/>
          <w:szCs w:val="22"/>
        </w:rPr>
      </w:pPr>
      <w:r w:rsidRPr="0051683D">
        <w:rPr>
          <w:rFonts w:ascii="Arial" w:hAnsi="Arial" w:cs="Arial"/>
          <w:sz w:val="22"/>
          <w:szCs w:val="22"/>
        </w:rPr>
        <w:t xml:space="preserve"> At each visit, a complete physical examination should be done paying particular attention to signs commonly associated with HIV infection (e.g. adenopathy, hepatomegaly and splenomegaly). </w:t>
      </w:r>
    </w:p>
    <w:p w:rsidR="0071027C" w:rsidRPr="0051683D" w:rsidRDefault="0071027C" w:rsidP="00274941">
      <w:pPr>
        <w:pStyle w:val="ListParagraph"/>
        <w:numPr>
          <w:ilvl w:val="0"/>
          <w:numId w:val="43"/>
        </w:numPr>
        <w:contextualSpacing w:val="0"/>
        <w:jc w:val="both"/>
        <w:rPr>
          <w:rFonts w:ascii="Arial" w:hAnsi="Arial" w:cs="Arial"/>
          <w:sz w:val="22"/>
          <w:szCs w:val="22"/>
        </w:rPr>
      </w:pPr>
      <w:r w:rsidRPr="0051683D">
        <w:rPr>
          <w:rFonts w:ascii="Arial" w:hAnsi="Arial" w:cs="Arial"/>
          <w:sz w:val="22"/>
          <w:szCs w:val="22"/>
        </w:rPr>
        <w:t>Visits should also focus on assesment and management of intercurrent illness as well as assessment for development of new WHO  stage 3 or 4 clinical conditions, which may indicate treatment failure</w:t>
      </w:r>
    </w:p>
    <w:p w:rsidR="0071027C" w:rsidRPr="0051683D" w:rsidRDefault="0071027C" w:rsidP="00274941">
      <w:pPr>
        <w:pStyle w:val="ListParagraph"/>
        <w:numPr>
          <w:ilvl w:val="0"/>
          <w:numId w:val="43"/>
        </w:numPr>
        <w:contextualSpacing w:val="0"/>
        <w:jc w:val="both"/>
        <w:rPr>
          <w:rFonts w:ascii="Arial" w:hAnsi="Arial" w:cs="Arial"/>
          <w:sz w:val="22"/>
          <w:szCs w:val="22"/>
        </w:rPr>
      </w:pPr>
      <w:r w:rsidRPr="0051683D">
        <w:rPr>
          <w:rFonts w:ascii="Arial" w:hAnsi="Arial" w:cs="Arial"/>
          <w:sz w:val="22"/>
          <w:szCs w:val="22"/>
        </w:rPr>
        <w:t xml:space="preserve">Nutrition, growthand neuro development assessment should be done and charted at all stages of development right through adolescence. </w:t>
      </w:r>
    </w:p>
    <w:p w:rsidR="0071027C" w:rsidRPr="0051683D" w:rsidRDefault="0071027C" w:rsidP="00274941">
      <w:pPr>
        <w:pStyle w:val="ListParagraph"/>
        <w:numPr>
          <w:ilvl w:val="0"/>
          <w:numId w:val="43"/>
        </w:numPr>
        <w:contextualSpacing w:val="0"/>
        <w:jc w:val="both"/>
        <w:rPr>
          <w:rFonts w:ascii="Arial" w:hAnsi="Arial" w:cs="Arial"/>
          <w:sz w:val="22"/>
          <w:szCs w:val="22"/>
        </w:rPr>
      </w:pPr>
      <w:r w:rsidRPr="0051683D">
        <w:rPr>
          <w:rFonts w:ascii="Arial" w:hAnsi="Arial" w:cs="Arial"/>
          <w:sz w:val="22"/>
          <w:szCs w:val="22"/>
        </w:rPr>
        <w:t xml:space="preserve">Doses of prophylactic or treatment medications should be adjusted on the basis of growth and compliance and tolerability should be assessed at every visit. </w:t>
      </w:r>
    </w:p>
    <w:p w:rsidR="0071027C" w:rsidRPr="0051683D" w:rsidRDefault="0071027C" w:rsidP="00274941">
      <w:pPr>
        <w:pStyle w:val="ListParagraph"/>
        <w:numPr>
          <w:ilvl w:val="0"/>
          <w:numId w:val="43"/>
        </w:numPr>
        <w:contextualSpacing w:val="0"/>
        <w:jc w:val="both"/>
        <w:rPr>
          <w:rFonts w:ascii="Arial" w:hAnsi="Arial" w:cs="Arial"/>
          <w:sz w:val="22"/>
          <w:szCs w:val="22"/>
        </w:rPr>
      </w:pPr>
      <w:r w:rsidRPr="0051683D">
        <w:rPr>
          <w:rFonts w:ascii="Arial" w:hAnsi="Arial" w:cs="Arial"/>
          <w:sz w:val="22"/>
          <w:szCs w:val="22"/>
        </w:rPr>
        <w:t xml:space="preserve">Medication plans (OI prophylaxis and ARV therapy) need to be discussed intensively with parents or guardians. It is advisable that one single person in the household is identified as the consistent care provider responsible for dispensing treatment to the child. </w:t>
      </w:r>
    </w:p>
    <w:p w:rsidR="0071027C" w:rsidRPr="0051683D" w:rsidRDefault="0071027C" w:rsidP="00274941">
      <w:pPr>
        <w:pStyle w:val="ListParagraph"/>
        <w:numPr>
          <w:ilvl w:val="0"/>
          <w:numId w:val="43"/>
        </w:numPr>
        <w:contextualSpacing w:val="0"/>
        <w:jc w:val="both"/>
        <w:rPr>
          <w:rFonts w:ascii="Arial" w:hAnsi="Arial" w:cs="Arial"/>
          <w:sz w:val="22"/>
          <w:szCs w:val="22"/>
        </w:rPr>
      </w:pPr>
      <w:r w:rsidRPr="0051683D">
        <w:rPr>
          <w:rFonts w:ascii="Arial" w:hAnsi="Arial" w:cs="Arial"/>
          <w:sz w:val="22"/>
          <w:szCs w:val="22"/>
        </w:rPr>
        <w:t>HIV related care needs of parents or guardians themselves need to be discussed and appropriate referrals made accordingly.</w:t>
      </w:r>
    </w:p>
    <w:p w:rsidR="0071027C" w:rsidRPr="0051683D" w:rsidRDefault="0071027C" w:rsidP="00274941">
      <w:pPr>
        <w:pStyle w:val="ListParagraph"/>
        <w:numPr>
          <w:ilvl w:val="0"/>
          <w:numId w:val="43"/>
        </w:numPr>
        <w:contextualSpacing w:val="0"/>
        <w:jc w:val="both"/>
        <w:rPr>
          <w:rFonts w:ascii="Arial" w:hAnsi="Arial" w:cs="Arial"/>
          <w:sz w:val="22"/>
          <w:szCs w:val="22"/>
        </w:rPr>
      </w:pPr>
      <w:r w:rsidRPr="0051683D">
        <w:rPr>
          <w:rFonts w:ascii="Arial" w:hAnsi="Arial" w:cs="Arial"/>
          <w:sz w:val="22"/>
          <w:szCs w:val="22"/>
        </w:rPr>
        <w:t xml:space="preserve">Children exposed to ARVs should be closely monitored at every visit for signs of toxicity (i.e. clinical or laboratory indications) and adverse events should be properly documented and reported to the Ministry of Health and Social Welfare. </w:t>
      </w:r>
    </w:p>
    <w:p w:rsidR="0071027C" w:rsidRPr="0051683D" w:rsidRDefault="0071027C" w:rsidP="00274941">
      <w:pPr>
        <w:pStyle w:val="ListParagraph"/>
        <w:numPr>
          <w:ilvl w:val="0"/>
          <w:numId w:val="43"/>
        </w:numPr>
        <w:contextualSpacing w:val="0"/>
        <w:jc w:val="both"/>
        <w:rPr>
          <w:rFonts w:ascii="Arial" w:hAnsi="Arial" w:cs="Arial"/>
          <w:sz w:val="22"/>
          <w:szCs w:val="22"/>
        </w:rPr>
      </w:pPr>
      <w:r w:rsidRPr="0051683D">
        <w:rPr>
          <w:rFonts w:ascii="Arial" w:hAnsi="Arial" w:cs="Arial"/>
          <w:sz w:val="22"/>
          <w:szCs w:val="22"/>
        </w:rPr>
        <w:t>Counselling and psychosocial support should include the children and be provided in an age appropriate fashion</w:t>
      </w:r>
    </w:p>
    <w:p w:rsidR="0071027C" w:rsidRPr="00EE505A" w:rsidRDefault="0071027C" w:rsidP="0071027C">
      <w:pPr>
        <w:pStyle w:val="Heading3"/>
        <w:spacing w:before="120" w:after="120"/>
      </w:pPr>
      <w:bookmarkStart w:id="424" w:name="_Toc378258174"/>
      <w:bookmarkStart w:id="425" w:name="_Toc382214037"/>
      <w:r w:rsidRPr="00EE505A">
        <w:t>7.4.2 Management of infants born to HIV positive women</w:t>
      </w:r>
      <w:bookmarkEnd w:id="424"/>
      <w:bookmarkEnd w:id="425"/>
    </w:p>
    <w:p w:rsidR="0071027C" w:rsidRPr="0051683D" w:rsidRDefault="0071027C" w:rsidP="0051683D">
      <w:pPr>
        <w:spacing w:before="120" w:after="120" w:line="240" w:lineRule="auto"/>
        <w:jc w:val="both"/>
        <w:rPr>
          <w:rFonts w:ascii="Arial" w:hAnsi="Arial" w:cs="Arial"/>
        </w:rPr>
      </w:pPr>
      <w:r w:rsidRPr="0051683D">
        <w:rPr>
          <w:rFonts w:ascii="Arial" w:hAnsi="Arial" w:cs="Arial"/>
        </w:rPr>
        <w:t>The HIV-exposure status of all infants attending RCH services should routinely be established and documented. The counseling of parents on the care of infants born to HIV positive mothers is an essential component of the management of HIV exposed children. Management strategies include:</w:t>
      </w:r>
    </w:p>
    <w:p w:rsidR="0071027C" w:rsidRPr="0051683D" w:rsidRDefault="0071027C" w:rsidP="00274941">
      <w:pPr>
        <w:pStyle w:val="ListParagraph"/>
        <w:numPr>
          <w:ilvl w:val="0"/>
          <w:numId w:val="48"/>
        </w:numPr>
        <w:spacing w:before="120" w:after="120"/>
        <w:jc w:val="both"/>
        <w:rPr>
          <w:rFonts w:ascii="Arial" w:hAnsi="Arial" w:cs="Arial"/>
          <w:sz w:val="22"/>
          <w:szCs w:val="22"/>
        </w:rPr>
      </w:pPr>
      <w:r w:rsidRPr="0051683D">
        <w:rPr>
          <w:rFonts w:ascii="Arial" w:hAnsi="Arial" w:cs="Arial"/>
          <w:sz w:val="22"/>
          <w:szCs w:val="22"/>
        </w:rPr>
        <w:t>HIV diagnostic testing for the child</w:t>
      </w:r>
    </w:p>
    <w:p w:rsidR="0071027C" w:rsidRPr="0051683D" w:rsidRDefault="0071027C" w:rsidP="00274941">
      <w:pPr>
        <w:pStyle w:val="ListParagraph"/>
        <w:numPr>
          <w:ilvl w:val="0"/>
          <w:numId w:val="48"/>
        </w:numPr>
        <w:spacing w:before="120" w:after="120"/>
        <w:jc w:val="both"/>
        <w:rPr>
          <w:rFonts w:ascii="Arial" w:hAnsi="Arial" w:cs="Arial"/>
          <w:sz w:val="22"/>
          <w:szCs w:val="22"/>
        </w:rPr>
      </w:pPr>
      <w:r w:rsidRPr="0051683D">
        <w:rPr>
          <w:rFonts w:ascii="Arial" w:hAnsi="Arial" w:cs="Arial"/>
          <w:sz w:val="22"/>
          <w:szCs w:val="22"/>
        </w:rPr>
        <w:t>Scheduled clinic visits for care</w:t>
      </w:r>
    </w:p>
    <w:p w:rsidR="0071027C" w:rsidRPr="0051683D" w:rsidRDefault="0071027C" w:rsidP="00274941">
      <w:pPr>
        <w:pStyle w:val="BodyText"/>
        <w:numPr>
          <w:ilvl w:val="0"/>
          <w:numId w:val="48"/>
        </w:numPr>
        <w:spacing w:before="120" w:after="120"/>
        <w:jc w:val="both"/>
        <w:rPr>
          <w:rFonts w:ascii="Arial" w:hAnsi="Arial" w:cs="Arial"/>
          <w:b w:val="0"/>
          <w:sz w:val="22"/>
          <w:szCs w:val="22"/>
        </w:rPr>
      </w:pPr>
      <w:r w:rsidRPr="0051683D">
        <w:rPr>
          <w:rFonts w:ascii="Arial" w:hAnsi="Arial" w:cs="Arial"/>
          <w:b w:val="0"/>
          <w:sz w:val="22"/>
          <w:szCs w:val="22"/>
        </w:rPr>
        <w:t xml:space="preserve">Chemoprophylaxis with cotrimoxazole, a fixed dose combination of trimethoprim/sulfamethoxazole (TMP/SMX) even if HIV status is unconfirmed </w:t>
      </w:r>
    </w:p>
    <w:p w:rsidR="0071027C" w:rsidRPr="0051683D" w:rsidRDefault="0071027C" w:rsidP="00274941">
      <w:pPr>
        <w:pStyle w:val="BodyText"/>
        <w:numPr>
          <w:ilvl w:val="0"/>
          <w:numId w:val="48"/>
        </w:numPr>
        <w:spacing w:before="120" w:after="120"/>
        <w:jc w:val="both"/>
        <w:rPr>
          <w:rFonts w:ascii="Arial" w:hAnsi="Arial" w:cs="Arial"/>
          <w:b w:val="0"/>
          <w:sz w:val="22"/>
          <w:szCs w:val="22"/>
        </w:rPr>
      </w:pPr>
      <w:r w:rsidRPr="0051683D">
        <w:rPr>
          <w:rFonts w:ascii="Arial" w:hAnsi="Arial" w:cs="Arial"/>
          <w:b w:val="0"/>
          <w:sz w:val="22"/>
          <w:szCs w:val="22"/>
        </w:rPr>
        <w:t>Infants of HIV infected mothers should receive prophylactic treatment against PCP and other opportunistic infections using TMP-SMX from 4-6 weeks of age (or at first encounter with the health care system</w:t>
      </w:r>
      <w:r w:rsidRPr="0051683D">
        <w:rPr>
          <w:rFonts w:ascii="Arial" w:hAnsi="Arial" w:cs="Arial"/>
          <w:b w:val="0"/>
          <w:bCs/>
          <w:sz w:val="22"/>
          <w:szCs w:val="22"/>
        </w:rPr>
        <w:t xml:space="preserve"> if),</w:t>
      </w:r>
      <w:r w:rsidRPr="0051683D">
        <w:rPr>
          <w:rFonts w:ascii="Arial" w:hAnsi="Arial" w:cs="Arial"/>
          <w:b w:val="0"/>
          <w:sz w:val="22"/>
          <w:szCs w:val="22"/>
        </w:rPr>
        <w:t xml:space="preserve"> and continued until HIV infection is excluded (6 weeks after cessation of breastfeeding). This should be given orally as per required dosing (see annex 5 paediatric dosing chart).</w:t>
      </w:r>
    </w:p>
    <w:p w:rsidR="0071027C" w:rsidRPr="0051683D" w:rsidRDefault="0071027C" w:rsidP="00274941">
      <w:pPr>
        <w:pStyle w:val="ListParagraph"/>
        <w:numPr>
          <w:ilvl w:val="0"/>
          <w:numId w:val="48"/>
        </w:numPr>
        <w:spacing w:before="120" w:after="120"/>
        <w:jc w:val="both"/>
        <w:rPr>
          <w:rFonts w:ascii="Arial" w:hAnsi="Arial" w:cs="Arial"/>
          <w:sz w:val="22"/>
          <w:szCs w:val="22"/>
        </w:rPr>
      </w:pPr>
      <w:r w:rsidRPr="0051683D">
        <w:rPr>
          <w:rFonts w:ascii="Arial" w:hAnsi="Arial" w:cs="Arial"/>
          <w:sz w:val="22"/>
          <w:szCs w:val="22"/>
        </w:rPr>
        <w:t xml:space="preserve">Mothers should be counseled on the advantages of exclusive breastfeeding, with particular attention to the risk of mixed feeding (refer to the </w:t>
      </w:r>
      <w:r w:rsidRPr="0051683D">
        <w:rPr>
          <w:rFonts w:ascii="Arial" w:hAnsi="Arial" w:cs="Arial"/>
          <w:i/>
          <w:sz w:val="22"/>
          <w:szCs w:val="22"/>
        </w:rPr>
        <w:t xml:space="preserve">‘Infant Feeding Guidelines in HIV and AIDS’ </w:t>
      </w:r>
      <w:r w:rsidRPr="0051683D">
        <w:rPr>
          <w:rFonts w:ascii="Arial" w:hAnsi="Arial" w:cs="Arial"/>
          <w:sz w:val="22"/>
          <w:szCs w:val="22"/>
        </w:rPr>
        <w:t xml:space="preserve">provided in the PMTCT guidelines).  Infants should exclusively breastfeed for the first six months of life and then continue breastfeeding until 1 year. At six months of life, infants can begin taking complementary food. </w:t>
      </w:r>
    </w:p>
    <w:p w:rsidR="0071027C" w:rsidRPr="0051683D" w:rsidRDefault="0071027C" w:rsidP="00274941">
      <w:pPr>
        <w:pStyle w:val="ListParagraph"/>
        <w:numPr>
          <w:ilvl w:val="0"/>
          <w:numId w:val="48"/>
        </w:numPr>
        <w:spacing w:before="120" w:after="120"/>
        <w:jc w:val="both"/>
        <w:rPr>
          <w:rFonts w:ascii="Arial" w:hAnsi="Arial" w:cs="Arial"/>
          <w:sz w:val="22"/>
          <w:szCs w:val="22"/>
        </w:rPr>
      </w:pPr>
      <w:r w:rsidRPr="0051683D">
        <w:rPr>
          <w:rFonts w:ascii="Arial" w:hAnsi="Arial" w:cs="Arial"/>
          <w:sz w:val="22"/>
          <w:szCs w:val="22"/>
        </w:rPr>
        <w:t>Care for the mother of HIV-exposed children during follow up should always be addressed. These HIV infected mothers should receive appropriate care and treatment including psychosocial support through counseling.</w:t>
      </w:r>
    </w:p>
    <w:p w:rsidR="0071027C" w:rsidRDefault="0071027C" w:rsidP="0071027C">
      <w:pPr>
        <w:pStyle w:val="Heading2"/>
        <w:spacing w:before="120" w:after="120"/>
      </w:pPr>
      <w:bookmarkStart w:id="426" w:name="_Toc373768033"/>
    </w:p>
    <w:p w:rsidR="0071027C" w:rsidRPr="00EE505A" w:rsidRDefault="0071027C" w:rsidP="0071027C">
      <w:pPr>
        <w:pStyle w:val="Heading2"/>
        <w:spacing w:before="120" w:after="120"/>
      </w:pPr>
      <w:bookmarkStart w:id="427" w:name="_Toc378258175"/>
      <w:bookmarkStart w:id="428" w:name="_Toc382214038"/>
      <w:r w:rsidRPr="00EE505A">
        <w:t>7.5</w:t>
      </w:r>
      <w:r w:rsidRPr="00EE505A">
        <w:tab/>
        <w:t>Clinical Manifestations of Pediatric HIV infection</w:t>
      </w:r>
      <w:bookmarkEnd w:id="426"/>
      <w:bookmarkEnd w:id="427"/>
      <w:bookmarkEnd w:id="428"/>
    </w:p>
    <w:p w:rsidR="0071027C" w:rsidRPr="006D4B79" w:rsidRDefault="0071027C" w:rsidP="0071027C">
      <w:pPr>
        <w:pStyle w:val="Heading3"/>
        <w:spacing w:before="120" w:after="120"/>
      </w:pPr>
      <w:bookmarkStart w:id="429" w:name="_Toc373768034"/>
      <w:bookmarkStart w:id="430" w:name="_Toc378258176"/>
      <w:bookmarkStart w:id="431" w:name="_Toc382214039"/>
      <w:r w:rsidRPr="006D4B79">
        <w:t>7.</w:t>
      </w:r>
      <w:r>
        <w:t>5</w:t>
      </w:r>
      <w:r w:rsidRPr="006D4B79">
        <w:t>.1</w:t>
      </w:r>
      <w:r w:rsidRPr="006D4B79">
        <w:tab/>
        <w:t>Respiratory conditions in children with HIV infection</w:t>
      </w:r>
      <w:bookmarkEnd w:id="429"/>
      <w:bookmarkEnd w:id="430"/>
      <w:bookmarkEnd w:id="431"/>
    </w:p>
    <w:p w:rsidR="0071027C" w:rsidRPr="0051683D" w:rsidRDefault="0071027C" w:rsidP="0051683D">
      <w:pPr>
        <w:spacing w:before="120" w:after="120" w:line="240" w:lineRule="auto"/>
        <w:jc w:val="both"/>
        <w:rPr>
          <w:rFonts w:ascii="Arial" w:hAnsi="Arial" w:cs="Arial"/>
        </w:rPr>
      </w:pPr>
      <w:r w:rsidRPr="0051683D">
        <w:rPr>
          <w:rFonts w:ascii="Arial" w:hAnsi="Arial" w:cs="Arial"/>
        </w:rPr>
        <w:t>Pneumonia and chronic lung diseases contribute to the increased morbidity and mortality of HIV-infected children. The different pulmonary conditions are difficult to differentiate from each other but are common in immune suppressed children. The most common respiratory conditions include:</w:t>
      </w:r>
    </w:p>
    <w:p w:rsidR="0071027C" w:rsidRPr="00F15691" w:rsidRDefault="0071027C" w:rsidP="0071027C">
      <w:pPr>
        <w:pStyle w:val="Heading4"/>
      </w:pPr>
      <w:bookmarkStart w:id="432" w:name="_Toc373768035"/>
      <w:bookmarkStart w:id="433" w:name="_Toc378258177"/>
      <w:r w:rsidRPr="00F15691">
        <w:t>7.5</w:t>
      </w:r>
      <w:r w:rsidR="0051683D">
        <w:t>.1.1</w:t>
      </w:r>
      <w:r w:rsidRPr="00F15691">
        <w:t xml:space="preserve"> Bacterial pneumonia</w:t>
      </w:r>
      <w:bookmarkEnd w:id="432"/>
      <w:bookmarkEnd w:id="433"/>
    </w:p>
    <w:p w:rsidR="0071027C" w:rsidRPr="0051683D" w:rsidRDefault="0071027C" w:rsidP="0071027C">
      <w:pPr>
        <w:spacing w:before="120" w:after="120" w:line="240" w:lineRule="auto"/>
        <w:jc w:val="both"/>
        <w:rPr>
          <w:rFonts w:ascii="Arial" w:hAnsi="Arial" w:cs="Arial"/>
        </w:rPr>
      </w:pPr>
      <w:r w:rsidRPr="0051683D">
        <w:rPr>
          <w:rFonts w:ascii="Arial" w:hAnsi="Arial" w:cs="Arial"/>
        </w:rPr>
        <w:t xml:space="preserve">The common causes of pneumonia include </w:t>
      </w:r>
      <w:r w:rsidRPr="0051683D">
        <w:rPr>
          <w:rFonts w:ascii="Arial" w:hAnsi="Arial" w:cs="Arial"/>
          <w:i/>
        </w:rPr>
        <w:t>Streptococcus pneumoniae</w:t>
      </w:r>
      <w:r w:rsidRPr="0051683D">
        <w:rPr>
          <w:rFonts w:ascii="Arial" w:hAnsi="Arial" w:cs="Arial"/>
        </w:rPr>
        <w:t xml:space="preserve">, </w:t>
      </w:r>
      <w:r w:rsidRPr="0051683D">
        <w:rPr>
          <w:rFonts w:ascii="Arial" w:hAnsi="Arial" w:cs="Arial"/>
          <w:i/>
        </w:rPr>
        <w:t>Haemophilus influenzae</w:t>
      </w:r>
      <w:r w:rsidRPr="0051683D">
        <w:rPr>
          <w:rFonts w:ascii="Arial" w:hAnsi="Arial" w:cs="Arial"/>
        </w:rPr>
        <w:t xml:space="preserve">, </w:t>
      </w:r>
      <w:r w:rsidRPr="0051683D">
        <w:rPr>
          <w:rFonts w:ascii="Arial" w:hAnsi="Arial" w:cs="Arial"/>
          <w:i/>
        </w:rPr>
        <w:t>Staphylococcus aureus</w:t>
      </w:r>
      <w:r w:rsidRPr="0051683D">
        <w:rPr>
          <w:rFonts w:ascii="Arial" w:hAnsi="Arial" w:cs="Arial"/>
        </w:rPr>
        <w:t xml:space="preserve">, and gram negative bacteria such as </w:t>
      </w:r>
      <w:r w:rsidRPr="0051683D">
        <w:rPr>
          <w:rFonts w:ascii="Arial" w:hAnsi="Arial" w:cs="Arial"/>
          <w:i/>
        </w:rPr>
        <w:t>Klebsiella pneumonia.</w:t>
      </w:r>
      <w:r w:rsidRPr="0051683D">
        <w:rPr>
          <w:rFonts w:ascii="Arial" w:hAnsi="Arial" w:cs="Arial"/>
        </w:rPr>
        <w:t xml:space="preserve"> Recurrent bacterial pneumonia suggests immunodeficiency. Further investigations should be done to exclude TB, LIP, and fungal infections.</w:t>
      </w:r>
    </w:p>
    <w:p w:rsidR="0071027C" w:rsidRPr="0051683D" w:rsidRDefault="0071027C" w:rsidP="0071027C">
      <w:pPr>
        <w:spacing w:before="120" w:after="120" w:line="240" w:lineRule="auto"/>
        <w:jc w:val="both"/>
        <w:rPr>
          <w:rFonts w:ascii="Arial" w:hAnsi="Arial" w:cs="Arial"/>
          <w:b/>
        </w:rPr>
      </w:pPr>
      <w:r w:rsidRPr="0051683D">
        <w:rPr>
          <w:rFonts w:ascii="Arial" w:hAnsi="Arial" w:cs="Arial"/>
          <w:b/>
        </w:rPr>
        <w:t xml:space="preserve">Clinical Presentation </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History of fever, cough and fast breathing (tachypnoea)</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With or without signs of severe pneumonia (chest indrawing, cyanosis and lethargy).</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 xml:space="preserve">On auscultation of the chest one hears unilateral or bilateral crepitations (crackles), decreased breath sounds or bronchial breathing </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When pulse oximetry is available it may demonstrate hypoxia (0</w:t>
      </w:r>
      <w:r w:rsidRPr="0051683D">
        <w:rPr>
          <w:rFonts w:ascii="Arial" w:hAnsi="Arial" w:cs="Arial"/>
          <w:sz w:val="22"/>
          <w:szCs w:val="22"/>
          <w:vertAlign w:val="subscript"/>
        </w:rPr>
        <w:t>2</w:t>
      </w:r>
      <w:r w:rsidRPr="0051683D">
        <w:rPr>
          <w:rFonts w:ascii="Arial" w:hAnsi="Arial" w:cs="Arial"/>
          <w:sz w:val="22"/>
          <w:szCs w:val="22"/>
        </w:rPr>
        <w:t xml:space="preserve"> saturation less than 95%).</w:t>
      </w:r>
    </w:p>
    <w:p w:rsidR="0071027C" w:rsidRPr="0051683D" w:rsidRDefault="0071027C" w:rsidP="0071027C">
      <w:pPr>
        <w:spacing w:before="120" w:after="120" w:line="240" w:lineRule="auto"/>
        <w:jc w:val="both"/>
        <w:rPr>
          <w:rFonts w:ascii="Arial" w:hAnsi="Arial" w:cs="Arial"/>
          <w:b/>
        </w:rPr>
      </w:pPr>
      <w:r w:rsidRPr="0051683D">
        <w:rPr>
          <w:rFonts w:ascii="Arial" w:hAnsi="Arial" w:cs="Arial"/>
          <w:b/>
        </w:rPr>
        <w:t>Diagnosis</w:t>
      </w:r>
    </w:p>
    <w:p w:rsidR="0071027C" w:rsidRPr="0051683D" w:rsidRDefault="0071027C" w:rsidP="0071027C">
      <w:pPr>
        <w:spacing w:before="120" w:after="120" w:line="240" w:lineRule="auto"/>
        <w:jc w:val="both"/>
        <w:rPr>
          <w:rFonts w:ascii="Arial" w:hAnsi="Arial" w:cs="Arial"/>
        </w:rPr>
      </w:pPr>
      <w:r w:rsidRPr="0051683D">
        <w:rPr>
          <w:rFonts w:ascii="Arial" w:hAnsi="Arial" w:cs="Arial"/>
        </w:rPr>
        <w:t>Diagnosis of pneumonia is mainly made by medical history and physical examination. Other laboratory investigations may be of   assistance:</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Complete blood counts; raised white blood cells (WBC) with a neutrophilia suggest bacterial pneumonia.</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A chest x-ray is not necessary for diagnosis of acute pneumonia but may be useful in ruling out complications or other pulmonary conditions.</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 xml:space="preserve">Because symptoms of pneumonia and malaria may overlap, in malaria endemic areas remember to do a malarial smear and treat for malaria if indicated. </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Where blood cultures can be done they may assist in identifying the causative agent</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Sputum induction and nasopharyngeal aspirate may assist in the diagnosis of TB or PCP.</w:t>
      </w:r>
    </w:p>
    <w:p w:rsidR="0071027C" w:rsidRPr="0051683D" w:rsidRDefault="0071027C" w:rsidP="0071027C">
      <w:pPr>
        <w:spacing w:before="120" w:after="120" w:line="240" w:lineRule="auto"/>
        <w:jc w:val="both"/>
        <w:rPr>
          <w:rFonts w:ascii="Arial" w:hAnsi="Arial" w:cs="Arial"/>
          <w:b/>
        </w:rPr>
      </w:pPr>
      <w:r w:rsidRPr="0051683D">
        <w:rPr>
          <w:rFonts w:ascii="Arial" w:hAnsi="Arial" w:cs="Arial"/>
          <w:b/>
        </w:rPr>
        <w:t>Management at outpatient level</w:t>
      </w:r>
    </w:p>
    <w:p w:rsidR="0071027C" w:rsidRPr="0051683D" w:rsidRDefault="0071027C" w:rsidP="0071027C">
      <w:pPr>
        <w:spacing w:before="120" w:after="120" w:line="240" w:lineRule="auto"/>
        <w:jc w:val="both"/>
        <w:rPr>
          <w:rFonts w:ascii="Arial" w:hAnsi="Arial" w:cs="Arial"/>
        </w:rPr>
      </w:pPr>
      <w:r w:rsidRPr="0051683D">
        <w:rPr>
          <w:rFonts w:ascii="Arial" w:hAnsi="Arial" w:cs="Arial"/>
        </w:rPr>
        <w:t>Management should follow national/ IMCI guidelines but include the following:</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Oral amoxicillin 40mg/kg/dose BD for 7 days.</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If a child is taking cotrimoxazole prophylaxis (CPT), cotrimoxazole should not be used to treat pneumonia unless PCP is suspected. If PCP is suspected then high dose cotrimoxazole should be used.</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 xml:space="preserve">If the child is under one year of age the risk of PCP is very high and the child should be treated with high dose cotrimoxazole in addition to standard antibiotic management. </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Give paracetamol for fever.</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Cough syrups have no added value and are not indicated</w:t>
      </w:r>
    </w:p>
    <w:p w:rsidR="0071027C" w:rsidRPr="0051683D" w:rsidRDefault="0071027C" w:rsidP="0071027C">
      <w:pPr>
        <w:spacing w:before="120" w:after="120" w:line="240" w:lineRule="auto"/>
        <w:jc w:val="both"/>
        <w:rPr>
          <w:rFonts w:ascii="Arial" w:hAnsi="Arial" w:cs="Arial"/>
          <w:b/>
        </w:rPr>
      </w:pPr>
      <w:r w:rsidRPr="0051683D">
        <w:rPr>
          <w:rFonts w:ascii="Arial" w:hAnsi="Arial" w:cs="Arial"/>
          <w:b/>
        </w:rPr>
        <w:t xml:space="preserve">Management of severe pneumonia </w:t>
      </w:r>
    </w:p>
    <w:p w:rsidR="0071027C" w:rsidRPr="0051683D" w:rsidRDefault="0071027C" w:rsidP="0071027C">
      <w:pPr>
        <w:spacing w:before="120" w:after="120" w:line="240" w:lineRule="auto"/>
        <w:jc w:val="both"/>
        <w:rPr>
          <w:rFonts w:ascii="Arial" w:hAnsi="Arial" w:cs="Arial"/>
        </w:rPr>
      </w:pPr>
      <w:r w:rsidRPr="0051683D">
        <w:rPr>
          <w:rFonts w:ascii="Arial" w:hAnsi="Arial" w:cs="Arial"/>
        </w:rPr>
        <w:t>Severe pneumonia should be managed in hospital and should include both supportive and specific therapy.</w:t>
      </w:r>
    </w:p>
    <w:p w:rsidR="0071027C" w:rsidRPr="0051683D" w:rsidRDefault="0071027C" w:rsidP="0071027C">
      <w:pPr>
        <w:spacing w:before="120" w:after="120" w:line="240" w:lineRule="auto"/>
        <w:jc w:val="both"/>
        <w:rPr>
          <w:rFonts w:ascii="Arial" w:hAnsi="Arial" w:cs="Arial"/>
        </w:rPr>
      </w:pPr>
      <w:r w:rsidRPr="0051683D">
        <w:rPr>
          <w:rFonts w:ascii="Arial" w:hAnsi="Arial" w:cs="Arial"/>
          <w:b/>
        </w:rPr>
        <w:t>Supportive Care</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 xml:space="preserve">Pulse oximetry is critical for the assessment of 02 saturation and if below 90%, oxygen should be supplemented. If pulse oximetry is not available, children presenting with chest indrawing, cyanosis or hypoxia need supplemental oxygen.  </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 xml:space="preserve">Ensure adequate hydration (either IV or oral depending on the severity) and monitor for signs of de- or over hydration   </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Remember to give paracetamol for fever and pain.</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Ensure adequate feeding, if necessary by naso-gastric tube</w:t>
      </w:r>
    </w:p>
    <w:p w:rsidR="0071027C" w:rsidRPr="0051683D" w:rsidRDefault="0071027C" w:rsidP="0071027C">
      <w:pPr>
        <w:spacing w:before="120" w:after="120" w:line="240" w:lineRule="auto"/>
        <w:ind w:left="1080"/>
        <w:jc w:val="both"/>
        <w:rPr>
          <w:rFonts w:ascii="Arial" w:hAnsi="Arial" w:cs="Arial"/>
        </w:rPr>
      </w:pPr>
    </w:p>
    <w:p w:rsidR="0071027C" w:rsidRPr="0051683D" w:rsidRDefault="0071027C" w:rsidP="0071027C">
      <w:pPr>
        <w:spacing w:before="120" w:after="120" w:line="240" w:lineRule="auto"/>
        <w:jc w:val="both"/>
        <w:rPr>
          <w:rFonts w:ascii="Arial" w:hAnsi="Arial" w:cs="Arial"/>
          <w:b/>
        </w:rPr>
      </w:pPr>
      <w:r w:rsidRPr="0051683D">
        <w:rPr>
          <w:rFonts w:ascii="Arial" w:hAnsi="Arial" w:cs="Arial"/>
          <w:b/>
        </w:rPr>
        <w:t>Specific therapy:</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Use chloramphenicol or ceftriaxone/cefotaxime ( 3rd generation) if available</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 xml:space="preserve">Use ampicillin/cloxacillin and gentamicin as alternatives (especially for newborns or severely malnourished children)  </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Antibiotic therapy for HIV-infected children needs to be longer 7-14 days</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If the child is under one year, PCP must be considered as a possible diagnosis and treatment with high dose cotrimoxazole started. Steroids could be prescribed in case of severe respiratory distress</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 xml:space="preserve">If an infant presents with severe pneumonia they should be treated for both bacterial pneumonia and PCP and investigated for possible HIV </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 xml:space="preserve">Children treated for PCP should continue taking  CPT prophylaxis until the diagnosis of HIV infection has been excluded and all HIV exposure has ended.  </w:t>
      </w:r>
    </w:p>
    <w:p w:rsidR="0071027C" w:rsidRPr="0051683D" w:rsidRDefault="0071027C" w:rsidP="00274941">
      <w:pPr>
        <w:pStyle w:val="ListParagraph"/>
        <w:numPr>
          <w:ilvl w:val="0"/>
          <w:numId w:val="49"/>
        </w:numPr>
        <w:contextualSpacing w:val="0"/>
        <w:jc w:val="both"/>
        <w:rPr>
          <w:rFonts w:ascii="Arial" w:hAnsi="Arial" w:cs="Arial"/>
          <w:sz w:val="22"/>
          <w:szCs w:val="22"/>
        </w:rPr>
      </w:pPr>
      <w:r w:rsidRPr="0051683D">
        <w:rPr>
          <w:rFonts w:ascii="Arial" w:hAnsi="Arial" w:cs="Arial"/>
          <w:sz w:val="22"/>
          <w:szCs w:val="22"/>
        </w:rPr>
        <w:t xml:space="preserve">If pneumonia is associated with typical Staphylococcal skin lesions, a positive blood culture for Staphylococcus aureus, and poor response to 1st line antibiotics, or if the child just had measles, consider staphylococcal pneumonia. A chest x-ray (if available) may show pneumatoceles (very small cavities). For such children, treatment should also include cloxacillin, clindamycin or vancomycin.  </w:t>
      </w:r>
    </w:p>
    <w:p w:rsidR="0071027C" w:rsidRPr="00F15691" w:rsidRDefault="0071027C" w:rsidP="0071027C">
      <w:pPr>
        <w:pStyle w:val="Heading4"/>
      </w:pPr>
      <w:bookmarkStart w:id="434" w:name="_Toc373768036"/>
      <w:bookmarkStart w:id="435" w:name="_Toc378258178"/>
      <w:r w:rsidRPr="00F15691">
        <w:t>7.5.</w:t>
      </w:r>
      <w:r>
        <w:t>1.2</w:t>
      </w:r>
      <w:r w:rsidRPr="00F15691">
        <w:t xml:space="preserve"> Lymphocytic Interstitial Pneumonitis </w:t>
      </w:r>
      <w:bookmarkEnd w:id="434"/>
      <w:bookmarkEnd w:id="435"/>
    </w:p>
    <w:p w:rsidR="0071027C" w:rsidRPr="0051683D" w:rsidRDefault="0071027C" w:rsidP="0071027C">
      <w:pPr>
        <w:spacing w:before="120" w:after="120" w:line="240" w:lineRule="auto"/>
        <w:jc w:val="both"/>
        <w:rPr>
          <w:rFonts w:ascii="Arial" w:hAnsi="Arial" w:cs="Arial"/>
        </w:rPr>
      </w:pPr>
      <w:r w:rsidRPr="0051683D">
        <w:rPr>
          <w:rFonts w:ascii="Arial" w:hAnsi="Arial" w:cs="Arial"/>
        </w:rPr>
        <w:t>Lymphocytic Interstitial Pneumonitis (LIP) usually occurs in children more than one year of age and is often mistaken for pulmonary TB. Diagnosis is usually by exclusion. The following are common clinical symptoms.</w:t>
      </w:r>
    </w:p>
    <w:p w:rsidR="0071027C" w:rsidRPr="0051683D" w:rsidRDefault="0071027C" w:rsidP="0071027C">
      <w:pPr>
        <w:spacing w:before="120" w:after="120" w:line="240" w:lineRule="auto"/>
        <w:jc w:val="both"/>
        <w:rPr>
          <w:rFonts w:ascii="Arial" w:hAnsi="Arial" w:cs="Arial"/>
          <w:b/>
        </w:rPr>
      </w:pPr>
      <w:r w:rsidRPr="0051683D">
        <w:rPr>
          <w:rFonts w:ascii="Arial" w:hAnsi="Arial" w:cs="Arial"/>
          <w:b/>
        </w:rPr>
        <w:t>Clinical signs and symptoms</w:t>
      </w:r>
    </w:p>
    <w:p w:rsidR="0071027C" w:rsidRPr="0051683D" w:rsidRDefault="0071027C" w:rsidP="00274941">
      <w:pPr>
        <w:pStyle w:val="ListParagraph"/>
        <w:numPr>
          <w:ilvl w:val="0"/>
          <w:numId w:val="50"/>
        </w:numPr>
        <w:contextualSpacing w:val="0"/>
        <w:jc w:val="both"/>
        <w:rPr>
          <w:rFonts w:ascii="Arial" w:hAnsi="Arial" w:cs="Arial"/>
          <w:sz w:val="22"/>
          <w:szCs w:val="22"/>
        </w:rPr>
      </w:pPr>
      <w:r w:rsidRPr="0051683D">
        <w:rPr>
          <w:rFonts w:ascii="Arial" w:hAnsi="Arial" w:cs="Arial"/>
          <w:sz w:val="22"/>
          <w:szCs w:val="22"/>
        </w:rPr>
        <w:t>Chronic cough</w:t>
      </w:r>
    </w:p>
    <w:p w:rsidR="0071027C" w:rsidRPr="0051683D" w:rsidRDefault="0071027C" w:rsidP="00274941">
      <w:pPr>
        <w:pStyle w:val="ListParagraph"/>
        <w:numPr>
          <w:ilvl w:val="0"/>
          <w:numId w:val="50"/>
        </w:numPr>
        <w:contextualSpacing w:val="0"/>
        <w:jc w:val="both"/>
        <w:rPr>
          <w:rFonts w:ascii="Arial" w:hAnsi="Arial" w:cs="Arial"/>
          <w:sz w:val="22"/>
          <w:szCs w:val="22"/>
        </w:rPr>
      </w:pPr>
      <w:r w:rsidRPr="0051683D">
        <w:rPr>
          <w:rFonts w:ascii="Arial" w:hAnsi="Arial" w:cs="Arial"/>
          <w:sz w:val="22"/>
          <w:szCs w:val="22"/>
        </w:rPr>
        <w:t xml:space="preserve">Cyanosis </w:t>
      </w:r>
    </w:p>
    <w:p w:rsidR="0071027C" w:rsidRPr="0051683D" w:rsidRDefault="0071027C" w:rsidP="00274941">
      <w:pPr>
        <w:pStyle w:val="ListParagraph"/>
        <w:numPr>
          <w:ilvl w:val="0"/>
          <w:numId w:val="50"/>
        </w:numPr>
        <w:contextualSpacing w:val="0"/>
        <w:jc w:val="both"/>
        <w:rPr>
          <w:rFonts w:ascii="Arial" w:hAnsi="Arial" w:cs="Arial"/>
          <w:sz w:val="22"/>
          <w:szCs w:val="22"/>
        </w:rPr>
      </w:pPr>
      <w:r w:rsidRPr="0051683D">
        <w:rPr>
          <w:rFonts w:ascii="Arial" w:hAnsi="Arial" w:cs="Arial"/>
          <w:sz w:val="22"/>
          <w:szCs w:val="22"/>
        </w:rPr>
        <w:t>Digital/finger clubbing</w:t>
      </w:r>
    </w:p>
    <w:p w:rsidR="0071027C" w:rsidRPr="0051683D" w:rsidRDefault="0071027C" w:rsidP="00274941">
      <w:pPr>
        <w:pStyle w:val="ListParagraph"/>
        <w:numPr>
          <w:ilvl w:val="0"/>
          <w:numId w:val="50"/>
        </w:numPr>
        <w:contextualSpacing w:val="0"/>
        <w:jc w:val="both"/>
        <w:rPr>
          <w:rFonts w:ascii="Arial" w:hAnsi="Arial" w:cs="Arial"/>
          <w:sz w:val="22"/>
          <w:szCs w:val="22"/>
        </w:rPr>
      </w:pPr>
      <w:r w:rsidRPr="0051683D">
        <w:rPr>
          <w:rFonts w:ascii="Arial" w:hAnsi="Arial" w:cs="Arial"/>
          <w:sz w:val="22"/>
          <w:szCs w:val="22"/>
        </w:rPr>
        <w:t xml:space="preserve">Difficulty in breathing </w:t>
      </w:r>
    </w:p>
    <w:p w:rsidR="0071027C" w:rsidRPr="0051683D" w:rsidRDefault="0071027C" w:rsidP="00274941">
      <w:pPr>
        <w:pStyle w:val="ListParagraph"/>
        <w:numPr>
          <w:ilvl w:val="0"/>
          <w:numId w:val="50"/>
        </w:numPr>
        <w:contextualSpacing w:val="0"/>
        <w:jc w:val="both"/>
        <w:rPr>
          <w:rFonts w:ascii="Arial" w:hAnsi="Arial" w:cs="Arial"/>
          <w:sz w:val="22"/>
          <w:szCs w:val="22"/>
        </w:rPr>
      </w:pPr>
      <w:r w:rsidRPr="0051683D">
        <w:rPr>
          <w:rFonts w:ascii="Arial" w:hAnsi="Arial" w:cs="Arial"/>
          <w:sz w:val="22"/>
          <w:szCs w:val="22"/>
        </w:rPr>
        <w:t xml:space="preserve">Associated with parotitis, generalised lymphadenopathy and hepatosplenomegaly  </w:t>
      </w:r>
    </w:p>
    <w:p w:rsidR="0071027C" w:rsidRPr="0051683D" w:rsidRDefault="0071027C" w:rsidP="00274941">
      <w:pPr>
        <w:pStyle w:val="ListParagraph"/>
        <w:numPr>
          <w:ilvl w:val="0"/>
          <w:numId w:val="50"/>
        </w:numPr>
        <w:contextualSpacing w:val="0"/>
        <w:jc w:val="both"/>
        <w:rPr>
          <w:rFonts w:ascii="Arial" w:hAnsi="Arial" w:cs="Arial"/>
          <w:sz w:val="22"/>
          <w:szCs w:val="22"/>
        </w:rPr>
      </w:pPr>
      <w:r w:rsidRPr="0051683D">
        <w:rPr>
          <w:rFonts w:ascii="Arial" w:hAnsi="Arial" w:cs="Arial"/>
          <w:sz w:val="22"/>
          <w:szCs w:val="22"/>
        </w:rPr>
        <w:t>Poor response to TB therapy</w:t>
      </w:r>
    </w:p>
    <w:p w:rsidR="0071027C" w:rsidRPr="0051683D" w:rsidRDefault="0071027C" w:rsidP="0071027C">
      <w:pPr>
        <w:spacing w:before="120" w:after="120" w:line="240" w:lineRule="auto"/>
        <w:jc w:val="both"/>
        <w:rPr>
          <w:rFonts w:ascii="Arial" w:hAnsi="Arial" w:cs="Arial"/>
          <w:b/>
        </w:rPr>
      </w:pPr>
    </w:p>
    <w:p w:rsidR="0071027C" w:rsidRPr="0051683D" w:rsidRDefault="0071027C" w:rsidP="0071027C">
      <w:pPr>
        <w:spacing w:before="120" w:after="120" w:line="240" w:lineRule="auto"/>
        <w:jc w:val="both"/>
        <w:rPr>
          <w:rFonts w:ascii="Arial" w:hAnsi="Arial" w:cs="Arial"/>
        </w:rPr>
      </w:pPr>
      <w:r w:rsidRPr="0051683D">
        <w:rPr>
          <w:rFonts w:ascii="Arial" w:hAnsi="Arial" w:cs="Arial"/>
          <w:b/>
        </w:rPr>
        <w:t>Radiological picture (Chest X-ray)</w:t>
      </w:r>
    </w:p>
    <w:p w:rsidR="0071027C" w:rsidRPr="0051683D" w:rsidRDefault="0071027C" w:rsidP="00274941">
      <w:pPr>
        <w:pStyle w:val="ListParagraph"/>
        <w:numPr>
          <w:ilvl w:val="0"/>
          <w:numId w:val="50"/>
        </w:numPr>
        <w:contextualSpacing w:val="0"/>
        <w:jc w:val="both"/>
        <w:rPr>
          <w:rFonts w:ascii="Arial" w:hAnsi="Arial" w:cs="Arial"/>
          <w:sz w:val="22"/>
          <w:szCs w:val="22"/>
        </w:rPr>
      </w:pPr>
      <w:r w:rsidRPr="0051683D">
        <w:rPr>
          <w:rFonts w:ascii="Arial" w:hAnsi="Arial" w:cs="Arial"/>
          <w:sz w:val="22"/>
          <w:szCs w:val="22"/>
        </w:rPr>
        <w:t xml:space="preserve">Diffuse bilateral reticulonodular infiltrates may appear similar to miliary TB </w:t>
      </w:r>
    </w:p>
    <w:p w:rsidR="0071027C" w:rsidRPr="0051683D" w:rsidRDefault="0071027C" w:rsidP="00274941">
      <w:pPr>
        <w:pStyle w:val="ListParagraph"/>
        <w:numPr>
          <w:ilvl w:val="0"/>
          <w:numId w:val="50"/>
        </w:numPr>
        <w:contextualSpacing w:val="0"/>
        <w:jc w:val="both"/>
        <w:rPr>
          <w:rFonts w:ascii="Arial" w:hAnsi="Arial" w:cs="Arial"/>
          <w:sz w:val="22"/>
          <w:szCs w:val="22"/>
        </w:rPr>
      </w:pPr>
      <w:r w:rsidRPr="0051683D">
        <w:rPr>
          <w:rFonts w:ascii="Arial" w:hAnsi="Arial" w:cs="Arial"/>
          <w:sz w:val="22"/>
          <w:szCs w:val="22"/>
        </w:rPr>
        <w:t xml:space="preserve">May develop consolidation, cystic lesions; bilateral hilar or mediastinal lymph node enlargement </w:t>
      </w:r>
    </w:p>
    <w:p w:rsidR="0071027C" w:rsidRPr="0051683D" w:rsidRDefault="0071027C" w:rsidP="00274941">
      <w:pPr>
        <w:pStyle w:val="ListParagraph"/>
        <w:numPr>
          <w:ilvl w:val="0"/>
          <w:numId w:val="50"/>
        </w:numPr>
        <w:contextualSpacing w:val="0"/>
        <w:jc w:val="both"/>
        <w:rPr>
          <w:rFonts w:ascii="Arial" w:hAnsi="Arial" w:cs="Arial"/>
          <w:sz w:val="22"/>
          <w:szCs w:val="22"/>
        </w:rPr>
      </w:pPr>
      <w:r w:rsidRPr="0051683D">
        <w:rPr>
          <w:rFonts w:ascii="Arial" w:hAnsi="Arial" w:cs="Arial"/>
          <w:sz w:val="22"/>
          <w:szCs w:val="22"/>
        </w:rPr>
        <w:t>Particularly difficult to differentiate from TB</w:t>
      </w:r>
    </w:p>
    <w:p w:rsidR="0071027C" w:rsidRPr="0051683D" w:rsidRDefault="0071027C" w:rsidP="0071027C">
      <w:pPr>
        <w:spacing w:before="120" w:after="120" w:line="240" w:lineRule="auto"/>
        <w:jc w:val="both"/>
        <w:rPr>
          <w:rFonts w:ascii="Arial" w:hAnsi="Arial" w:cs="Arial"/>
          <w:b/>
        </w:rPr>
      </w:pPr>
      <w:r w:rsidRPr="0051683D">
        <w:rPr>
          <w:rFonts w:ascii="Arial" w:hAnsi="Arial" w:cs="Arial"/>
          <w:b/>
        </w:rPr>
        <w:t xml:space="preserve">Management </w:t>
      </w:r>
    </w:p>
    <w:p w:rsidR="0071027C" w:rsidRPr="0051683D" w:rsidRDefault="0071027C" w:rsidP="0071027C">
      <w:pPr>
        <w:spacing w:before="120" w:after="120" w:line="240" w:lineRule="auto"/>
        <w:jc w:val="both"/>
        <w:rPr>
          <w:rFonts w:ascii="Arial" w:hAnsi="Arial" w:cs="Arial"/>
        </w:rPr>
      </w:pPr>
      <w:r w:rsidRPr="0051683D">
        <w:rPr>
          <w:rFonts w:ascii="Arial" w:hAnsi="Arial" w:cs="Arial"/>
        </w:rPr>
        <w:t>Management of children with LIP, after exclusion of TB, includes the following.</w:t>
      </w:r>
    </w:p>
    <w:p w:rsidR="0071027C" w:rsidRPr="0051683D" w:rsidRDefault="0071027C" w:rsidP="00274941">
      <w:pPr>
        <w:pStyle w:val="ListParagraph"/>
        <w:numPr>
          <w:ilvl w:val="0"/>
          <w:numId w:val="50"/>
        </w:numPr>
        <w:contextualSpacing w:val="0"/>
        <w:jc w:val="both"/>
        <w:rPr>
          <w:rFonts w:ascii="Arial" w:hAnsi="Arial" w:cs="Arial"/>
          <w:sz w:val="22"/>
          <w:szCs w:val="22"/>
        </w:rPr>
      </w:pPr>
      <w:r w:rsidRPr="0051683D">
        <w:rPr>
          <w:rFonts w:ascii="Arial" w:hAnsi="Arial" w:cs="Arial"/>
          <w:sz w:val="22"/>
          <w:szCs w:val="22"/>
        </w:rPr>
        <w:t>Antiretroviral therapy as specific therapy</w:t>
      </w:r>
    </w:p>
    <w:p w:rsidR="0071027C" w:rsidRPr="0051683D" w:rsidRDefault="0071027C" w:rsidP="00274941">
      <w:pPr>
        <w:pStyle w:val="ListParagraph"/>
        <w:numPr>
          <w:ilvl w:val="0"/>
          <w:numId w:val="50"/>
        </w:numPr>
        <w:contextualSpacing w:val="0"/>
        <w:jc w:val="both"/>
        <w:rPr>
          <w:rFonts w:ascii="Arial" w:hAnsi="Arial" w:cs="Arial"/>
          <w:sz w:val="22"/>
          <w:szCs w:val="22"/>
        </w:rPr>
      </w:pPr>
      <w:r w:rsidRPr="0051683D">
        <w:rPr>
          <w:rFonts w:ascii="Arial" w:hAnsi="Arial" w:cs="Arial"/>
          <w:sz w:val="22"/>
          <w:szCs w:val="22"/>
        </w:rPr>
        <w:t>Steroids are needed when children with LIP having respiratory distress</w:t>
      </w:r>
    </w:p>
    <w:p w:rsidR="0071027C" w:rsidRPr="0051683D" w:rsidRDefault="0071027C" w:rsidP="00274941">
      <w:pPr>
        <w:pStyle w:val="ListParagraph"/>
        <w:numPr>
          <w:ilvl w:val="0"/>
          <w:numId w:val="50"/>
        </w:numPr>
        <w:contextualSpacing w:val="0"/>
        <w:jc w:val="both"/>
        <w:rPr>
          <w:rFonts w:ascii="Arial" w:hAnsi="Arial" w:cs="Arial"/>
          <w:sz w:val="22"/>
          <w:szCs w:val="22"/>
        </w:rPr>
      </w:pPr>
      <w:r w:rsidRPr="0051683D">
        <w:rPr>
          <w:rFonts w:ascii="Arial" w:hAnsi="Arial" w:cs="Arial"/>
          <w:sz w:val="22"/>
          <w:szCs w:val="22"/>
        </w:rPr>
        <w:t xml:space="preserve">Prednisone 2 mg/kg/day - initially for 2 weeks daily and then decrease the dose over 2 to 4 weeks, depending on the response to treatment </w:t>
      </w:r>
    </w:p>
    <w:p w:rsidR="0071027C" w:rsidRPr="0051683D" w:rsidRDefault="0071027C" w:rsidP="00274941">
      <w:pPr>
        <w:pStyle w:val="ListParagraph"/>
        <w:numPr>
          <w:ilvl w:val="0"/>
          <w:numId w:val="50"/>
        </w:numPr>
        <w:contextualSpacing w:val="0"/>
        <w:jc w:val="both"/>
        <w:rPr>
          <w:rFonts w:ascii="Arial" w:hAnsi="Arial" w:cs="Arial"/>
          <w:sz w:val="22"/>
          <w:szCs w:val="22"/>
        </w:rPr>
      </w:pPr>
      <w:r w:rsidRPr="0051683D">
        <w:rPr>
          <w:rFonts w:ascii="Arial" w:hAnsi="Arial" w:cs="Arial"/>
          <w:sz w:val="22"/>
          <w:szCs w:val="22"/>
        </w:rPr>
        <w:t>When giving steroids, monitor closely for evidence the patient has untreated TB as steroids can reactivate TB</w:t>
      </w:r>
    </w:p>
    <w:p w:rsidR="0071027C" w:rsidRPr="0051683D" w:rsidRDefault="0071027C" w:rsidP="00274941">
      <w:pPr>
        <w:pStyle w:val="ListParagraph"/>
        <w:numPr>
          <w:ilvl w:val="0"/>
          <w:numId w:val="50"/>
        </w:numPr>
        <w:contextualSpacing w:val="0"/>
        <w:jc w:val="both"/>
        <w:rPr>
          <w:rFonts w:ascii="Arial" w:hAnsi="Arial" w:cs="Arial"/>
          <w:sz w:val="22"/>
          <w:szCs w:val="22"/>
        </w:rPr>
      </w:pPr>
      <w:r w:rsidRPr="0051683D">
        <w:rPr>
          <w:rFonts w:ascii="Arial" w:hAnsi="Arial" w:cs="Arial"/>
          <w:sz w:val="22"/>
          <w:szCs w:val="22"/>
        </w:rPr>
        <w:t>Oxygen therapy during episodes of hypoxia</w:t>
      </w:r>
    </w:p>
    <w:p w:rsidR="0071027C" w:rsidRPr="0051683D" w:rsidRDefault="0071027C" w:rsidP="00274941">
      <w:pPr>
        <w:pStyle w:val="ListParagraph"/>
        <w:numPr>
          <w:ilvl w:val="0"/>
          <w:numId w:val="50"/>
        </w:numPr>
        <w:contextualSpacing w:val="0"/>
        <w:jc w:val="both"/>
        <w:rPr>
          <w:rFonts w:ascii="Arial" w:hAnsi="Arial" w:cs="Arial"/>
          <w:sz w:val="22"/>
          <w:szCs w:val="22"/>
        </w:rPr>
      </w:pPr>
      <w:r w:rsidRPr="0051683D">
        <w:rPr>
          <w:rFonts w:ascii="Arial" w:hAnsi="Arial" w:cs="Arial"/>
          <w:sz w:val="22"/>
          <w:szCs w:val="22"/>
        </w:rPr>
        <w:t>Bronchodilators such as salbutamol where there is wheezing</w:t>
      </w:r>
    </w:p>
    <w:p w:rsidR="0071027C" w:rsidRPr="0051683D" w:rsidRDefault="0071027C" w:rsidP="00274941">
      <w:pPr>
        <w:pStyle w:val="ListParagraph"/>
        <w:numPr>
          <w:ilvl w:val="0"/>
          <w:numId w:val="50"/>
        </w:numPr>
        <w:contextualSpacing w:val="0"/>
        <w:jc w:val="both"/>
        <w:rPr>
          <w:rFonts w:ascii="Arial" w:hAnsi="Arial" w:cs="Arial"/>
          <w:sz w:val="22"/>
          <w:szCs w:val="22"/>
        </w:rPr>
      </w:pPr>
      <w:r w:rsidRPr="0051683D">
        <w:rPr>
          <w:rFonts w:ascii="Arial" w:hAnsi="Arial" w:cs="Arial"/>
          <w:sz w:val="22"/>
          <w:szCs w:val="22"/>
        </w:rPr>
        <w:t>Antibiotics are needed during episodes of concurrent superinfection with pneumonia</w:t>
      </w:r>
    </w:p>
    <w:p w:rsidR="0071027C" w:rsidRPr="0051683D" w:rsidRDefault="0071027C" w:rsidP="00274941">
      <w:pPr>
        <w:pStyle w:val="ListParagraph"/>
        <w:numPr>
          <w:ilvl w:val="0"/>
          <w:numId w:val="50"/>
        </w:numPr>
        <w:contextualSpacing w:val="0"/>
        <w:jc w:val="both"/>
        <w:rPr>
          <w:rFonts w:ascii="Arial" w:hAnsi="Arial" w:cs="Arial"/>
          <w:sz w:val="22"/>
          <w:szCs w:val="22"/>
        </w:rPr>
      </w:pPr>
      <w:r w:rsidRPr="0051683D">
        <w:rPr>
          <w:rFonts w:ascii="Arial" w:hAnsi="Arial" w:cs="Arial"/>
          <w:sz w:val="22"/>
          <w:szCs w:val="22"/>
        </w:rPr>
        <w:t>Chest physiotherapy and postural drainage if there is secondary bronchiectasis</w:t>
      </w:r>
    </w:p>
    <w:p w:rsidR="0071027C" w:rsidRPr="0051683D" w:rsidRDefault="0071027C" w:rsidP="00274941">
      <w:pPr>
        <w:pStyle w:val="ListParagraph"/>
        <w:numPr>
          <w:ilvl w:val="0"/>
          <w:numId w:val="50"/>
        </w:numPr>
        <w:contextualSpacing w:val="0"/>
        <w:jc w:val="both"/>
        <w:rPr>
          <w:rFonts w:ascii="Arial" w:hAnsi="Arial" w:cs="Arial"/>
          <w:sz w:val="22"/>
          <w:szCs w:val="22"/>
        </w:rPr>
      </w:pPr>
      <w:r w:rsidRPr="0051683D">
        <w:rPr>
          <w:rFonts w:ascii="Arial" w:hAnsi="Arial" w:cs="Arial"/>
          <w:sz w:val="22"/>
          <w:szCs w:val="22"/>
        </w:rPr>
        <w:t>Supportive care includes correction of anaemia with iron supplementation</w:t>
      </w:r>
    </w:p>
    <w:p w:rsidR="0071027C" w:rsidRPr="0051683D" w:rsidRDefault="0071027C" w:rsidP="00274941">
      <w:pPr>
        <w:pStyle w:val="ListParagraph"/>
        <w:numPr>
          <w:ilvl w:val="0"/>
          <w:numId w:val="50"/>
        </w:numPr>
        <w:contextualSpacing w:val="0"/>
        <w:jc w:val="both"/>
        <w:rPr>
          <w:rFonts w:ascii="Arial" w:hAnsi="Arial" w:cs="Arial"/>
          <w:sz w:val="22"/>
          <w:szCs w:val="22"/>
        </w:rPr>
      </w:pPr>
      <w:r w:rsidRPr="0051683D">
        <w:rPr>
          <w:rFonts w:ascii="Arial" w:hAnsi="Arial" w:cs="Arial"/>
          <w:sz w:val="22"/>
          <w:szCs w:val="22"/>
        </w:rPr>
        <w:t>Consult or refer for specialist care if child shows poor response to treatment</w:t>
      </w:r>
    </w:p>
    <w:p w:rsidR="0071027C" w:rsidRPr="00C203F3" w:rsidRDefault="0071027C" w:rsidP="0071027C">
      <w:pPr>
        <w:pStyle w:val="ListParagraph"/>
        <w:spacing w:before="120" w:after="120" w:line="276" w:lineRule="auto"/>
        <w:jc w:val="both"/>
        <w:rPr>
          <w:rFonts w:ascii="Arial Narrow" w:hAnsi="Arial Narrow"/>
        </w:rPr>
      </w:pPr>
    </w:p>
    <w:p w:rsidR="0071027C" w:rsidRPr="00C203F3" w:rsidRDefault="0071027C" w:rsidP="0071027C">
      <w:pPr>
        <w:pStyle w:val="Heading4"/>
      </w:pPr>
      <w:bookmarkStart w:id="436" w:name="_Toc373768037"/>
      <w:bookmarkStart w:id="437" w:name="_Toc378258179"/>
      <w:r w:rsidRPr="00C203F3">
        <w:t>7.5.</w:t>
      </w:r>
      <w:r>
        <w:t>1.3</w:t>
      </w:r>
      <w:r w:rsidRPr="00C203F3">
        <w:t xml:space="preserve"> Pneumocystis Jiroveci Pneumonia </w:t>
      </w:r>
      <w:bookmarkEnd w:id="436"/>
      <w:bookmarkEnd w:id="437"/>
    </w:p>
    <w:p w:rsidR="0071027C" w:rsidRPr="0051683D" w:rsidRDefault="0071027C" w:rsidP="0071027C">
      <w:pPr>
        <w:spacing w:before="120" w:after="120" w:line="240" w:lineRule="auto"/>
        <w:jc w:val="both"/>
        <w:rPr>
          <w:rFonts w:ascii="Arial" w:hAnsi="Arial" w:cs="Arial"/>
        </w:rPr>
      </w:pPr>
      <w:r w:rsidRPr="0051683D">
        <w:rPr>
          <w:rFonts w:ascii="Arial" w:hAnsi="Arial" w:cs="Arial"/>
        </w:rPr>
        <w:t>Pneumocystis Jiroveci Pneumonia (PCP) is the major cause of severe pneumonia and death in HIV infected infants. Incidence is highest during the first year of life and usually peaks at 3 to 6 months of age. Infants may be in a good nutritional state and may have no clinical features that indicate the presence of HIV.</w:t>
      </w:r>
    </w:p>
    <w:p w:rsidR="0071027C" w:rsidRPr="0051683D" w:rsidRDefault="0071027C" w:rsidP="0071027C">
      <w:pPr>
        <w:spacing w:before="120" w:after="120" w:line="240" w:lineRule="auto"/>
        <w:jc w:val="both"/>
        <w:rPr>
          <w:rFonts w:ascii="Arial" w:hAnsi="Arial" w:cs="Arial"/>
          <w:b/>
        </w:rPr>
      </w:pPr>
      <w:r w:rsidRPr="0051683D">
        <w:rPr>
          <w:rFonts w:ascii="Arial" w:hAnsi="Arial" w:cs="Arial"/>
          <w:b/>
        </w:rPr>
        <w:t xml:space="preserve">Clinical features </w:t>
      </w:r>
    </w:p>
    <w:p w:rsidR="0071027C" w:rsidRPr="0051683D" w:rsidRDefault="0071027C" w:rsidP="00274941">
      <w:pPr>
        <w:pStyle w:val="ListParagraph"/>
        <w:numPr>
          <w:ilvl w:val="0"/>
          <w:numId w:val="51"/>
        </w:numPr>
        <w:autoSpaceDE w:val="0"/>
        <w:autoSpaceDN w:val="0"/>
        <w:adjustRightInd w:val="0"/>
        <w:contextualSpacing w:val="0"/>
        <w:jc w:val="both"/>
        <w:rPr>
          <w:rFonts w:ascii="Arial" w:hAnsi="Arial" w:cs="Arial"/>
          <w:sz w:val="22"/>
          <w:szCs w:val="22"/>
        </w:rPr>
      </w:pPr>
      <w:r w:rsidRPr="0051683D">
        <w:rPr>
          <w:rFonts w:ascii="Arial" w:hAnsi="Arial" w:cs="Arial"/>
          <w:sz w:val="22"/>
          <w:szCs w:val="22"/>
        </w:rPr>
        <w:t>No or low grade fever</w:t>
      </w:r>
    </w:p>
    <w:p w:rsidR="0071027C" w:rsidRPr="0051683D" w:rsidRDefault="0071027C" w:rsidP="00274941">
      <w:pPr>
        <w:pStyle w:val="ListParagraph"/>
        <w:numPr>
          <w:ilvl w:val="0"/>
          <w:numId w:val="51"/>
        </w:numPr>
        <w:autoSpaceDE w:val="0"/>
        <w:autoSpaceDN w:val="0"/>
        <w:adjustRightInd w:val="0"/>
        <w:contextualSpacing w:val="0"/>
        <w:jc w:val="both"/>
        <w:rPr>
          <w:rFonts w:ascii="Arial" w:hAnsi="Arial" w:cs="Arial"/>
          <w:sz w:val="22"/>
          <w:szCs w:val="22"/>
        </w:rPr>
      </w:pPr>
      <w:r w:rsidRPr="0051683D">
        <w:rPr>
          <w:rFonts w:ascii="Arial" w:hAnsi="Arial" w:cs="Arial"/>
          <w:sz w:val="22"/>
          <w:szCs w:val="22"/>
        </w:rPr>
        <w:t>Marked respiratory distress (chest indrawing, cyanosis, inability to drink)</w:t>
      </w:r>
    </w:p>
    <w:p w:rsidR="0071027C" w:rsidRPr="0051683D" w:rsidRDefault="0071027C" w:rsidP="00274941">
      <w:pPr>
        <w:pStyle w:val="ListParagraph"/>
        <w:numPr>
          <w:ilvl w:val="0"/>
          <w:numId w:val="51"/>
        </w:numPr>
        <w:autoSpaceDE w:val="0"/>
        <w:autoSpaceDN w:val="0"/>
        <w:adjustRightInd w:val="0"/>
        <w:contextualSpacing w:val="0"/>
        <w:jc w:val="both"/>
        <w:rPr>
          <w:rFonts w:ascii="Arial" w:hAnsi="Arial" w:cs="Arial"/>
          <w:sz w:val="22"/>
          <w:szCs w:val="22"/>
        </w:rPr>
      </w:pPr>
      <w:r w:rsidRPr="0051683D">
        <w:rPr>
          <w:rFonts w:ascii="Arial" w:hAnsi="Arial" w:cs="Arial"/>
          <w:sz w:val="22"/>
          <w:szCs w:val="22"/>
        </w:rPr>
        <w:t>On auscultation  clear chest or diffuse fine crepitations</w:t>
      </w:r>
    </w:p>
    <w:p w:rsidR="0071027C" w:rsidRPr="0051683D" w:rsidRDefault="0071027C" w:rsidP="00274941">
      <w:pPr>
        <w:pStyle w:val="ListParagraph"/>
        <w:numPr>
          <w:ilvl w:val="0"/>
          <w:numId w:val="51"/>
        </w:numPr>
        <w:autoSpaceDE w:val="0"/>
        <w:autoSpaceDN w:val="0"/>
        <w:adjustRightInd w:val="0"/>
        <w:contextualSpacing w:val="0"/>
        <w:jc w:val="both"/>
        <w:rPr>
          <w:rFonts w:ascii="Arial" w:hAnsi="Arial" w:cs="Arial"/>
          <w:sz w:val="22"/>
          <w:szCs w:val="22"/>
        </w:rPr>
      </w:pPr>
      <w:r w:rsidRPr="0051683D">
        <w:rPr>
          <w:rFonts w:ascii="Arial" w:hAnsi="Arial" w:cs="Arial"/>
          <w:sz w:val="22"/>
          <w:szCs w:val="22"/>
        </w:rPr>
        <w:t>Poor response to standard antibiotic treatment</w:t>
      </w:r>
    </w:p>
    <w:p w:rsidR="0071027C" w:rsidRPr="0051683D" w:rsidRDefault="0071027C" w:rsidP="00274941">
      <w:pPr>
        <w:pStyle w:val="ListParagraph"/>
        <w:numPr>
          <w:ilvl w:val="0"/>
          <w:numId w:val="51"/>
        </w:numPr>
        <w:autoSpaceDE w:val="0"/>
        <w:autoSpaceDN w:val="0"/>
        <w:adjustRightInd w:val="0"/>
        <w:contextualSpacing w:val="0"/>
        <w:jc w:val="both"/>
        <w:rPr>
          <w:rFonts w:ascii="Arial" w:hAnsi="Arial" w:cs="Arial"/>
          <w:sz w:val="22"/>
          <w:szCs w:val="22"/>
        </w:rPr>
      </w:pPr>
      <w:r w:rsidRPr="0051683D">
        <w:rPr>
          <w:rFonts w:ascii="Arial" w:hAnsi="Arial" w:cs="Arial"/>
          <w:sz w:val="22"/>
          <w:szCs w:val="22"/>
        </w:rPr>
        <w:t xml:space="preserve">Severe persistent   cyanosis/hypoxia (paO2&lt; 90%) </w:t>
      </w:r>
    </w:p>
    <w:p w:rsidR="0071027C" w:rsidRPr="0051683D" w:rsidRDefault="0071027C" w:rsidP="00274941">
      <w:pPr>
        <w:pStyle w:val="ListParagraph"/>
        <w:numPr>
          <w:ilvl w:val="0"/>
          <w:numId w:val="51"/>
        </w:numPr>
        <w:autoSpaceDE w:val="0"/>
        <w:autoSpaceDN w:val="0"/>
        <w:adjustRightInd w:val="0"/>
        <w:contextualSpacing w:val="0"/>
        <w:jc w:val="both"/>
        <w:rPr>
          <w:rFonts w:ascii="Arial" w:hAnsi="Arial" w:cs="Arial"/>
          <w:sz w:val="22"/>
          <w:szCs w:val="22"/>
        </w:rPr>
      </w:pPr>
      <w:r w:rsidRPr="0051683D">
        <w:rPr>
          <w:rFonts w:ascii="Arial" w:hAnsi="Arial" w:cs="Arial"/>
          <w:sz w:val="22"/>
          <w:szCs w:val="22"/>
        </w:rPr>
        <w:t xml:space="preserve">They may have other signs of HIV including hepatosplenomegaly, oral thrush, lymphadenopathy </w:t>
      </w:r>
    </w:p>
    <w:p w:rsidR="0071027C" w:rsidRPr="0051683D" w:rsidRDefault="0071027C" w:rsidP="0071027C">
      <w:pPr>
        <w:spacing w:before="120" w:after="120" w:line="240" w:lineRule="auto"/>
        <w:jc w:val="both"/>
        <w:rPr>
          <w:rFonts w:ascii="Arial" w:hAnsi="Arial" w:cs="Arial"/>
          <w:b/>
        </w:rPr>
      </w:pPr>
      <w:r w:rsidRPr="0051683D">
        <w:rPr>
          <w:rFonts w:ascii="Arial" w:hAnsi="Arial" w:cs="Arial"/>
          <w:b/>
        </w:rPr>
        <w:t>Investigations</w:t>
      </w:r>
    </w:p>
    <w:p w:rsidR="0071027C" w:rsidRPr="0051683D" w:rsidRDefault="0071027C" w:rsidP="00274941">
      <w:pPr>
        <w:pStyle w:val="ListParagraph"/>
        <w:numPr>
          <w:ilvl w:val="0"/>
          <w:numId w:val="51"/>
        </w:numPr>
        <w:autoSpaceDE w:val="0"/>
        <w:autoSpaceDN w:val="0"/>
        <w:adjustRightInd w:val="0"/>
        <w:contextualSpacing w:val="0"/>
        <w:jc w:val="both"/>
        <w:rPr>
          <w:rFonts w:ascii="Arial" w:hAnsi="Arial" w:cs="Arial"/>
          <w:sz w:val="22"/>
          <w:szCs w:val="22"/>
        </w:rPr>
      </w:pPr>
      <w:r w:rsidRPr="0051683D">
        <w:rPr>
          <w:rFonts w:ascii="Arial" w:hAnsi="Arial" w:cs="Arial"/>
          <w:sz w:val="22"/>
          <w:szCs w:val="22"/>
        </w:rPr>
        <w:t>The mainstay of PCP diagnosis in Tanzania is clinical therefore where there is a high index of suspicion, clinicians should promptly initiate therapy along with treatment for bacterial pneumonia</w:t>
      </w:r>
    </w:p>
    <w:p w:rsidR="0071027C" w:rsidRPr="0051683D" w:rsidRDefault="0071027C" w:rsidP="00274941">
      <w:pPr>
        <w:pStyle w:val="ListParagraph"/>
        <w:numPr>
          <w:ilvl w:val="0"/>
          <w:numId w:val="51"/>
        </w:numPr>
        <w:autoSpaceDE w:val="0"/>
        <w:autoSpaceDN w:val="0"/>
        <w:adjustRightInd w:val="0"/>
        <w:contextualSpacing w:val="0"/>
        <w:jc w:val="both"/>
        <w:rPr>
          <w:rFonts w:ascii="Arial" w:hAnsi="Arial" w:cs="Arial"/>
          <w:sz w:val="22"/>
          <w:szCs w:val="22"/>
        </w:rPr>
      </w:pPr>
      <w:r w:rsidRPr="0051683D">
        <w:rPr>
          <w:rFonts w:ascii="Arial" w:hAnsi="Arial" w:cs="Arial"/>
          <w:sz w:val="22"/>
          <w:szCs w:val="22"/>
        </w:rPr>
        <w:t>A chest x-ray may show hyperinflation, diffuse infiltrates or normal</w:t>
      </w:r>
    </w:p>
    <w:p w:rsidR="0071027C" w:rsidRPr="0051683D" w:rsidRDefault="0071027C" w:rsidP="00274941">
      <w:pPr>
        <w:pStyle w:val="ListParagraph"/>
        <w:numPr>
          <w:ilvl w:val="0"/>
          <w:numId w:val="51"/>
        </w:numPr>
        <w:autoSpaceDE w:val="0"/>
        <w:autoSpaceDN w:val="0"/>
        <w:adjustRightInd w:val="0"/>
        <w:contextualSpacing w:val="0"/>
        <w:jc w:val="both"/>
        <w:rPr>
          <w:rFonts w:ascii="Arial" w:hAnsi="Arial" w:cs="Arial"/>
          <w:sz w:val="22"/>
          <w:szCs w:val="22"/>
        </w:rPr>
      </w:pPr>
      <w:r w:rsidRPr="0051683D">
        <w:rPr>
          <w:rFonts w:ascii="Arial" w:hAnsi="Arial" w:cs="Arial"/>
          <w:sz w:val="22"/>
          <w:szCs w:val="22"/>
        </w:rPr>
        <w:t>Sputum induction with nasopharyngeal aspirate stained with Giemsa or Silver stain or immunofluorescent stain</w:t>
      </w:r>
    </w:p>
    <w:p w:rsidR="0071027C" w:rsidRPr="0051683D" w:rsidRDefault="0071027C" w:rsidP="00274941">
      <w:pPr>
        <w:pStyle w:val="ListParagraph"/>
        <w:numPr>
          <w:ilvl w:val="0"/>
          <w:numId w:val="51"/>
        </w:numPr>
        <w:autoSpaceDE w:val="0"/>
        <w:autoSpaceDN w:val="0"/>
        <w:adjustRightInd w:val="0"/>
        <w:contextualSpacing w:val="0"/>
        <w:jc w:val="both"/>
        <w:rPr>
          <w:rFonts w:ascii="Arial" w:hAnsi="Arial" w:cs="Arial"/>
          <w:sz w:val="22"/>
          <w:szCs w:val="22"/>
        </w:rPr>
      </w:pPr>
      <w:r w:rsidRPr="0051683D">
        <w:rPr>
          <w:rFonts w:ascii="Arial" w:hAnsi="Arial" w:cs="Arial"/>
          <w:sz w:val="22"/>
          <w:szCs w:val="22"/>
        </w:rPr>
        <w:t xml:space="preserve">Bronchoalveolar lavage where available can also be used to produce a specimen for staining </w:t>
      </w:r>
    </w:p>
    <w:p w:rsidR="0071027C" w:rsidRPr="0051683D" w:rsidRDefault="0071027C" w:rsidP="0071027C">
      <w:pPr>
        <w:spacing w:before="120" w:after="120" w:line="240" w:lineRule="auto"/>
        <w:jc w:val="both"/>
        <w:rPr>
          <w:rFonts w:ascii="Arial" w:hAnsi="Arial" w:cs="Arial"/>
          <w:b/>
        </w:rPr>
      </w:pPr>
    </w:p>
    <w:p w:rsidR="0071027C" w:rsidRPr="0051683D" w:rsidRDefault="0071027C" w:rsidP="0071027C">
      <w:pPr>
        <w:spacing w:before="120" w:after="120" w:line="240" w:lineRule="auto"/>
        <w:jc w:val="both"/>
        <w:rPr>
          <w:rFonts w:ascii="Arial" w:hAnsi="Arial" w:cs="Arial"/>
          <w:b/>
        </w:rPr>
      </w:pPr>
      <w:r w:rsidRPr="0051683D">
        <w:rPr>
          <w:rFonts w:ascii="Arial" w:hAnsi="Arial" w:cs="Arial"/>
          <w:b/>
        </w:rPr>
        <w:t>Management of PCP</w:t>
      </w:r>
    </w:p>
    <w:p w:rsidR="0071027C" w:rsidRPr="0051683D" w:rsidRDefault="0071027C" w:rsidP="0071027C">
      <w:pPr>
        <w:spacing w:before="120" w:after="120" w:line="240" w:lineRule="auto"/>
        <w:jc w:val="both"/>
        <w:rPr>
          <w:rFonts w:ascii="Arial" w:hAnsi="Arial" w:cs="Arial"/>
        </w:rPr>
      </w:pPr>
      <w:r w:rsidRPr="0051683D">
        <w:rPr>
          <w:rFonts w:ascii="Arial" w:hAnsi="Arial" w:cs="Arial"/>
        </w:rPr>
        <w:t>Management of PCP includes both specific and supportive treatment:</w:t>
      </w:r>
    </w:p>
    <w:p w:rsidR="0071027C" w:rsidRPr="0051683D" w:rsidRDefault="0071027C" w:rsidP="0071027C">
      <w:pPr>
        <w:spacing w:before="120" w:after="120" w:line="240" w:lineRule="auto"/>
        <w:jc w:val="both"/>
        <w:rPr>
          <w:rFonts w:ascii="Arial" w:hAnsi="Arial" w:cs="Arial"/>
          <w:b/>
        </w:rPr>
      </w:pPr>
      <w:r w:rsidRPr="0051683D">
        <w:rPr>
          <w:rFonts w:ascii="Arial" w:hAnsi="Arial" w:cs="Arial"/>
          <w:b/>
        </w:rPr>
        <w:t>Specific:</w:t>
      </w:r>
    </w:p>
    <w:p w:rsidR="0071027C" w:rsidRPr="0051683D" w:rsidRDefault="0071027C" w:rsidP="00274941">
      <w:pPr>
        <w:pStyle w:val="ListParagraph"/>
        <w:numPr>
          <w:ilvl w:val="0"/>
          <w:numId w:val="51"/>
        </w:numPr>
        <w:autoSpaceDE w:val="0"/>
        <w:autoSpaceDN w:val="0"/>
        <w:adjustRightInd w:val="0"/>
        <w:contextualSpacing w:val="0"/>
        <w:jc w:val="both"/>
        <w:rPr>
          <w:rFonts w:ascii="Arial" w:hAnsi="Arial" w:cs="Arial"/>
          <w:sz w:val="22"/>
          <w:szCs w:val="22"/>
        </w:rPr>
      </w:pPr>
      <w:r w:rsidRPr="0051683D">
        <w:rPr>
          <w:rFonts w:ascii="Arial" w:hAnsi="Arial" w:cs="Arial"/>
          <w:sz w:val="22"/>
          <w:szCs w:val="22"/>
        </w:rPr>
        <w:t>High dose cotrimoxazole (CTX) IV (or oral) 8mg/kg TMP-40mg/kg sulfamethoxazole  given every 8 hours for 21 days</w:t>
      </w:r>
    </w:p>
    <w:p w:rsidR="0071027C" w:rsidRPr="0051683D" w:rsidRDefault="0071027C" w:rsidP="00274941">
      <w:pPr>
        <w:pStyle w:val="ListParagraph"/>
        <w:numPr>
          <w:ilvl w:val="0"/>
          <w:numId w:val="51"/>
        </w:numPr>
        <w:autoSpaceDE w:val="0"/>
        <w:autoSpaceDN w:val="0"/>
        <w:adjustRightInd w:val="0"/>
        <w:contextualSpacing w:val="0"/>
        <w:jc w:val="both"/>
        <w:rPr>
          <w:rFonts w:ascii="Arial" w:hAnsi="Arial" w:cs="Arial"/>
          <w:sz w:val="22"/>
          <w:szCs w:val="22"/>
        </w:rPr>
      </w:pPr>
      <w:r w:rsidRPr="0051683D">
        <w:rPr>
          <w:rFonts w:ascii="Arial" w:hAnsi="Arial" w:cs="Arial"/>
          <w:sz w:val="22"/>
          <w:szCs w:val="22"/>
        </w:rPr>
        <w:t>Prednisone at 2mg/kg/day for 7-14 day ( taper if given for more than 7days)</w:t>
      </w:r>
    </w:p>
    <w:p w:rsidR="0071027C" w:rsidRPr="0051683D" w:rsidRDefault="0071027C" w:rsidP="00274941">
      <w:pPr>
        <w:pStyle w:val="ListParagraph"/>
        <w:numPr>
          <w:ilvl w:val="0"/>
          <w:numId w:val="51"/>
        </w:numPr>
        <w:autoSpaceDE w:val="0"/>
        <w:autoSpaceDN w:val="0"/>
        <w:adjustRightInd w:val="0"/>
        <w:contextualSpacing w:val="0"/>
        <w:jc w:val="both"/>
        <w:rPr>
          <w:rFonts w:ascii="Arial" w:hAnsi="Arial" w:cs="Arial"/>
          <w:sz w:val="22"/>
          <w:szCs w:val="22"/>
        </w:rPr>
      </w:pPr>
      <w:r w:rsidRPr="0051683D">
        <w:rPr>
          <w:rFonts w:ascii="Arial" w:hAnsi="Arial" w:cs="Arial"/>
          <w:sz w:val="22"/>
          <w:szCs w:val="22"/>
        </w:rPr>
        <w:t>Secondary prophylaxis using cotrimoxazole after an acute episode of PCP</w:t>
      </w:r>
    </w:p>
    <w:p w:rsidR="0071027C" w:rsidRPr="0051683D" w:rsidRDefault="0071027C" w:rsidP="0071027C">
      <w:pPr>
        <w:spacing w:before="120" w:after="120" w:line="240" w:lineRule="auto"/>
        <w:jc w:val="both"/>
        <w:rPr>
          <w:rFonts w:ascii="Arial" w:hAnsi="Arial" w:cs="Arial"/>
          <w:b/>
        </w:rPr>
      </w:pPr>
      <w:r w:rsidRPr="0051683D">
        <w:rPr>
          <w:rFonts w:ascii="Arial" w:hAnsi="Arial" w:cs="Arial"/>
          <w:b/>
        </w:rPr>
        <w:t>Supportive:</w:t>
      </w:r>
    </w:p>
    <w:p w:rsidR="0071027C" w:rsidRPr="0051683D" w:rsidRDefault="0071027C" w:rsidP="00274941">
      <w:pPr>
        <w:pStyle w:val="ListParagraph"/>
        <w:numPr>
          <w:ilvl w:val="0"/>
          <w:numId w:val="51"/>
        </w:numPr>
        <w:autoSpaceDE w:val="0"/>
        <w:autoSpaceDN w:val="0"/>
        <w:adjustRightInd w:val="0"/>
        <w:contextualSpacing w:val="0"/>
        <w:jc w:val="both"/>
        <w:rPr>
          <w:rFonts w:ascii="Arial" w:hAnsi="Arial" w:cs="Arial"/>
          <w:sz w:val="22"/>
          <w:szCs w:val="22"/>
        </w:rPr>
      </w:pPr>
      <w:r w:rsidRPr="0051683D">
        <w:rPr>
          <w:rFonts w:ascii="Arial" w:hAnsi="Arial" w:cs="Arial"/>
          <w:sz w:val="22"/>
          <w:szCs w:val="22"/>
        </w:rPr>
        <w:t>Oxygen therapy</w:t>
      </w:r>
    </w:p>
    <w:p w:rsidR="0071027C" w:rsidRPr="0051683D" w:rsidRDefault="0071027C" w:rsidP="00274941">
      <w:pPr>
        <w:pStyle w:val="ListParagraph"/>
        <w:numPr>
          <w:ilvl w:val="0"/>
          <w:numId w:val="51"/>
        </w:numPr>
        <w:autoSpaceDE w:val="0"/>
        <w:autoSpaceDN w:val="0"/>
        <w:adjustRightInd w:val="0"/>
        <w:contextualSpacing w:val="0"/>
        <w:jc w:val="both"/>
        <w:rPr>
          <w:rFonts w:ascii="Arial" w:hAnsi="Arial" w:cs="Arial"/>
          <w:sz w:val="22"/>
          <w:szCs w:val="22"/>
        </w:rPr>
      </w:pPr>
      <w:r w:rsidRPr="0051683D">
        <w:rPr>
          <w:rFonts w:ascii="Arial" w:hAnsi="Arial" w:cs="Arial"/>
          <w:sz w:val="22"/>
          <w:szCs w:val="22"/>
        </w:rPr>
        <w:t>Maintain and monitor hydration</w:t>
      </w:r>
    </w:p>
    <w:p w:rsidR="0071027C" w:rsidRPr="0051683D" w:rsidRDefault="0071027C" w:rsidP="00274941">
      <w:pPr>
        <w:pStyle w:val="ListParagraph"/>
        <w:numPr>
          <w:ilvl w:val="0"/>
          <w:numId w:val="51"/>
        </w:numPr>
        <w:autoSpaceDE w:val="0"/>
        <w:autoSpaceDN w:val="0"/>
        <w:adjustRightInd w:val="0"/>
        <w:contextualSpacing w:val="0"/>
        <w:jc w:val="both"/>
        <w:rPr>
          <w:rFonts w:ascii="Arial" w:hAnsi="Arial" w:cs="Arial"/>
          <w:sz w:val="22"/>
          <w:szCs w:val="22"/>
        </w:rPr>
      </w:pPr>
      <w:r w:rsidRPr="0051683D">
        <w:rPr>
          <w:rFonts w:ascii="Arial" w:hAnsi="Arial" w:cs="Arial"/>
          <w:sz w:val="22"/>
          <w:szCs w:val="22"/>
        </w:rPr>
        <w:t>Paracetamol for pain</w:t>
      </w:r>
    </w:p>
    <w:p w:rsidR="0071027C" w:rsidRPr="0051683D" w:rsidRDefault="0071027C" w:rsidP="00274941">
      <w:pPr>
        <w:pStyle w:val="ListParagraph"/>
        <w:numPr>
          <w:ilvl w:val="0"/>
          <w:numId w:val="51"/>
        </w:numPr>
        <w:autoSpaceDE w:val="0"/>
        <w:autoSpaceDN w:val="0"/>
        <w:adjustRightInd w:val="0"/>
        <w:contextualSpacing w:val="0"/>
        <w:jc w:val="both"/>
        <w:rPr>
          <w:rFonts w:ascii="Arial" w:hAnsi="Arial" w:cs="Arial"/>
          <w:sz w:val="22"/>
          <w:szCs w:val="22"/>
        </w:rPr>
      </w:pPr>
      <w:r w:rsidRPr="0051683D">
        <w:rPr>
          <w:rFonts w:ascii="Arial" w:hAnsi="Arial" w:cs="Arial"/>
          <w:sz w:val="22"/>
          <w:szCs w:val="22"/>
        </w:rPr>
        <w:t>Continue therapy for bacterial pneumonia</w:t>
      </w:r>
    </w:p>
    <w:p w:rsidR="0071027C" w:rsidRPr="0051683D" w:rsidRDefault="0071027C" w:rsidP="00274941">
      <w:pPr>
        <w:pStyle w:val="ListParagraph"/>
        <w:numPr>
          <w:ilvl w:val="0"/>
          <w:numId w:val="51"/>
        </w:numPr>
        <w:autoSpaceDE w:val="0"/>
        <w:autoSpaceDN w:val="0"/>
        <w:adjustRightInd w:val="0"/>
        <w:contextualSpacing w:val="0"/>
        <w:jc w:val="both"/>
        <w:rPr>
          <w:rFonts w:ascii="Arial" w:hAnsi="Arial" w:cs="Arial"/>
          <w:sz w:val="22"/>
          <w:szCs w:val="22"/>
        </w:rPr>
      </w:pPr>
      <w:r w:rsidRPr="0051683D">
        <w:rPr>
          <w:rFonts w:ascii="Arial" w:hAnsi="Arial" w:cs="Arial"/>
          <w:sz w:val="22"/>
          <w:szCs w:val="22"/>
        </w:rPr>
        <w:t>Nutrition support</w:t>
      </w:r>
    </w:p>
    <w:p w:rsidR="0071027C" w:rsidRPr="0051683D" w:rsidRDefault="0071027C" w:rsidP="0071027C">
      <w:pPr>
        <w:spacing w:before="120" w:after="120" w:line="240" w:lineRule="auto"/>
        <w:ind w:left="720" w:hanging="900"/>
        <w:jc w:val="both"/>
        <w:rPr>
          <w:rFonts w:ascii="Arial" w:hAnsi="Arial" w:cs="Arial"/>
          <w:b/>
        </w:rPr>
      </w:pPr>
    </w:p>
    <w:p w:rsidR="0071027C" w:rsidRPr="0051683D" w:rsidRDefault="0071027C" w:rsidP="0071027C">
      <w:pPr>
        <w:spacing w:before="120" w:after="120" w:line="240" w:lineRule="auto"/>
        <w:ind w:left="720" w:hanging="900"/>
        <w:jc w:val="both"/>
        <w:rPr>
          <w:rFonts w:ascii="Arial" w:hAnsi="Arial" w:cs="Arial"/>
          <w:b/>
        </w:rPr>
      </w:pPr>
      <w:r w:rsidRPr="0051683D">
        <w:rPr>
          <w:rFonts w:ascii="Arial" w:hAnsi="Arial" w:cs="Arial"/>
          <w:b/>
        </w:rPr>
        <w:t>Cotrimoxazole prophylaxis for infants and children living with HIV</w:t>
      </w:r>
    </w:p>
    <w:p w:rsidR="0071027C" w:rsidRPr="0051683D" w:rsidRDefault="0071027C" w:rsidP="00274941">
      <w:pPr>
        <w:pStyle w:val="ListParagraph"/>
        <w:numPr>
          <w:ilvl w:val="0"/>
          <w:numId w:val="51"/>
        </w:numPr>
        <w:autoSpaceDE w:val="0"/>
        <w:autoSpaceDN w:val="0"/>
        <w:adjustRightInd w:val="0"/>
        <w:contextualSpacing w:val="0"/>
        <w:jc w:val="both"/>
        <w:rPr>
          <w:rFonts w:ascii="Arial" w:hAnsi="Arial" w:cs="Arial"/>
          <w:sz w:val="22"/>
          <w:szCs w:val="22"/>
        </w:rPr>
      </w:pPr>
      <w:r w:rsidRPr="0051683D">
        <w:rPr>
          <w:rFonts w:ascii="Arial" w:hAnsi="Arial" w:cs="Arial"/>
          <w:sz w:val="22"/>
          <w:szCs w:val="22"/>
        </w:rPr>
        <w:t xml:space="preserve">All children younger than five years of age living with HIV should receive cotrimoxazole prophylaxis regardless of symptoms or CD4 percentage. </w:t>
      </w:r>
    </w:p>
    <w:p w:rsidR="0071027C" w:rsidRPr="0051683D" w:rsidRDefault="0071027C" w:rsidP="00274941">
      <w:pPr>
        <w:pStyle w:val="ListParagraph"/>
        <w:numPr>
          <w:ilvl w:val="0"/>
          <w:numId w:val="51"/>
        </w:numPr>
        <w:autoSpaceDE w:val="0"/>
        <w:autoSpaceDN w:val="0"/>
        <w:adjustRightInd w:val="0"/>
        <w:contextualSpacing w:val="0"/>
        <w:jc w:val="both"/>
        <w:rPr>
          <w:rFonts w:ascii="Arial" w:hAnsi="Arial" w:cs="Arial"/>
          <w:sz w:val="22"/>
          <w:szCs w:val="22"/>
        </w:rPr>
      </w:pPr>
      <w:r w:rsidRPr="0051683D">
        <w:rPr>
          <w:rFonts w:ascii="Arial" w:hAnsi="Arial" w:cs="Arial"/>
          <w:sz w:val="22"/>
          <w:szCs w:val="22"/>
        </w:rPr>
        <w:t xml:space="preserve">After five years of age, initiation of cotrimoxazole prophylaxis is recommended for symptomatic children (WHO clinical stages 2, 3 or 4 for HIV disease) or children with a CD4 of </w:t>
      </w:r>
      <w:r w:rsidRPr="0051683D">
        <w:rPr>
          <w:rFonts w:ascii="Arial" w:hAnsi="Arial" w:cs="Arial"/>
          <w:sz w:val="22"/>
          <w:szCs w:val="22"/>
          <w:u w:val="single"/>
        </w:rPr>
        <w:t>&lt;</w:t>
      </w:r>
      <w:r w:rsidRPr="0051683D">
        <w:rPr>
          <w:rFonts w:ascii="Arial" w:hAnsi="Arial" w:cs="Arial"/>
          <w:sz w:val="22"/>
          <w:szCs w:val="22"/>
        </w:rPr>
        <w:t xml:space="preserve"> 500. </w:t>
      </w:r>
    </w:p>
    <w:p w:rsidR="0071027C" w:rsidRPr="0051683D" w:rsidRDefault="0071027C" w:rsidP="00274941">
      <w:pPr>
        <w:pStyle w:val="ListParagraph"/>
        <w:numPr>
          <w:ilvl w:val="0"/>
          <w:numId w:val="51"/>
        </w:numPr>
        <w:autoSpaceDE w:val="0"/>
        <w:autoSpaceDN w:val="0"/>
        <w:adjustRightInd w:val="0"/>
        <w:contextualSpacing w:val="0"/>
        <w:jc w:val="both"/>
        <w:rPr>
          <w:rFonts w:ascii="Arial" w:hAnsi="Arial" w:cs="Arial"/>
          <w:sz w:val="22"/>
          <w:szCs w:val="22"/>
        </w:rPr>
      </w:pPr>
      <w:r w:rsidRPr="0051683D">
        <w:rPr>
          <w:rFonts w:ascii="Arial" w:hAnsi="Arial" w:cs="Arial"/>
          <w:sz w:val="22"/>
          <w:szCs w:val="22"/>
        </w:rPr>
        <w:t xml:space="preserve">All children who begin cotrimoxazole prophylaxis should continue until the age of five years when they can be reassessed. </w:t>
      </w:r>
    </w:p>
    <w:p w:rsidR="0071027C" w:rsidRPr="0051683D" w:rsidRDefault="0071027C" w:rsidP="00274941">
      <w:pPr>
        <w:pStyle w:val="ListParagraph"/>
        <w:numPr>
          <w:ilvl w:val="0"/>
          <w:numId w:val="51"/>
        </w:numPr>
        <w:autoSpaceDE w:val="0"/>
        <w:autoSpaceDN w:val="0"/>
        <w:adjustRightInd w:val="0"/>
        <w:contextualSpacing w:val="0"/>
        <w:jc w:val="both"/>
        <w:rPr>
          <w:rFonts w:ascii="Arial" w:hAnsi="Arial" w:cs="Arial"/>
          <w:sz w:val="22"/>
          <w:szCs w:val="22"/>
        </w:rPr>
      </w:pPr>
      <w:r w:rsidRPr="0051683D">
        <w:rPr>
          <w:rFonts w:ascii="Arial" w:hAnsi="Arial" w:cs="Arial"/>
          <w:sz w:val="22"/>
          <w:szCs w:val="22"/>
        </w:rPr>
        <w:t>In children older than five years of age, discontinuation can be considered for those with repeat CD4 count above 500/ml and adherent to ART.</w:t>
      </w:r>
    </w:p>
    <w:p w:rsidR="0071027C" w:rsidRDefault="0071027C" w:rsidP="0071027C">
      <w:pPr>
        <w:pStyle w:val="Heading3"/>
        <w:spacing w:before="120" w:after="120"/>
      </w:pPr>
      <w:bookmarkStart w:id="438" w:name="_Toc373768038"/>
    </w:p>
    <w:p w:rsidR="0071027C" w:rsidRPr="004659B1" w:rsidRDefault="0071027C" w:rsidP="0071027C">
      <w:pPr>
        <w:pStyle w:val="Heading3"/>
      </w:pPr>
      <w:bookmarkStart w:id="439" w:name="_Toc378258180"/>
      <w:bookmarkStart w:id="440" w:name="_Toc382214040"/>
      <w:r w:rsidRPr="004659B1">
        <w:t>7.5.2. Tuberculosis in children</w:t>
      </w:r>
      <w:bookmarkEnd w:id="438"/>
      <w:bookmarkEnd w:id="439"/>
      <w:bookmarkEnd w:id="440"/>
    </w:p>
    <w:p w:rsidR="0071027C" w:rsidRPr="0051683D" w:rsidRDefault="0071027C" w:rsidP="0071027C">
      <w:pPr>
        <w:spacing w:before="120" w:after="120" w:line="240" w:lineRule="auto"/>
        <w:jc w:val="both"/>
        <w:rPr>
          <w:rFonts w:ascii="Arial" w:hAnsi="Arial" w:cs="Arial"/>
          <w:bCs/>
        </w:rPr>
      </w:pPr>
      <w:r w:rsidRPr="0051683D">
        <w:rPr>
          <w:rFonts w:ascii="Arial" w:hAnsi="Arial" w:cs="Arial"/>
        </w:rPr>
        <w:t xml:space="preserve">HIV-infected children should be evaluated for TB disease at the time of their HIV diagnosis and any time they present with symptoms suggestive of TB or have a history of a new contact to an adult with TB. There is </w:t>
      </w:r>
      <w:r w:rsidRPr="0051683D">
        <w:rPr>
          <w:rFonts w:ascii="Arial" w:eastAsia="GaramondPremrPro" w:hAnsi="Arial" w:cs="Arial"/>
        </w:rPr>
        <w:t>a considerable overlap of clinical and radiological findings of PTB and other forms of HIV-related lung diseases and malnutrition. TB in children is discussed in detail in chapter 10.5 of this guideline.</w:t>
      </w:r>
    </w:p>
    <w:p w:rsidR="0071027C" w:rsidRPr="004659B1" w:rsidRDefault="0071027C" w:rsidP="0071027C">
      <w:pPr>
        <w:pStyle w:val="Heading3"/>
      </w:pPr>
      <w:bookmarkStart w:id="441" w:name="_Toc373768039"/>
      <w:bookmarkStart w:id="442" w:name="_Toc378258181"/>
      <w:bookmarkStart w:id="443" w:name="_Toc382214041"/>
      <w:r w:rsidRPr="004659B1">
        <w:t>7.5.3 Diarrhea</w:t>
      </w:r>
      <w:bookmarkEnd w:id="441"/>
      <w:bookmarkEnd w:id="442"/>
      <w:bookmarkEnd w:id="443"/>
    </w:p>
    <w:p w:rsidR="0071027C" w:rsidRPr="0051683D" w:rsidRDefault="0071027C" w:rsidP="0071027C">
      <w:pPr>
        <w:spacing w:before="120" w:after="120" w:line="240" w:lineRule="auto"/>
        <w:jc w:val="both"/>
        <w:rPr>
          <w:rFonts w:ascii="Arial" w:hAnsi="Arial" w:cs="Arial"/>
          <w:bCs/>
        </w:rPr>
      </w:pPr>
      <w:r w:rsidRPr="0051683D">
        <w:rPr>
          <w:rFonts w:ascii="Arial" w:hAnsi="Arial" w:cs="Arial"/>
        </w:rPr>
        <w:t xml:space="preserve">Diarrhea is one of the most common causes of under-5 mortality.  Diarrheal illness is more frequent in HIV-infected children, tends to be more severe and prolonged, and is often associated with other comorbid conditions, including severe acute malnutrition and pneumonia.  </w:t>
      </w:r>
    </w:p>
    <w:p w:rsidR="0071027C" w:rsidRPr="0051683D" w:rsidRDefault="0071027C" w:rsidP="0071027C">
      <w:pPr>
        <w:spacing w:before="120" w:after="120" w:line="240" w:lineRule="auto"/>
        <w:jc w:val="both"/>
        <w:rPr>
          <w:rFonts w:ascii="Arial" w:hAnsi="Arial" w:cs="Arial"/>
          <w:bCs/>
        </w:rPr>
      </w:pPr>
      <w:r w:rsidRPr="0051683D">
        <w:rPr>
          <w:rFonts w:ascii="Arial" w:hAnsi="Arial" w:cs="Arial"/>
          <w:bCs/>
        </w:rPr>
        <w:t>Causative organisms are similar to those in otherwise healthy infants. (i.e. Rotavirus, Enterobacter, E.coli, Salmonella species etc.). Persistent diarrhoea (&gt;14 days) is more common among children with more severe immune suppression and might be caused by other AIDS defining conditions (i.e. CMV).</w:t>
      </w:r>
    </w:p>
    <w:p w:rsidR="0071027C" w:rsidRPr="0051683D" w:rsidRDefault="0071027C" w:rsidP="0071027C">
      <w:pPr>
        <w:spacing w:before="120" w:after="120" w:line="240" w:lineRule="auto"/>
        <w:jc w:val="both"/>
        <w:rPr>
          <w:rFonts w:ascii="Arial" w:hAnsi="Arial" w:cs="Arial"/>
        </w:rPr>
      </w:pPr>
      <w:r w:rsidRPr="0051683D">
        <w:rPr>
          <w:rFonts w:ascii="Arial" w:hAnsi="Arial" w:cs="Arial"/>
          <w:bCs/>
        </w:rPr>
        <w:t xml:space="preserve">Acute and chronic diarrhoea with or without dehydration should be managed according to IMCI guidelines as in all children. Rehydration with ORS is first priority. Antibiotics should be used where indicated. Caregivers should be counseled about the management and hygiene (hand washing, safe water). In case of persistent diarrhoea other causes should be excluded. </w:t>
      </w:r>
    </w:p>
    <w:p w:rsidR="0071027C" w:rsidRPr="0051683D" w:rsidRDefault="0071027C" w:rsidP="0071027C">
      <w:pPr>
        <w:spacing w:before="120" w:after="120" w:line="240" w:lineRule="auto"/>
        <w:jc w:val="both"/>
        <w:rPr>
          <w:rFonts w:ascii="Arial" w:hAnsi="Arial" w:cs="Arial"/>
        </w:rPr>
      </w:pPr>
      <w:r w:rsidRPr="0051683D">
        <w:rPr>
          <w:rFonts w:ascii="Arial" w:hAnsi="Arial" w:cs="Arial"/>
        </w:rPr>
        <w:t>Clinical features</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Increased frequency, volume of liquid stools</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Acute watery diarrhea – non-bloody diarrhea lasting &lt;14 days</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Dysentery – diarrhea with visible blood mixed in stools</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Persistent diarrhea – diarrhea lasting more than 14 days</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Dehydration should be assessed according to WHO/IMCI guidelines</w:t>
      </w:r>
    </w:p>
    <w:p w:rsidR="0071027C" w:rsidRPr="0051683D" w:rsidRDefault="0071027C" w:rsidP="0071027C">
      <w:pPr>
        <w:spacing w:before="120" w:after="120" w:line="240" w:lineRule="auto"/>
        <w:jc w:val="both"/>
        <w:rPr>
          <w:rFonts w:ascii="Arial" w:hAnsi="Arial" w:cs="Arial"/>
        </w:rPr>
      </w:pPr>
      <w:r w:rsidRPr="0051683D">
        <w:rPr>
          <w:rFonts w:ascii="Arial" w:hAnsi="Arial" w:cs="Arial"/>
        </w:rPr>
        <w:t>Investigations</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Stool microscopy</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Stool culture/sensitivities if available</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May be particularly useful for persistent diarrhea</w:t>
      </w:r>
    </w:p>
    <w:p w:rsidR="0071027C" w:rsidRPr="0051683D" w:rsidRDefault="0071027C" w:rsidP="0071027C">
      <w:pPr>
        <w:spacing w:before="120" w:after="120" w:line="240" w:lineRule="auto"/>
        <w:jc w:val="both"/>
        <w:rPr>
          <w:rFonts w:ascii="Arial" w:hAnsi="Arial" w:cs="Arial"/>
        </w:rPr>
      </w:pPr>
      <w:r w:rsidRPr="0051683D">
        <w:rPr>
          <w:rFonts w:ascii="Arial" w:hAnsi="Arial" w:cs="Arial"/>
        </w:rPr>
        <w:t>Management</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Management of diarrhea in HIV-exposed and HIV-infected children should generally be the same as for HIV-uninfected children</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 xml:space="preserve">Low-osmolarity ORS is preferable to standard ORS for treatment of dehydration (intravenous electrolyte solution in cases of severe dehydration) in HIV-infected and -exposed infants and children with diarrhoea. </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 xml:space="preserve">Elemental zinc supplementation is recommended for 10–14 days, with increased fluids and continued feeding, for all HIV-infected and -exposed children with diarrhoea (10 mg per day for infants under 6 months of age, 20 mg per day for infants and children over 6 months). </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Emphasize continued or increased feeding during and after the diarrheal episode</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Ciprofloxacin 15mg/kg BD for 3 days is recommended for treatment of bloody diarrhoea.</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Daily micronutrients are recommended for 2 weeks for all HIV-infected and -exposed infants and children with persistent diarrhoea.</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Persistent diarrhea not responding to standard treatments is a WHO Clinical Stage III condition, and an indication for ART in children</w:t>
      </w:r>
    </w:p>
    <w:p w:rsidR="0071027C" w:rsidRPr="004659B1" w:rsidRDefault="0071027C" w:rsidP="0071027C">
      <w:pPr>
        <w:pStyle w:val="Heading3"/>
      </w:pPr>
      <w:bookmarkStart w:id="444" w:name="_Toc373768040"/>
      <w:bookmarkStart w:id="445" w:name="_Toc378258182"/>
      <w:bookmarkStart w:id="446" w:name="_Toc382214042"/>
      <w:r w:rsidRPr="004659B1">
        <w:t>7.5.4 Oral candidiasis</w:t>
      </w:r>
      <w:bookmarkEnd w:id="444"/>
      <w:bookmarkEnd w:id="445"/>
      <w:bookmarkEnd w:id="446"/>
    </w:p>
    <w:p w:rsidR="0071027C" w:rsidRPr="0051683D" w:rsidRDefault="0071027C" w:rsidP="0071027C">
      <w:pPr>
        <w:spacing w:before="120" w:after="120" w:line="240" w:lineRule="auto"/>
        <w:jc w:val="both"/>
        <w:rPr>
          <w:rFonts w:ascii="Arial" w:hAnsi="Arial" w:cs="Arial"/>
        </w:rPr>
      </w:pPr>
      <w:r w:rsidRPr="0051683D">
        <w:rPr>
          <w:rFonts w:ascii="Arial" w:hAnsi="Arial" w:cs="Arial"/>
        </w:rPr>
        <w:t>Oral candidiasis or thrush is a very common presentation of HIV in children, and persistent or recurrent outside of the neonatal period is a WHO Clinical Stage III condition and an indication for ART in children.</w:t>
      </w:r>
    </w:p>
    <w:p w:rsidR="0071027C" w:rsidRPr="0051683D" w:rsidRDefault="0071027C" w:rsidP="0071027C">
      <w:pPr>
        <w:spacing w:before="120" w:after="120" w:line="240" w:lineRule="auto"/>
        <w:jc w:val="both"/>
        <w:rPr>
          <w:rFonts w:ascii="Arial" w:hAnsi="Arial" w:cs="Arial"/>
        </w:rPr>
      </w:pPr>
      <w:r w:rsidRPr="0051683D">
        <w:rPr>
          <w:rFonts w:ascii="Arial" w:hAnsi="Arial" w:cs="Arial"/>
        </w:rPr>
        <w:t>Management</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Nystatin suspension</w:t>
      </w:r>
    </w:p>
    <w:p w:rsidR="0071027C" w:rsidRPr="0051683D" w:rsidRDefault="0071027C" w:rsidP="00274941">
      <w:pPr>
        <w:pStyle w:val="ListParagraph"/>
        <w:numPr>
          <w:ilvl w:val="1"/>
          <w:numId w:val="52"/>
        </w:numPr>
        <w:contextualSpacing w:val="0"/>
        <w:jc w:val="both"/>
        <w:rPr>
          <w:rFonts w:ascii="Arial" w:hAnsi="Arial" w:cs="Arial"/>
          <w:sz w:val="22"/>
          <w:szCs w:val="22"/>
        </w:rPr>
      </w:pPr>
      <w:r w:rsidRPr="0051683D">
        <w:rPr>
          <w:rFonts w:ascii="Arial" w:hAnsi="Arial" w:cs="Arial"/>
          <w:sz w:val="22"/>
          <w:szCs w:val="22"/>
        </w:rPr>
        <w:t>Infants –100,000 units every 6 hours</w:t>
      </w:r>
    </w:p>
    <w:p w:rsidR="0071027C" w:rsidRPr="0051683D" w:rsidRDefault="0071027C" w:rsidP="00274941">
      <w:pPr>
        <w:pStyle w:val="ListParagraph"/>
        <w:numPr>
          <w:ilvl w:val="1"/>
          <w:numId w:val="52"/>
        </w:numPr>
        <w:contextualSpacing w:val="0"/>
        <w:jc w:val="both"/>
        <w:rPr>
          <w:rFonts w:ascii="Arial" w:hAnsi="Arial" w:cs="Arial"/>
          <w:sz w:val="22"/>
          <w:szCs w:val="22"/>
        </w:rPr>
      </w:pPr>
      <w:r w:rsidRPr="0051683D">
        <w:rPr>
          <w:rFonts w:ascii="Arial" w:hAnsi="Arial" w:cs="Arial"/>
          <w:sz w:val="22"/>
          <w:szCs w:val="22"/>
        </w:rPr>
        <w:t>Children – 400,000 – 600,000 units every 6 hours</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Clotrimazole oral drops</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Miconazole oral gel</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Gentian violet</w:t>
      </w:r>
    </w:p>
    <w:p w:rsidR="0071027C" w:rsidRPr="004659B1" w:rsidRDefault="0071027C" w:rsidP="0071027C">
      <w:pPr>
        <w:pStyle w:val="Heading3"/>
      </w:pPr>
      <w:bookmarkStart w:id="447" w:name="_Toc373768041"/>
      <w:bookmarkStart w:id="448" w:name="_Toc378258183"/>
      <w:bookmarkStart w:id="449" w:name="_Toc382214043"/>
      <w:r w:rsidRPr="004659B1">
        <w:t>7.5.5 Esophageal candidiasis</w:t>
      </w:r>
      <w:bookmarkEnd w:id="447"/>
      <w:bookmarkEnd w:id="448"/>
      <w:bookmarkEnd w:id="449"/>
    </w:p>
    <w:p w:rsidR="0071027C" w:rsidRPr="0051683D" w:rsidRDefault="0071027C" w:rsidP="0071027C">
      <w:pPr>
        <w:widowControl/>
        <w:spacing w:before="120" w:after="120" w:line="240" w:lineRule="auto"/>
        <w:jc w:val="both"/>
        <w:rPr>
          <w:rFonts w:ascii="Arial" w:hAnsi="Arial" w:cs="Arial"/>
        </w:rPr>
      </w:pPr>
      <w:r w:rsidRPr="0051683D">
        <w:rPr>
          <w:rFonts w:ascii="Arial" w:hAnsi="Arial" w:cs="Arial"/>
        </w:rPr>
        <w:t>Clinical features</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Usually associated with extensive oral thrush</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Infants and young children - Refusal to feed and crying during feeds</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Older children – pain with swallowing</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Vomiting</w:t>
      </w:r>
    </w:p>
    <w:p w:rsidR="0071027C" w:rsidRPr="0051683D" w:rsidRDefault="0071027C" w:rsidP="0071027C">
      <w:pPr>
        <w:widowControl/>
        <w:spacing w:before="120" w:after="120" w:line="240" w:lineRule="auto"/>
        <w:jc w:val="both"/>
        <w:rPr>
          <w:rFonts w:ascii="Arial" w:hAnsi="Arial" w:cs="Arial"/>
        </w:rPr>
      </w:pPr>
      <w:r w:rsidRPr="0051683D">
        <w:rPr>
          <w:rFonts w:ascii="Arial" w:hAnsi="Arial" w:cs="Arial"/>
        </w:rPr>
        <w:t>Management</w:t>
      </w:r>
    </w:p>
    <w:p w:rsidR="0071027C" w:rsidRPr="0051683D" w:rsidRDefault="0071027C" w:rsidP="00274941">
      <w:pPr>
        <w:pStyle w:val="ListParagraph"/>
        <w:numPr>
          <w:ilvl w:val="0"/>
          <w:numId w:val="52"/>
        </w:numPr>
        <w:spacing w:before="120" w:after="120"/>
        <w:jc w:val="both"/>
        <w:rPr>
          <w:rFonts w:ascii="Arial" w:hAnsi="Arial" w:cs="Arial"/>
          <w:sz w:val="22"/>
          <w:szCs w:val="22"/>
        </w:rPr>
      </w:pPr>
      <w:r w:rsidRPr="0051683D">
        <w:rPr>
          <w:rFonts w:ascii="Arial" w:hAnsi="Arial" w:cs="Arial"/>
          <w:sz w:val="22"/>
          <w:szCs w:val="22"/>
        </w:rPr>
        <w:t>Fluconazole 3-6 mg/kg once daily</w:t>
      </w:r>
    </w:p>
    <w:p w:rsidR="0071027C" w:rsidRPr="0051683D" w:rsidRDefault="0071027C" w:rsidP="00274941">
      <w:pPr>
        <w:pStyle w:val="ListParagraph"/>
        <w:numPr>
          <w:ilvl w:val="0"/>
          <w:numId w:val="52"/>
        </w:numPr>
        <w:spacing w:before="120" w:after="120"/>
        <w:jc w:val="both"/>
        <w:rPr>
          <w:rFonts w:ascii="Arial" w:hAnsi="Arial" w:cs="Arial"/>
          <w:sz w:val="22"/>
          <w:szCs w:val="22"/>
        </w:rPr>
      </w:pPr>
      <w:r w:rsidRPr="0051683D">
        <w:rPr>
          <w:rFonts w:ascii="Arial" w:hAnsi="Arial" w:cs="Arial"/>
          <w:sz w:val="22"/>
          <w:szCs w:val="22"/>
        </w:rPr>
        <w:t>If the child is not responding to oral formulation or unable to tolerate oral medications or at risk of disseminated candidiasis, IV fluconazole (3-6mg/kg once daily) can be prescribed</w:t>
      </w:r>
    </w:p>
    <w:p w:rsidR="0071027C" w:rsidRPr="008724AF" w:rsidRDefault="0071027C" w:rsidP="0071027C">
      <w:pPr>
        <w:pStyle w:val="Heading4"/>
      </w:pPr>
      <w:bookmarkStart w:id="450" w:name="_Toc373768042"/>
      <w:bookmarkStart w:id="451" w:name="_Toc378258184"/>
      <w:r w:rsidRPr="008724AF">
        <w:t>7.5.</w:t>
      </w:r>
      <w:r>
        <w:t>6</w:t>
      </w:r>
      <w:r w:rsidRPr="008724AF">
        <w:t xml:space="preserve"> Suppurative otitis media (draining ears)</w:t>
      </w:r>
      <w:bookmarkEnd w:id="450"/>
      <w:bookmarkEnd w:id="451"/>
    </w:p>
    <w:p w:rsidR="0071027C" w:rsidRPr="0051683D" w:rsidRDefault="0071027C" w:rsidP="0071027C">
      <w:pPr>
        <w:spacing w:before="120" w:after="120" w:line="240" w:lineRule="auto"/>
        <w:jc w:val="both"/>
        <w:rPr>
          <w:rFonts w:ascii="Arial" w:hAnsi="Arial" w:cs="Arial"/>
        </w:rPr>
      </w:pPr>
      <w:r w:rsidRPr="0051683D">
        <w:rPr>
          <w:rFonts w:ascii="Arial" w:hAnsi="Arial" w:cs="Arial"/>
        </w:rPr>
        <w:t>Recurrent/persistent suppurative (draining) ears are very common presentation of HIV-infection in children and should be an indication for HIV-testing in children with unknown status.</w:t>
      </w:r>
    </w:p>
    <w:p w:rsidR="0071027C" w:rsidRPr="0051683D" w:rsidRDefault="0071027C" w:rsidP="0071027C">
      <w:pPr>
        <w:widowControl/>
        <w:spacing w:before="120" w:after="120" w:line="240" w:lineRule="auto"/>
        <w:jc w:val="both"/>
        <w:rPr>
          <w:rFonts w:ascii="Arial" w:hAnsi="Arial" w:cs="Arial"/>
        </w:rPr>
      </w:pPr>
      <w:r w:rsidRPr="0051683D">
        <w:rPr>
          <w:rFonts w:ascii="Arial" w:hAnsi="Arial" w:cs="Arial"/>
        </w:rPr>
        <w:t>Management</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Wicking</w:t>
      </w:r>
    </w:p>
    <w:p w:rsidR="0071027C" w:rsidRPr="0051683D" w:rsidRDefault="0071027C" w:rsidP="00274941">
      <w:pPr>
        <w:pStyle w:val="ListParagraph"/>
        <w:numPr>
          <w:ilvl w:val="1"/>
          <w:numId w:val="52"/>
        </w:numPr>
        <w:contextualSpacing w:val="0"/>
        <w:jc w:val="both"/>
        <w:rPr>
          <w:rFonts w:ascii="Arial" w:hAnsi="Arial" w:cs="Arial"/>
          <w:sz w:val="22"/>
          <w:szCs w:val="22"/>
        </w:rPr>
      </w:pPr>
      <w:r w:rsidRPr="0051683D">
        <w:rPr>
          <w:rFonts w:ascii="Arial" w:hAnsi="Arial" w:cs="Arial"/>
          <w:sz w:val="22"/>
          <w:szCs w:val="22"/>
        </w:rPr>
        <w:t>Insert tissue or cotton wool in ear</w:t>
      </w:r>
    </w:p>
    <w:p w:rsidR="0071027C" w:rsidRPr="0051683D" w:rsidRDefault="0071027C" w:rsidP="00274941">
      <w:pPr>
        <w:pStyle w:val="ListParagraph"/>
        <w:numPr>
          <w:ilvl w:val="1"/>
          <w:numId w:val="52"/>
        </w:numPr>
        <w:contextualSpacing w:val="0"/>
        <w:jc w:val="both"/>
        <w:rPr>
          <w:rFonts w:ascii="Arial" w:hAnsi="Arial" w:cs="Arial"/>
          <w:sz w:val="22"/>
          <w:szCs w:val="22"/>
        </w:rPr>
      </w:pPr>
      <w:r w:rsidRPr="0051683D">
        <w:rPr>
          <w:rFonts w:ascii="Arial" w:hAnsi="Arial" w:cs="Arial"/>
          <w:sz w:val="22"/>
          <w:szCs w:val="22"/>
        </w:rPr>
        <w:t>Remove and then reinsert new one until last one comes out clean</w:t>
      </w:r>
    </w:p>
    <w:p w:rsidR="0071027C" w:rsidRPr="0051683D" w:rsidRDefault="0071027C" w:rsidP="00274941">
      <w:pPr>
        <w:pStyle w:val="ListParagraph"/>
        <w:numPr>
          <w:ilvl w:val="0"/>
          <w:numId w:val="52"/>
        </w:numPr>
        <w:contextualSpacing w:val="0"/>
        <w:jc w:val="both"/>
        <w:rPr>
          <w:rFonts w:ascii="Arial" w:hAnsi="Arial" w:cs="Arial"/>
          <w:sz w:val="22"/>
          <w:szCs w:val="22"/>
        </w:rPr>
      </w:pPr>
      <w:r w:rsidRPr="0051683D">
        <w:rPr>
          <w:rFonts w:ascii="Arial" w:hAnsi="Arial" w:cs="Arial"/>
          <w:sz w:val="22"/>
          <w:szCs w:val="22"/>
        </w:rPr>
        <w:t>Otic drops—use immediately after wicking</w:t>
      </w:r>
    </w:p>
    <w:p w:rsidR="0071027C" w:rsidRPr="0051683D" w:rsidRDefault="0071027C" w:rsidP="00274941">
      <w:pPr>
        <w:pStyle w:val="ListParagraph"/>
        <w:numPr>
          <w:ilvl w:val="1"/>
          <w:numId w:val="52"/>
        </w:numPr>
        <w:contextualSpacing w:val="0"/>
        <w:jc w:val="both"/>
        <w:rPr>
          <w:rFonts w:ascii="Arial" w:hAnsi="Arial" w:cs="Arial"/>
          <w:sz w:val="22"/>
          <w:szCs w:val="22"/>
        </w:rPr>
      </w:pPr>
      <w:r w:rsidRPr="0051683D">
        <w:rPr>
          <w:rFonts w:ascii="Arial" w:hAnsi="Arial" w:cs="Arial"/>
          <w:sz w:val="22"/>
          <w:szCs w:val="22"/>
        </w:rPr>
        <w:t>Keep ear upright for 15 minutes after drops</w:t>
      </w:r>
    </w:p>
    <w:p w:rsidR="0071027C" w:rsidRPr="004659B1" w:rsidRDefault="0071027C" w:rsidP="0071027C">
      <w:pPr>
        <w:pStyle w:val="Heading3"/>
      </w:pPr>
      <w:bookmarkStart w:id="452" w:name="_Toc373768043"/>
      <w:bookmarkStart w:id="453" w:name="_Toc378258185"/>
      <w:bookmarkStart w:id="454" w:name="_Toc382214044"/>
      <w:r w:rsidRPr="004659B1">
        <w:t>7.5.7 Skin manifestations</w:t>
      </w:r>
      <w:bookmarkEnd w:id="452"/>
      <w:bookmarkEnd w:id="453"/>
      <w:bookmarkEnd w:id="454"/>
    </w:p>
    <w:p w:rsidR="0071027C" w:rsidRPr="0051683D" w:rsidRDefault="0071027C" w:rsidP="0071027C">
      <w:pPr>
        <w:spacing w:before="120" w:after="120" w:line="240" w:lineRule="auto"/>
        <w:jc w:val="both"/>
        <w:rPr>
          <w:rFonts w:ascii="Arial" w:hAnsi="Arial" w:cs="Arial"/>
        </w:rPr>
      </w:pPr>
      <w:r w:rsidRPr="0051683D">
        <w:rPr>
          <w:rFonts w:ascii="Arial" w:hAnsi="Arial" w:cs="Arial"/>
        </w:rPr>
        <w:t>Rashes and other skin problems are a common manifestation of HIV in children. Examples include papular pruritic eruption (PPE), tinea corporis and warts.</w:t>
      </w:r>
    </w:p>
    <w:p w:rsidR="0071027C" w:rsidRPr="0051683D" w:rsidRDefault="0071027C" w:rsidP="00274941">
      <w:pPr>
        <w:widowControl/>
        <w:numPr>
          <w:ilvl w:val="0"/>
          <w:numId w:val="44"/>
        </w:numPr>
        <w:spacing w:before="120" w:after="120" w:line="240" w:lineRule="auto"/>
        <w:jc w:val="both"/>
        <w:rPr>
          <w:rFonts w:ascii="Arial" w:hAnsi="Arial" w:cs="Arial"/>
        </w:rPr>
      </w:pPr>
      <w:r w:rsidRPr="0051683D">
        <w:rPr>
          <w:rFonts w:ascii="Arial" w:hAnsi="Arial" w:cs="Arial"/>
        </w:rPr>
        <w:t>Herpes Zoster</w:t>
      </w:r>
    </w:p>
    <w:p w:rsidR="0071027C" w:rsidRPr="004659B1" w:rsidRDefault="0071027C" w:rsidP="0071027C">
      <w:pPr>
        <w:pStyle w:val="Heading4"/>
      </w:pPr>
      <w:r w:rsidRPr="004659B1">
        <w:t>7.5.7.1 Herpes Zoster</w:t>
      </w:r>
    </w:p>
    <w:p w:rsidR="0071027C" w:rsidRPr="0051683D" w:rsidRDefault="0071027C" w:rsidP="0071027C">
      <w:pPr>
        <w:spacing w:before="120" w:after="120" w:line="240" w:lineRule="auto"/>
        <w:jc w:val="both"/>
        <w:rPr>
          <w:rFonts w:ascii="Arial" w:hAnsi="Arial" w:cs="Arial"/>
        </w:rPr>
      </w:pPr>
      <w:r w:rsidRPr="0051683D">
        <w:rPr>
          <w:rFonts w:ascii="Arial" w:hAnsi="Arial" w:cs="Arial"/>
        </w:rPr>
        <w:t>Refer to Section 6.4.1 for description of clinical presentation.</w:t>
      </w:r>
    </w:p>
    <w:p w:rsidR="0071027C" w:rsidRPr="0051683D" w:rsidRDefault="0071027C" w:rsidP="0071027C">
      <w:pPr>
        <w:spacing w:before="120" w:after="120" w:line="240" w:lineRule="auto"/>
        <w:jc w:val="both"/>
        <w:rPr>
          <w:rFonts w:ascii="Arial" w:hAnsi="Arial" w:cs="Arial"/>
          <w:b/>
        </w:rPr>
      </w:pPr>
      <w:r w:rsidRPr="0051683D">
        <w:rPr>
          <w:rFonts w:ascii="Arial" w:hAnsi="Arial" w:cs="Arial"/>
          <w:b/>
        </w:rPr>
        <w:t>Management</w:t>
      </w:r>
    </w:p>
    <w:p w:rsidR="0071027C" w:rsidRPr="0051683D" w:rsidRDefault="0071027C" w:rsidP="00274941">
      <w:pPr>
        <w:widowControl/>
        <w:numPr>
          <w:ilvl w:val="0"/>
          <w:numId w:val="44"/>
        </w:numPr>
        <w:spacing w:after="0" w:line="240" w:lineRule="auto"/>
        <w:jc w:val="both"/>
        <w:rPr>
          <w:rFonts w:ascii="Arial" w:hAnsi="Arial" w:cs="Arial"/>
        </w:rPr>
      </w:pPr>
      <w:r w:rsidRPr="0051683D">
        <w:rPr>
          <w:rFonts w:ascii="Arial" w:hAnsi="Arial" w:cs="Arial"/>
        </w:rPr>
        <w:t>Acyclovir 20mg/kg/dose 4 times per day for 7 days and</w:t>
      </w:r>
    </w:p>
    <w:p w:rsidR="0071027C" w:rsidRPr="0051683D" w:rsidRDefault="0071027C" w:rsidP="00274941">
      <w:pPr>
        <w:widowControl/>
        <w:numPr>
          <w:ilvl w:val="0"/>
          <w:numId w:val="44"/>
        </w:numPr>
        <w:spacing w:after="0" w:line="240" w:lineRule="auto"/>
        <w:jc w:val="both"/>
        <w:rPr>
          <w:rFonts w:ascii="Arial" w:hAnsi="Arial" w:cs="Arial"/>
        </w:rPr>
      </w:pPr>
      <w:r w:rsidRPr="0051683D">
        <w:rPr>
          <w:rFonts w:ascii="Arial" w:hAnsi="Arial" w:cs="Arial"/>
        </w:rPr>
        <w:t>Cloxacillin 25m/kg/dose  times per day for 7 days</w:t>
      </w:r>
    </w:p>
    <w:p w:rsidR="0071027C" w:rsidRPr="0051683D" w:rsidRDefault="0071027C" w:rsidP="00274941">
      <w:pPr>
        <w:widowControl/>
        <w:numPr>
          <w:ilvl w:val="0"/>
          <w:numId w:val="44"/>
        </w:numPr>
        <w:spacing w:after="0" w:line="240" w:lineRule="auto"/>
        <w:jc w:val="both"/>
        <w:rPr>
          <w:rFonts w:ascii="Arial" w:hAnsi="Arial" w:cs="Arial"/>
        </w:rPr>
      </w:pPr>
      <w:r w:rsidRPr="0051683D">
        <w:rPr>
          <w:rFonts w:ascii="Arial" w:hAnsi="Arial" w:cs="Arial"/>
        </w:rPr>
        <w:t>Paracetamol for pain</w:t>
      </w:r>
    </w:p>
    <w:p w:rsidR="0071027C" w:rsidRPr="004659B1" w:rsidRDefault="0071027C" w:rsidP="0071027C">
      <w:pPr>
        <w:pStyle w:val="Heading4"/>
      </w:pPr>
      <w:r w:rsidRPr="004659B1">
        <w:t>7.5.7.2 Kaposi sarcoma (KS)</w:t>
      </w:r>
    </w:p>
    <w:p w:rsidR="0071027C" w:rsidRPr="0051683D" w:rsidRDefault="0071027C" w:rsidP="0071027C">
      <w:pPr>
        <w:spacing w:before="120" w:after="120" w:line="240" w:lineRule="auto"/>
        <w:jc w:val="both"/>
        <w:rPr>
          <w:rFonts w:ascii="Arial" w:hAnsi="Arial" w:cs="Arial"/>
        </w:rPr>
      </w:pPr>
      <w:r w:rsidRPr="0051683D">
        <w:rPr>
          <w:rFonts w:ascii="Arial" w:hAnsi="Arial" w:cs="Arial"/>
        </w:rPr>
        <w:t>Though not as common as in adults, children do get Kaposi sarcoma. The presentation includes purple plaques on the skin and mucous membranes, especially the palate, nodular skin disease, lymphatic involvement with “woody” edema, and less commonly visceral and pulmonary presentations. However, children are also likely to present with enlargement of lymph nodes and may have enlarged lymph nodes as their only presenting symptom of Kaposi sarcoma.</w:t>
      </w:r>
    </w:p>
    <w:p w:rsidR="0071027C" w:rsidRPr="0051683D" w:rsidRDefault="0071027C" w:rsidP="00274941">
      <w:pPr>
        <w:widowControl/>
        <w:numPr>
          <w:ilvl w:val="0"/>
          <w:numId w:val="45"/>
        </w:numPr>
        <w:spacing w:after="0" w:line="240" w:lineRule="auto"/>
        <w:jc w:val="both"/>
        <w:rPr>
          <w:rFonts w:ascii="Arial" w:hAnsi="Arial" w:cs="Arial"/>
        </w:rPr>
      </w:pPr>
      <w:r w:rsidRPr="0051683D">
        <w:rPr>
          <w:rFonts w:ascii="Arial" w:hAnsi="Arial" w:cs="Arial"/>
        </w:rPr>
        <w:t>Management</w:t>
      </w:r>
    </w:p>
    <w:p w:rsidR="0071027C" w:rsidRPr="0051683D" w:rsidRDefault="0071027C" w:rsidP="00274941">
      <w:pPr>
        <w:widowControl/>
        <w:numPr>
          <w:ilvl w:val="1"/>
          <w:numId w:val="45"/>
        </w:numPr>
        <w:spacing w:after="0" w:line="240" w:lineRule="auto"/>
        <w:jc w:val="both"/>
        <w:rPr>
          <w:rFonts w:ascii="Arial" w:hAnsi="Arial" w:cs="Arial"/>
        </w:rPr>
      </w:pPr>
      <w:r w:rsidRPr="0051683D">
        <w:rPr>
          <w:rFonts w:ascii="Arial" w:hAnsi="Arial" w:cs="Arial"/>
        </w:rPr>
        <w:t>Children with severe KS should be referred to specialty centers for chemotherapy</w:t>
      </w:r>
    </w:p>
    <w:p w:rsidR="0071027C" w:rsidRPr="0051683D" w:rsidRDefault="0071027C" w:rsidP="00274941">
      <w:pPr>
        <w:widowControl/>
        <w:numPr>
          <w:ilvl w:val="1"/>
          <w:numId w:val="45"/>
        </w:numPr>
        <w:spacing w:after="0" w:line="240" w:lineRule="auto"/>
        <w:jc w:val="both"/>
        <w:rPr>
          <w:rFonts w:ascii="Arial" w:hAnsi="Arial" w:cs="Arial"/>
        </w:rPr>
      </w:pPr>
      <w:r w:rsidRPr="0051683D">
        <w:rPr>
          <w:rFonts w:ascii="Arial" w:hAnsi="Arial" w:cs="Arial"/>
        </w:rPr>
        <w:t>ART should also be given as treatment for KS</w:t>
      </w:r>
    </w:p>
    <w:p w:rsidR="0071027C" w:rsidRPr="002C5736" w:rsidRDefault="0071027C" w:rsidP="00274941">
      <w:pPr>
        <w:widowControl/>
        <w:numPr>
          <w:ilvl w:val="1"/>
          <w:numId w:val="45"/>
        </w:numPr>
        <w:spacing w:after="0" w:line="240" w:lineRule="auto"/>
        <w:jc w:val="both"/>
        <w:rPr>
          <w:rFonts w:ascii="Arial Narrow" w:hAnsi="Arial Narrow"/>
          <w:sz w:val="24"/>
          <w:szCs w:val="24"/>
        </w:rPr>
      </w:pPr>
      <w:r w:rsidRPr="0051683D">
        <w:rPr>
          <w:rFonts w:ascii="Arial" w:hAnsi="Arial" w:cs="Arial"/>
        </w:rPr>
        <w:t>Note: KS patients can develop IRIS while on ART</w:t>
      </w:r>
    </w:p>
    <w:p w:rsidR="0071027C" w:rsidRPr="004659B1" w:rsidRDefault="0071027C" w:rsidP="0071027C">
      <w:pPr>
        <w:pStyle w:val="Heading3"/>
      </w:pPr>
      <w:bookmarkStart w:id="455" w:name="_Toc373768044"/>
      <w:bookmarkStart w:id="456" w:name="_Toc378258186"/>
      <w:bookmarkStart w:id="457" w:name="_Toc382214045"/>
      <w:r w:rsidRPr="004659B1">
        <w:t>7.5.8 Malnutrition</w:t>
      </w:r>
      <w:bookmarkEnd w:id="455"/>
      <w:bookmarkEnd w:id="456"/>
      <w:bookmarkEnd w:id="457"/>
    </w:p>
    <w:p w:rsidR="0071027C" w:rsidRPr="0051683D" w:rsidRDefault="0071027C" w:rsidP="0071027C">
      <w:pPr>
        <w:autoSpaceDE w:val="0"/>
        <w:autoSpaceDN w:val="0"/>
        <w:adjustRightInd w:val="0"/>
        <w:spacing w:before="120" w:after="120" w:line="240" w:lineRule="auto"/>
        <w:jc w:val="both"/>
        <w:rPr>
          <w:rFonts w:ascii="Arial" w:eastAsia="HelveticaNeueLTStd-Lt" w:hAnsi="Arial" w:cs="Arial"/>
        </w:rPr>
      </w:pPr>
      <w:r w:rsidRPr="0051683D">
        <w:rPr>
          <w:rFonts w:ascii="Arial" w:eastAsia="WarnockPro-Light" w:hAnsi="Arial" w:cs="Arial"/>
        </w:rPr>
        <w:t xml:space="preserve">Childhood acute malnutrition is high among HIV-infected children. </w:t>
      </w:r>
      <w:r w:rsidRPr="0051683D">
        <w:rPr>
          <w:rFonts w:ascii="Arial" w:eastAsia="HelveticaNeueLTStd-Lt" w:hAnsi="Arial" w:cs="Arial"/>
        </w:rPr>
        <w:t>Severe wasting is a common clinical presentation of HIV infection in children. Generally despite of their HIV status, children with severe malnutrition are at risk for a number of life-threatening problems and require urgent and appropriate rehabilitation. HIV-infected children with severe malnutrition have a higher risk of mortality than uninfected children due to the frequency and severity of OIs including TB. After their recovery from the initial rehabilitation, HIV infected children need urgent initiation of ART. Children with an unknown HIV status, who present with severe malnutrition should be tested for HIV and considered for ART.</w:t>
      </w:r>
    </w:p>
    <w:p w:rsidR="0071027C" w:rsidRPr="0051683D" w:rsidRDefault="0071027C" w:rsidP="0071027C">
      <w:pPr>
        <w:spacing w:before="120" w:after="120" w:line="240" w:lineRule="auto"/>
        <w:jc w:val="both"/>
        <w:rPr>
          <w:rFonts w:ascii="Arial" w:hAnsi="Arial" w:cs="Arial"/>
          <w:b/>
          <w:bCs/>
        </w:rPr>
      </w:pPr>
      <w:r w:rsidRPr="0051683D">
        <w:rPr>
          <w:rFonts w:ascii="Arial" w:hAnsi="Arial" w:cs="Arial"/>
          <w:b/>
          <w:bCs/>
        </w:rPr>
        <w:t>Clinical presentation of severe malnutrition</w:t>
      </w:r>
    </w:p>
    <w:p w:rsidR="0071027C" w:rsidRPr="0051683D" w:rsidRDefault="0071027C" w:rsidP="0071027C">
      <w:pPr>
        <w:autoSpaceDE w:val="0"/>
        <w:autoSpaceDN w:val="0"/>
        <w:adjustRightInd w:val="0"/>
        <w:spacing w:before="120" w:after="120" w:line="240" w:lineRule="auto"/>
        <w:jc w:val="both"/>
        <w:rPr>
          <w:rFonts w:ascii="Arial" w:eastAsia="WarnockPro-Light" w:hAnsi="Arial" w:cs="Arial"/>
        </w:rPr>
      </w:pPr>
      <w:r w:rsidRPr="0051683D">
        <w:rPr>
          <w:rFonts w:ascii="Arial" w:eastAsia="WarnockPro-Light" w:hAnsi="Arial" w:cs="Arial"/>
        </w:rPr>
        <w:t>Severe malnutrition is characterized   by the presence of any of the following: weight/height z score &lt;-3, a MUAC of &lt;11.5cm in children of 6-59 months of age, visible wasting in infants of &lt;  6months of age, or bilateral pitting oedema.</w:t>
      </w:r>
    </w:p>
    <w:p w:rsidR="0071027C" w:rsidRPr="0051683D" w:rsidRDefault="0071027C" w:rsidP="0071027C">
      <w:pPr>
        <w:autoSpaceDE w:val="0"/>
        <w:autoSpaceDN w:val="0"/>
        <w:adjustRightInd w:val="0"/>
        <w:spacing w:before="120" w:after="120" w:line="240" w:lineRule="auto"/>
        <w:jc w:val="both"/>
        <w:rPr>
          <w:rFonts w:ascii="Arial" w:eastAsia="WarnockPro-Light" w:hAnsi="Arial" w:cs="Arial"/>
          <w:b/>
        </w:rPr>
      </w:pPr>
      <w:r w:rsidRPr="0051683D">
        <w:rPr>
          <w:rFonts w:ascii="Arial" w:eastAsia="WarnockPro-Light" w:hAnsi="Arial" w:cs="Arial"/>
          <w:b/>
        </w:rPr>
        <w:t>Management of severe malnutrition</w:t>
      </w:r>
    </w:p>
    <w:p w:rsidR="0071027C" w:rsidRPr="0051683D" w:rsidRDefault="0071027C" w:rsidP="0071027C">
      <w:pPr>
        <w:spacing w:before="120" w:after="120" w:line="240" w:lineRule="auto"/>
        <w:jc w:val="both"/>
        <w:rPr>
          <w:rFonts w:ascii="Arial" w:hAnsi="Arial" w:cs="Arial"/>
        </w:rPr>
      </w:pPr>
      <w:r w:rsidRPr="0051683D">
        <w:rPr>
          <w:rFonts w:ascii="Arial" w:eastAsia="HelveticaNeueLTStd-Lt" w:hAnsi="Arial" w:cs="Arial"/>
        </w:rPr>
        <w:t>The treatment of severe malnutrition in HIV-infected children is the same as for uninfected children.</w:t>
      </w:r>
      <w:r w:rsidRPr="0051683D">
        <w:rPr>
          <w:rFonts w:ascii="Arial" w:hAnsi="Arial" w:cs="Arial"/>
          <w:bCs/>
        </w:rPr>
        <w:t xml:space="preserve"> Please refer to Guidelines for Integrated Management of Severe Acute Malnutrition and Community based management of malnutrition for details.</w:t>
      </w:r>
    </w:p>
    <w:p w:rsidR="0071027C" w:rsidRPr="0051683D" w:rsidRDefault="0071027C" w:rsidP="0071027C">
      <w:pPr>
        <w:autoSpaceDE w:val="0"/>
        <w:autoSpaceDN w:val="0"/>
        <w:adjustRightInd w:val="0"/>
        <w:spacing w:before="120" w:after="120" w:line="240" w:lineRule="auto"/>
        <w:jc w:val="both"/>
        <w:rPr>
          <w:rFonts w:ascii="Arial" w:eastAsia="HelveticaNeueLTStd-Lt" w:hAnsi="Arial" w:cs="Arial"/>
        </w:rPr>
      </w:pPr>
      <w:r w:rsidRPr="0051683D">
        <w:rPr>
          <w:rFonts w:ascii="Arial" w:eastAsia="HelveticaNeueLTStd-Lt" w:hAnsi="Arial" w:cs="Arial"/>
        </w:rPr>
        <w:t xml:space="preserve"> In HIV-infected children, the initial period of stabilization may take longer due to direct effects of HIV on the gut, appetite suppression or presence of OIs that may be hard to diagnose, such as TB.</w:t>
      </w:r>
    </w:p>
    <w:p w:rsidR="0071027C" w:rsidRDefault="0071027C"/>
    <w:p w:rsidR="0071027C" w:rsidRPr="00DC5FF0" w:rsidRDefault="0071027C" w:rsidP="0071027C">
      <w:pPr>
        <w:pStyle w:val="Heading1"/>
      </w:pPr>
      <w:bookmarkStart w:id="458" w:name="_Toc378258187"/>
      <w:bookmarkStart w:id="459" w:name="_Toc382214046"/>
      <w:r w:rsidRPr="00DC5FF0">
        <w:t>CHAPTER 8: HIV AND AIDS IN PREGNANCY</w:t>
      </w:r>
      <w:bookmarkEnd w:id="458"/>
      <w:bookmarkEnd w:id="459"/>
    </w:p>
    <w:p w:rsidR="0071027C" w:rsidRPr="00DC5FF0" w:rsidRDefault="0071027C" w:rsidP="0071027C">
      <w:pPr>
        <w:pStyle w:val="Heading2"/>
      </w:pPr>
      <w:bookmarkStart w:id="460" w:name="_Toc374979679"/>
      <w:bookmarkStart w:id="461" w:name="_Toc378258188"/>
      <w:bookmarkStart w:id="462" w:name="_Toc382214047"/>
      <w:r w:rsidRPr="00DC5FF0">
        <w:t>8.1 Introduction</w:t>
      </w:r>
      <w:bookmarkEnd w:id="460"/>
      <w:bookmarkEnd w:id="461"/>
      <w:bookmarkEnd w:id="462"/>
    </w:p>
    <w:p w:rsidR="0071027C" w:rsidRPr="00DC5FF0" w:rsidRDefault="0071027C" w:rsidP="0071027C">
      <w:pPr>
        <w:autoSpaceDE w:val="0"/>
        <w:autoSpaceDN w:val="0"/>
        <w:adjustRightInd w:val="0"/>
        <w:spacing w:before="120" w:after="120" w:line="240" w:lineRule="auto"/>
        <w:jc w:val="both"/>
        <w:rPr>
          <w:rFonts w:ascii="Arial" w:hAnsi="Arial" w:cs="Arial"/>
        </w:rPr>
      </w:pPr>
      <w:r w:rsidRPr="00DC5FF0">
        <w:rPr>
          <w:rFonts w:ascii="Arial" w:hAnsi="Arial" w:cs="Arial"/>
        </w:rPr>
        <w:t>In Tanzania, recent estimates shows that rural HIV prevalence (4.3%) is lower than that of urban areas(7.2%).HIV prevalence is higher among women (6.2%) than men (3.8%), (THMIS 2012),and is even higher for women attending antenatal clinics (6.9% in 2008). AIDS-related mortality rates among children under five years of age are still unacceptably high. It is estimated that 200,000 children under 15 years of age are living with HIV (UNAIDS 2010), and that 90% of them may have acquired the infection through MTCT. Different parts of the country are disproportionately affected. The prevalence of HIV infection ranges from 1.5% in Manyara region to 14.8% in Njombe region (THMIS 2011-12). Factors that have driven the epidemic include low and inconsistent use of condoms; multiple sex partners; mobility; transactional sex; cross-generational sex; poor quality of transfused blood; lack of male circumcision; mother-to-child transmission; gender inequities accompanied with poverty, and most-at-risk populations (TACAIDS, 2009).</w:t>
      </w:r>
    </w:p>
    <w:p w:rsidR="0071027C" w:rsidRPr="00DC5FF0" w:rsidRDefault="0071027C" w:rsidP="0071027C">
      <w:pPr>
        <w:autoSpaceDE w:val="0"/>
        <w:autoSpaceDN w:val="0"/>
        <w:adjustRightInd w:val="0"/>
        <w:spacing w:before="120" w:after="120" w:line="240" w:lineRule="auto"/>
        <w:jc w:val="both"/>
        <w:rPr>
          <w:rFonts w:ascii="Arial" w:hAnsi="Arial" w:cs="Arial"/>
        </w:rPr>
      </w:pPr>
      <w:r w:rsidRPr="00DC5FF0">
        <w:rPr>
          <w:rFonts w:ascii="Arial" w:hAnsi="Arial" w:cs="Arial"/>
        </w:rPr>
        <w:t>In spite of the challenges, significant progress has been made in the country. The number of men and women testing for HIV and receiving results has doubled from 15% in 2003 to approximately 32% in 2008. The proportion of pregnant women who access PMTCT services has grown from almost none at the pilot of PMTCT services in 2000 to 61% in 2008, and the access to antiretroviral (ARV) medications continues to grow nationwide. The Health Sector HIV/AIDS Strategic Plan (2008–2012) was intended to consolidate interventions to prevent HIV infections and reduce HIV vulnerability among the Tanzanian population. All those who are infected and affected were expected to receive treatment, care and support.</w:t>
      </w:r>
    </w:p>
    <w:p w:rsidR="0071027C" w:rsidRPr="00DC5FF0" w:rsidRDefault="0071027C" w:rsidP="0071027C">
      <w:pPr>
        <w:autoSpaceDE w:val="0"/>
        <w:autoSpaceDN w:val="0"/>
        <w:adjustRightInd w:val="0"/>
        <w:spacing w:before="120" w:after="120" w:line="240" w:lineRule="auto"/>
        <w:jc w:val="both"/>
        <w:rPr>
          <w:rFonts w:ascii="Arial" w:hAnsi="Arial" w:cs="Arial"/>
        </w:rPr>
      </w:pPr>
      <w:r w:rsidRPr="00DC5FF0">
        <w:rPr>
          <w:rFonts w:ascii="Arial" w:hAnsi="Arial" w:cs="Arial"/>
        </w:rPr>
        <w:t>The annual number of new infections exceeds by far the number of individuals enrolled into ARV treatment. The high incidence of new HIV infections in the country indicates that more effort is required in HIV prevention in order to maintain the gains made through roll out of care and treatment programmes. In view of the country’s commitment to universal access to HIV prevention, care and treatment and to the Millennium Development Goals (MDGs), reinvigoration of HIV prevention is an absolute necessity.</w:t>
      </w:r>
    </w:p>
    <w:p w:rsidR="0071027C" w:rsidRPr="00DC5FF0" w:rsidRDefault="0071027C" w:rsidP="0071027C">
      <w:pPr>
        <w:pStyle w:val="Heading2"/>
      </w:pPr>
      <w:bookmarkStart w:id="463" w:name="_Toc374979680"/>
      <w:bookmarkStart w:id="464" w:name="_Toc378258189"/>
      <w:bookmarkStart w:id="465" w:name="_Toc382214048"/>
      <w:r w:rsidRPr="00DC5FF0">
        <w:rPr>
          <w:rStyle w:val="Heading1Char"/>
          <w:b/>
          <w:bCs/>
          <w:color w:val="4F81BD"/>
          <w:sz w:val="26"/>
          <w:szCs w:val="24"/>
        </w:rPr>
        <w:t>8.2 Basic facts</w:t>
      </w:r>
      <w:r w:rsidRPr="00DC5FF0">
        <w:t xml:space="preserve"> about mother-to-child transmission of HIV</w:t>
      </w:r>
      <w:bookmarkEnd w:id="463"/>
      <w:bookmarkEnd w:id="464"/>
      <w:bookmarkEnd w:id="465"/>
    </w:p>
    <w:p w:rsidR="0071027C" w:rsidRPr="00DC5FF0" w:rsidRDefault="0071027C" w:rsidP="0071027C">
      <w:pPr>
        <w:autoSpaceDE w:val="0"/>
        <w:autoSpaceDN w:val="0"/>
        <w:adjustRightInd w:val="0"/>
        <w:spacing w:before="120" w:after="120" w:line="240" w:lineRule="auto"/>
        <w:jc w:val="both"/>
        <w:rPr>
          <w:rFonts w:ascii="Arial" w:hAnsi="Arial" w:cs="Arial"/>
        </w:rPr>
      </w:pPr>
      <w:r w:rsidRPr="00DC5FF0">
        <w:rPr>
          <w:rFonts w:ascii="Arial" w:hAnsi="Arial" w:cs="Arial"/>
        </w:rPr>
        <w:t>Mother-to-child transmission (MTCT) of HIV refers to the transmission of HIV infection from HIV-infected mothers to their infants. MTCT can occur during pregnancy, labour and delivery, and breastfeeding. Without intervention, the overall risk of MTCT is approximately 20% to 45%. Transmission of HIV from mother to her child accounts for over 90% of all HIV infection in children aged below 15 years.</w:t>
      </w:r>
    </w:p>
    <w:p w:rsidR="0071027C" w:rsidRDefault="0071027C" w:rsidP="00AA771C">
      <w:pPr>
        <w:spacing w:beforeLines="120" w:before="288" w:afterLines="120" w:after="288"/>
        <w:jc w:val="both"/>
        <w:rPr>
          <w:rFonts w:ascii="Arial Narrow" w:hAnsi="Arial Narrow"/>
          <w:b/>
          <w:sz w:val="24"/>
          <w:szCs w:val="24"/>
        </w:rPr>
        <w:sectPr w:rsidR="0071027C" w:rsidSect="0027452F">
          <w:pgSz w:w="12240" w:h="15840"/>
          <w:pgMar w:top="1440" w:right="1440" w:bottom="1440" w:left="1440" w:header="720" w:footer="720" w:gutter="0"/>
          <w:cols w:space="720"/>
          <w:docGrid w:linePitch="360"/>
        </w:sectPr>
      </w:pPr>
    </w:p>
    <w:p w:rsidR="0071027C" w:rsidRPr="00C203F3" w:rsidRDefault="0071027C" w:rsidP="00AA771C">
      <w:pPr>
        <w:spacing w:beforeLines="120" w:before="288" w:afterLines="120" w:after="288"/>
        <w:jc w:val="both"/>
        <w:rPr>
          <w:rFonts w:ascii="Arial Narrow" w:hAnsi="Arial Narrow"/>
          <w:b/>
          <w:sz w:val="24"/>
          <w:szCs w:val="24"/>
        </w:rPr>
      </w:pPr>
      <w:r w:rsidRPr="00C203F3">
        <w:rPr>
          <w:rFonts w:ascii="Arial Narrow" w:hAnsi="Arial Narrow"/>
          <w:b/>
          <w:sz w:val="24"/>
          <w:szCs w:val="24"/>
        </w:rPr>
        <w:t>Figure 8.1: Estimated HIV outcomes for infants born to women living with HIV</w:t>
      </w:r>
    </w:p>
    <w:p w:rsidR="0071027C" w:rsidRPr="00C203F3" w:rsidRDefault="00AA771C" w:rsidP="00AA771C">
      <w:pPr>
        <w:spacing w:beforeLines="120" w:before="288" w:afterLines="120" w:after="288"/>
        <w:jc w:val="both"/>
        <w:rPr>
          <w:rFonts w:ascii="Arial Narrow" w:hAnsi="Arial Narrow"/>
          <w:b/>
          <w:sz w:val="24"/>
          <w:szCs w:val="24"/>
        </w:rPr>
      </w:pPr>
      <w:r>
        <w:rPr>
          <w:rFonts w:ascii="Arial Narrow" w:hAnsi="Arial Narrow"/>
          <w:b/>
          <w:noProof/>
          <w:sz w:val="24"/>
          <w:szCs w:val="24"/>
        </w:rPr>
        <w:drawing>
          <wp:inline distT="0" distB="0" distL="0" distR="0">
            <wp:extent cx="5156835" cy="3881120"/>
            <wp:effectExtent l="0" t="0" r="5715" b="508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6835" cy="3881120"/>
                    </a:xfrm>
                    <a:prstGeom prst="rect">
                      <a:avLst/>
                    </a:prstGeom>
                    <a:noFill/>
                    <a:ln>
                      <a:noFill/>
                    </a:ln>
                  </pic:spPr>
                </pic:pic>
              </a:graphicData>
            </a:graphic>
          </wp:inline>
        </w:drawing>
      </w:r>
    </w:p>
    <w:p w:rsidR="0071027C" w:rsidRPr="00C203F3" w:rsidRDefault="0071027C" w:rsidP="00AA771C">
      <w:pPr>
        <w:spacing w:beforeLines="120" w:before="288" w:afterLines="120" w:after="288"/>
        <w:jc w:val="both"/>
        <w:rPr>
          <w:rFonts w:ascii="Arial Narrow" w:hAnsi="Arial Narrow"/>
          <w:b/>
          <w:sz w:val="24"/>
          <w:szCs w:val="24"/>
        </w:rPr>
      </w:pPr>
    </w:p>
    <w:p w:rsidR="0071027C" w:rsidRPr="00DC5FF0" w:rsidRDefault="0071027C" w:rsidP="0071027C">
      <w:pPr>
        <w:autoSpaceDE w:val="0"/>
        <w:autoSpaceDN w:val="0"/>
        <w:adjustRightInd w:val="0"/>
        <w:spacing w:before="120" w:after="120" w:line="240" w:lineRule="auto"/>
        <w:jc w:val="both"/>
        <w:rPr>
          <w:rFonts w:ascii="Arial" w:hAnsi="Arial" w:cs="Arial"/>
        </w:rPr>
      </w:pPr>
      <w:r w:rsidRPr="00DC5FF0">
        <w:rPr>
          <w:rFonts w:ascii="Arial" w:hAnsi="Arial" w:cs="Arial"/>
        </w:rPr>
        <w:t>There are multiple risk factors that increase the chance that a mother will transmit HIV to her child:</w:t>
      </w:r>
    </w:p>
    <w:p w:rsidR="0071027C" w:rsidRPr="00DC5FF0" w:rsidRDefault="0071027C" w:rsidP="00274941">
      <w:pPr>
        <w:pStyle w:val="ListParagraph"/>
        <w:numPr>
          <w:ilvl w:val="0"/>
          <w:numId w:val="58"/>
        </w:numPr>
        <w:autoSpaceDE w:val="0"/>
        <w:autoSpaceDN w:val="0"/>
        <w:adjustRightInd w:val="0"/>
        <w:contextualSpacing w:val="0"/>
        <w:jc w:val="both"/>
        <w:rPr>
          <w:rFonts w:ascii="Arial" w:hAnsi="Arial" w:cs="Arial"/>
          <w:sz w:val="22"/>
          <w:szCs w:val="22"/>
        </w:rPr>
      </w:pPr>
      <w:r w:rsidRPr="00DC5FF0">
        <w:rPr>
          <w:rFonts w:ascii="Arial" w:hAnsi="Arial" w:cs="Arial"/>
          <w:sz w:val="22"/>
          <w:szCs w:val="22"/>
        </w:rPr>
        <w:t>High maternal viral load and low CD4 count, which occur in newly infected individuals and in advanced stages of HIV disease (AIDS)</w:t>
      </w:r>
    </w:p>
    <w:p w:rsidR="0071027C" w:rsidRPr="00DC5FF0" w:rsidRDefault="0071027C" w:rsidP="00274941">
      <w:pPr>
        <w:pStyle w:val="ListParagraph"/>
        <w:numPr>
          <w:ilvl w:val="0"/>
          <w:numId w:val="58"/>
        </w:numPr>
        <w:autoSpaceDE w:val="0"/>
        <w:autoSpaceDN w:val="0"/>
        <w:adjustRightInd w:val="0"/>
        <w:contextualSpacing w:val="0"/>
        <w:jc w:val="both"/>
        <w:rPr>
          <w:rFonts w:ascii="Arial" w:hAnsi="Arial" w:cs="Arial"/>
          <w:sz w:val="22"/>
          <w:szCs w:val="22"/>
        </w:rPr>
      </w:pPr>
      <w:r w:rsidRPr="00DC5FF0">
        <w:rPr>
          <w:rFonts w:ascii="Arial" w:hAnsi="Arial" w:cs="Arial"/>
          <w:sz w:val="22"/>
          <w:szCs w:val="22"/>
        </w:rPr>
        <w:t>Virulence of viral subtypes and strains. For example; MTCT rates are higher with HIV-1 infection than with HIV-2 infections.</w:t>
      </w:r>
    </w:p>
    <w:p w:rsidR="0071027C" w:rsidRDefault="0071027C" w:rsidP="00274941">
      <w:pPr>
        <w:pStyle w:val="ListParagraph"/>
        <w:numPr>
          <w:ilvl w:val="0"/>
          <w:numId w:val="58"/>
        </w:numPr>
        <w:contextualSpacing w:val="0"/>
        <w:jc w:val="both"/>
        <w:rPr>
          <w:rFonts w:ascii="Arial" w:hAnsi="Arial" w:cs="Arial"/>
          <w:sz w:val="22"/>
          <w:szCs w:val="22"/>
        </w:rPr>
      </w:pPr>
      <w:r w:rsidRPr="00DC5FF0">
        <w:rPr>
          <w:rFonts w:ascii="Arial" w:hAnsi="Arial" w:cs="Arial"/>
          <w:sz w:val="22"/>
          <w:szCs w:val="22"/>
        </w:rPr>
        <w:t xml:space="preserve">Obstetric and neonatal risk factors, as outlined in Table </w:t>
      </w:r>
      <w:r>
        <w:rPr>
          <w:rFonts w:ascii="Arial" w:hAnsi="Arial" w:cs="Arial"/>
          <w:sz w:val="22"/>
          <w:szCs w:val="22"/>
        </w:rPr>
        <w:t>8.</w:t>
      </w:r>
      <w:r w:rsidRPr="00DC5FF0">
        <w:rPr>
          <w:rFonts w:ascii="Arial" w:hAnsi="Arial" w:cs="Arial"/>
          <w:sz w:val="22"/>
          <w:szCs w:val="22"/>
        </w:rPr>
        <w:t>1.</w:t>
      </w:r>
    </w:p>
    <w:p w:rsidR="0071027C" w:rsidRPr="00DC5FF0" w:rsidRDefault="0071027C" w:rsidP="0071027C">
      <w:pPr>
        <w:pStyle w:val="ListParagraph"/>
        <w:contextualSpacing w:val="0"/>
        <w:jc w:val="both"/>
        <w:rPr>
          <w:rFonts w:ascii="Arial" w:hAnsi="Arial" w:cs="Arial"/>
          <w:sz w:val="22"/>
          <w:szCs w:val="22"/>
        </w:rPr>
      </w:pPr>
    </w:p>
    <w:p w:rsidR="0071027C" w:rsidRDefault="0071027C" w:rsidP="00AA771C">
      <w:pPr>
        <w:autoSpaceDE w:val="0"/>
        <w:autoSpaceDN w:val="0"/>
        <w:adjustRightInd w:val="0"/>
        <w:spacing w:beforeLines="120" w:before="288" w:afterLines="120" w:after="288"/>
        <w:jc w:val="both"/>
        <w:rPr>
          <w:rFonts w:ascii="Arial Narrow" w:hAnsi="Arial Narrow" w:cs="Helvetica-Bold"/>
          <w:b/>
          <w:bCs/>
          <w:sz w:val="24"/>
          <w:szCs w:val="24"/>
        </w:rPr>
        <w:sectPr w:rsidR="0071027C" w:rsidSect="0027452F">
          <w:pgSz w:w="12240" w:h="15840"/>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71027C" w:rsidRPr="00DC5FF0" w:rsidTr="0071027C">
        <w:trPr>
          <w:trHeight w:val="620"/>
        </w:trPr>
        <w:tc>
          <w:tcPr>
            <w:tcW w:w="9576" w:type="dxa"/>
            <w:gridSpan w:val="3"/>
            <w:tcBorders>
              <w:top w:val="nil"/>
              <w:left w:val="nil"/>
              <w:bottom w:val="nil"/>
              <w:right w:val="nil"/>
            </w:tcBorders>
            <w:hideMark/>
          </w:tcPr>
          <w:p w:rsidR="0071027C" w:rsidRPr="00DC5FF0" w:rsidRDefault="0071027C" w:rsidP="00AA771C">
            <w:pPr>
              <w:autoSpaceDE w:val="0"/>
              <w:autoSpaceDN w:val="0"/>
              <w:adjustRightInd w:val="0"/>
              <w:spacing w:beforeLines="120" w:before="288" w:afterLines="120" w:after="288"/>
              <w:jc w:val="both"/>
              <w:rPr>
                <w:rFonts w:ascii="Arial" w:eastAsia="Times New Roman" w:hAnsi="Arial" w:cs="Arial"/>
              </w:rPr>
            </w:pPr>
            <w:r w:rsidRPr="00DC5FF0">
              <w:rPr>
                <w:rFonts w:ascii="Arial" w:hAnsi="Arial" w:cs="Arial"/>
                <w:b/>
                <w:bCs/>
              </w:rPr>
              <w:t>Table 8.1: Viral factors, maternal conditions, and obstetric interventions that may increase the risk of HIV transmission</w:t>
            </w:r>
          </w:p>
        </w:tc>
      </w:tr>
      <w:tr w:rsidR="0071027C" w:rsidRPr="00DC5FF0" w:rsidTr="0071027C">
        <w:trPr>
          <w:trHeight w:val="620"/>
        </w:trPr>
        <w:tc>
          <w:tcPr>
            <w:tcW w:w="3192" w:type="dxa"/>
            <w:tcBorders>
              <w:top w:val="nil"/>
              <w:left w:val="single" w:sz="4" w:space="0" w:color="auto"/>
              <w:bottom w:val="single" w:sz="4" w:space="0" w:color="auto"/>
              <w:right w:val="single" w:sz="4" w:space="0" w:color="FFFFFF"/>
            </w:tcBorders>
            <w:shd w:val="clear" w:color="auto" w:fill="000000"/>
            <w:hideMark/>
          </w:tcPr>
          <w:p w:rsidR="0071027C" w:rsidRPr="00DC5FF0" w:rsidRDefault="0071027C" w:rsidP="00AA771C">
            <w:pPr>
              <w:spacing w:beforeLines="120" w:before="288" w:afterLines="120" w:after="288"/>
              <w:jc w:val="both"/>
              <w:rPr>
                <w:rFonts w:ascii="Arial" w:eastAsia="Times New Roman" w:hAnsi="Arial" w:cs="Arial"/>
              </w:rPr>
            </w:pPr>
            <w:r w:rsidRPr="00DC5FF0">
              <w:rPr>
                <w:rFonts w:ascii="Arial" w:eastAsia="Times New Roman" w:hAnsi="Arial" w:cs="Arial"/>
                <w:b/>
                <w:bCs/>
              </w:rPr>
              <w:t>During Pregnancy</w:t>
            </w:r>
          </w:p>
        </w:tc>
        <w:tc>
          <w:tcPr>
            <w:tcW w:w="3192" w:type="dxa"/>
            <w:tcBorders>
              <w:top w:val="nil"/>
              <w:left w:val="single" w:sz="4" w:space="0" w:color="FFFFFF"/>
              <w:bottom w:val="single" w:sz="4" w:space="0" w:color="auto"/>
              <w:right w:val="single" w:sz="4" w:space="0" w:color="FFFFFF"/>
            </w:tcBorders>
            <w:shd w:val="clear" w:color="auto" w:fill="000000"/>
            <w:hideMark/>
          </w:tcPr>
          <w:p w:rsidR="0071027C" w:rsidRPr="00DC5FF0" w:rsidRDefault="0071027C" w:rsidP="00AA771C">
            <w:pPr>
              <w:autoSpaceDE w:val="0"/>
              <w:autoSpaceDN w:val="0"/>
              <w:adjustRightInd w:val="0"/>
              <w:spacing w:beforeLines="120" w:before="288" w:afterLines="120" w:after="288"/>
              <w:jc w:val="both"/>
              <w:rPr>
                <w:rFonts w:ascii="Arial" w:eastAsia="Times New Roman" w:hAnsi="Arial" w:cs="Arial"/>
                <w:b/>
                <w:bCs/>
              </w:rPr>
            </w:pPr>
            <w:r w:rsidRPr="00DC5FF0">
              <w:rPr>
                <w:rFonts w:ascii="Arial" w:eastAsia="Times New Roman" w:hAnsi="Arial" w:cs="Arial"/>
                <w:b/>
                <w:bCs/>
              </w:rPr>
              <w:t>During Labour and delivery</w:t>
            </w:r>
          </w:p>
        </w:tc>
        <w:tc>
          <w:tcPr>
            <w:tcW w:w="3192" w:type="dxa"/>
            <w:tcBorders>
              <w:top w:val="nil"/>
              <w:left w:val="single" w:sz="4" w:space="0" w:color="FFFFFF"/>
              <w:bottom w:val="single" w:sz="4" w:space="0" w:color="auto"/>
              <w:right w:val="single" w:sz="4" w:space="0" w:color="auto"/>
            </w:tcBorders>
            <w:shd w:val="clear" w:color="auto" w:fill="000000"/>
            <w:hideMark/>
          </w:tcPr>
          <w:p w:rsidR="0071027C" w:rsidRPr="00DC5FF0" w:rsidRDefault="0071027C" w:rsidP="00AA771C">
            <w:pPr>
              <w:spacing w:beforeLines="120" w:before="288" w:afterLines="120" w:after="288"/>
              <w:jc w:val="both"/>
              <w:rPr>
                <w:rFonts w:ascii="Arial" w:eastAsia="Times New Roman" w:hAnsi="Arial" w:cs="Arial"/>
              </w:rPr>
            </w:pPr>
            <w:r w:rsidRPr="00DC5FF0">
              <w:rPr>
                <w:rFonts w:ascii="Arial" w:eastAsia="Times New Roman" w:hAnsi="Arial" w:cs="Arial"/>
                <w:b/>
                <w:bCs/>
              </w:rPr>
              <w:t>When Breastfeeding</w:t>
            </w:r>
          </w:p>
        </w:tc>
      </w:tr>
      <w:tr w:rsidR="0071027C" w:rsidRPr="00DC5FF0" w:rsidTr="0071027C">
        <w:trPr>
          <w:trHeight w:val="4040"/>
        </w:trPr>
        <w:tc>
          <w:tcPr>
            <w:tcW w:w="3192" w:type="dxa"/>
            <w:tcBorders>
              <w:top w:val="single" w:sz="4" w:space="0" w:color="auto"/>
              <w:left w:val="single" w:sz="4" w:space="0" w:color="auto"/>
              <w:bottom w:val="single" w:sz="4" w:space="0" w:color="auto"/>
              <w:right w:val="single" w:sz="4" w:space="0" w:color="auto"/>
            </w:tcBorders>
            <w:hideMark/>
          </w:tcPr>
          <w:p w:rsidR="0071027C" w:rsidRPr="00DC5FF0" w:rsidRDefault="0071027C" w:rsidP="00AA771C">
            <w:pPr>
              <w:pStyle w:val="ListParagraph"/>
              <w:numPr>
                <w:ilvl w:val="0"/>
                <w:numId w:val="59"/>
              </w:numPr>
              <w:autoSpaceDE w:val="0"/>
              <w:autoSpaceDN w:val="0"/>
              <w:adjustRightInd w:val="0"/>
              <w:spacing w:beforeLines="120" w:before="288" w:afterLines="120" w:after="288" w:line="276" w:lineRule="auto"/>
              <w:jc w:val="both"/>
              <w:rPr>
                <w:rFonts w:ascii="Arial" w:hAnsi="Arial" w:cs="Arial"/>
                <w:sz w:val="22"/>
                <w:szCs w:val="22"/>
              </w:rPr>
            </w:pPr>
            <w:r w:rsidRPr="00DC5FF0">
              <w:rPr>
                <w:rFonts w:ascii="Arial" w:hAnsi="Arial" w:cs="Arial"/>
                <w:sz w:val="22"/>
                <w:szCs w:val="22"/>
              </w:rPr>
              <w:t>High maternal viral load and low CD4 count (newly infected ndividuals or advanced AIDS)</w:t>
            </w:r>
          </w:p>
          <w:p w:rsidR="0071027C" w:rsidRPr="00DC5FF0" w:rsidRDefault="0071027C" w:rsidP="00AA771C">
            <w:pPr>
              <w:pStyle w:val="ListParagraph"/>
              <w:numPr>
                <w:ilvl w:val="0"/>
                <w:numId w:val="59"/>
              </w:numPr>
              <w:autoSpaceDE w:val="0"/>
              <w:autoSpaceDN w:val="0"/>
              <w:adjustRightInd w:val="0"/>
              <w:spacing w:beforeLines="120" w:before="288" w:afterLines="120" w:after="288" w:line="276" w:lineRule="auto"/>
              <w:jc w:val="both"/>
              <w:rPr>
                <w:rFonts w:ascii="Arial" w:hAnsi="Arial" w:cs="Arial"/>
                <w:sz w:val="22"/>
                <w:szCs w:val="22"/>
              </w:rPr>
            </w:pPr>
            <w:r w:rsidRPr="00DC5FF0">
              <w:rPr>
                <w:rFonts w:ascii="Arial" w:hAnsi="Arial" w:cs="Arial"/>
                <w:sz w:val="22"/>
                <w:szCs w:val="22"/>
              </w:rPr>
              <w:t>Viral, bacterial or parasitic placental infections (e.g.,malaria)</w:t>
            </w:r>
          </w:p>
          <w:p w:rsidR="0071027C" w:rsidRPr="00DC5FF0" w:rsidRDefault="0071027C" w:rsidP="00AA771C">
            <w:pPr>
              <w:pStyle w:val="ListParagraph"/>
              <w:numPr>
                <w:ilvl w:val="0"/>
                <w:numId w:val="59"/>
              </w:numPr>
              <w:autoSpaceDE w:val="0"/>
              <w:autoSpaceDN w:val="0"/>
              <w:adjustRightInd w:val="0"/>
              <w:spacing w:beforeLines="120" w:before="288" w:afterLines="120" w:after="288" w:line="276" w:lineRule="auto"/>
              <w:jc w:val="both"/>
              <w:rPr>
                <w:rFonts w:ascii="Arial" w:hAnsi="Arial" w:cs="Arial"/>
                <w:sz w:val="22"/>
                <w:szCs w:val="22"/>
              </w:rPr>
            </w:pPr>
            <w:r w:rsidRPr="00DC5FF0">
              <w:rPr>
                <w:rFonts w:ascii="Arial" w:hAnsi="Arial" w:cs="Arial"/>
                <w:sz w:val="22"/>
                <w:szCs w:val="22"/>
              </w:rPr>
              <w:t>Sexually transmitted illnesses (STIs)</w:t>
            </w:r>
          </w:p>
        </w:tc>
        <w:tc>
          <w:tcPr>
            <w:tcW w:w="3192" w:type="dxa"/>
            <w:tcBorders>
              <w:top w:val="single" w:sz="4" w:space="0" w:color="auto"/>
              <w:left w:val="single" w:sz="4" w:space="0" w:color="auto"/>
              <w:bottom w:val="single" w:sz="4" w:space="0" w:color="auto"/>
              <w:right w:val="single" w:sz="4" w:space="0" w:color="auto"/>
            </w:tcBorders>
            <w:hideMark/>
          </w:tcPr>
          <w:p w:rsidR="0071027C" w:rsidRPr="00DC5FF0" w:rsidRDefault="0071027C" w:rsidP="00AA771C">
            <w:pPr>
              <w:pStyle w:val="ListParagraph"/>
              <w:numPr>
                <w:ilvl w:val="0"/>
                <w:numId w:val="59"/>
              </w:numPr>
              <w:autoSpaceDE w:val="0"/>
              <w:autoSpaceDN w:val="0"/>
              <w:adjustRightInd w:val="0"/>
              <w:spacing w:beforeLines="120" w:before="288" w:afterLines="120" w:after="288" w:line="276" w:lineRule="auto"/>
              <w:jc w:val="both"/>
              <w:rPr>
                <w:rFonts w:ascii="Arial" w:hAnsi="Arial" w:cs="Arial"/>
                <w:sz w:val="22"/>
                <w:szCs w:val="22"/>
              </w:rPr>
            </w:pPr>
            <w:r w:rsidRPr="00DC5FF0">
              <w:rPr>
                <w:rFonts w:ascii="Arial" w:hAnsi="Arial" w:cs="Arial"/>
                <w:sz w:val="22"/>
                <w:szCs w:val="22"/>
              </w:rPr>
              <w:t>High maternal viral load and low CD4 count (new infection or advanced AIDS)</w:t>
            </w:r>
          </w:p>
          <w:p w:rsidR="0071027C" w:rsidRPr="00DC5FF0" w:rsidRDefault="0071027C" w:rsidP="00AA771C">
            <w:pPr>
              <w:pStyle w:val="ListParagraph"/>
              <w:numPr>
                <w:ilvl w:val="0"/>
                <w:numId w:val="59"/>
              </w:numPr>
              <w:autoSpaceDE w:val="0"/>
              <w:autoSpaceDN w:val="0"/>
              <w:adjustRightInd w:val="0"/>
              <w:spacing w:beforeLines="120" w:before="288" w:afterLines="120" w:after="288" w:line="276" w:lineRule="auto"/>
              <w:jc w:val="both"/>
              <w:rPr>
                <w:rFonts w:ascii="Arial" w:hAnsi="Arial" w:cs="Arial"/>
                <w:sz w:val="22"/>
                <w:szCs w:val="22"/>
              </w:rPr>
            </w:pPr>
            <w:r w:rsidRPr="00DC5FF0">
              <w:rPr>
                <w:rFonts w:ascii="Arial" w:hAnsi="Arial" w:cs="Arial"/>
                <w:sz w:val="22"/>
                <w:szCs w:val="22"/>
              </w:rPr>
              <w:t>Chorioamnionitis (from untreated STIs or other infections)</w:t>
            </w:r>
          </w:p>
          <w:p w:rsidR="0071027C" w:rsidRPr="00DC5FF0" w:rsidRDefault="0071027C" w:rsidP="00AA771C">
            <w:pPr>
              <w:pStyle w:val="ListParagraph"/>
              <w:numPr>
                <w:ilvl w:val="0"/>
                <w:numId w:val="59"/>
              </w:numPr>
              <w:autoSpaceDE w:val="0"/>
              <w:autoSpaceDN w:val="0"/>
              <w:adjustRightInd w:val="0"/>
              <w:spacing w:beforeLines="120" w:before="288" w:afterLines="120" w:after="288" w:line="276" w:lineRule="auto"/>
              <w:jc w:val="both"/>
              <w:rPr>
                <w:rFonts w:ascii="Arial" w:hAnsi="Arial" w:cs="Arial"/>
                <w:sz w:val="22"/>
                <w:szCs w:val="22"/>
              </w:rPr>
            </w:pPr>
            <w:r w:rsidRPr="00DC5FF0">
              <w:rPr>
                <w:rFonts w:ascii="Arial" w:hAnsi="Arial" w:cs="Arial"/>
                <w:sz w:val="22"/>
                <w:szCs w:val="22"/>
              </w:rPr>
              <w:t>Rupture of membranes for more than 4 hours before delivery</w:t>
            </w:r>
          </w:p>
        </w:tc>
        <w:tc>
          <w:tcPr>
            <w:tcW w:w="3192" w:type="dxa"/>
            <w:tcBorders>
              <w:top w:val="single" w:sz="4" w:space="0" w:color="auto"/>
              <w:left w:val="single" w:sz="4" w:space="0" w:color="auto"/>
              <w:bottom w:val="single" w:sz="4" w:space="0" w:color="auto"/>
              <w:right w:val="single" w:sz="4" w:space="0" w:color="auto"/>
            </w:tcBorders>
            <w:hideMark/>
          </w:tcPr>
          <w:p w:rsidR="0071027C" w:rsidRPr="00DC5FF0" w:rsidRDefault="0071027C" w:rsidP="00AA771C">
            <w:pPr>
              <w:pStyle w:val="ListParagraph"/>
              <w:numPr>
                <w:ilvl w:val="0"/>
                <w:numId w:val="59"/>
              </w:numPr>
              <w:autoSpaceDE w:val="0"/>
              <w:autoSpaceDN w:val="0"/>
              <w:adjustRightInd w:val="0"/>
              <w:spacing w:beforeLines="120" w:before="288" w:afterLines="120" w:after="288" w:line="276" w:lineRule="auto"/>
              <w:jc w:val="both"/>
              <w:rPr>
                <w:rFonts w:ascii="Arial" w:hAnsi="Arial" w:cs="Arial"/>
                <w:sz w:val="22"/>
                <w:szCs w:val="22"/>
              </w:rPr>
            </w:pPr>
            <w:r w:rsidRPr="00DC5FF0">
              <w:rPr>
                <w:rFonts w:ascii="Arial" w:hAnsi="Arial" w:cs="Arial"/>
                <w:sz w:val="22"/>
                <w:szCs w:val="22"/>
              </w:rPr>
              <w:t>High maternal viral load and low CD4 count (new infection or advanced AIDS)</w:t>
            </w:r>
          </w:p>
          <w:p w:rsidR="0071027C" w:rsidRPr="00DC5FF0" w:rsidRDefault="0071027C" w:rsidP="00AA771C">
            <w:pPr>
              <w:pStyle w:val="ListParagraph"/>
              <w:numPr>
                <w:ilvl w:val="0"/>
                <w:numId w:val="59"/>
              </w:numPr>
              <w:autoSpaceDE w:val="0"/>
              <w:autoSpaceDN w:val="0"/>
              <w:adjustRightInd w:val="0"/>
              <w:spacing w:beforeLines="120" w:before="288" w:afterLines="120" w:after="288" w:line="276" w:lineRule="auto"/>
              <w:jc w:val="both"/>
              <w:rPr>
                <w:rFonts w:ascii="Arial" w:hAnsi="Arial" w:cs="Arial"/>
                <w:sz w:val="22"/>
                <w:szCs w:val="22"/>
              </w:rPr>
            </w:pPr>
            <w:r w:rsidRPr="00DC5FF0">
              <w:rPr>
                <w:rFonts w:ascii="Arial" w:hAnsi="Arial" w:cs="Arial"/>
                <w:sz w:val="22"/>
                <w:szCs w:val="22"/>
              </w:rPr>
              <w:t>Oral disease in the infant (e.g.,or mouth sores)</w:t>
            </w:r>
          </w:p>
          <w:p w:rsidR="0071027C" w:rsidRPr="00DC5FF0" w:rsidRDefault="0071027C" w:rsidP="00AA771C">
            <w:pPr>
              <w:pStyle w:val="ListParagraph"/>
              <w:numPr>
                <w:ilvl w:val="0"/>
                <w:numId w:val="59"/>
              </w:numPr>
              <w:autoSpaceDE w:val="0"/>
              <w:autoSpaceDN w:val="0"/>
              <w:adjustRightInd w:val="0"/>
              <w:spacing w:beforeLines="120" w:before="288" w:afterLines="120" w:after="288" w:line="276" w:lineRule="auto"/>
              <w:jc w:val="both"/>
              <w:rPr>
                <w:rFonts w:ascii="Arial" w:hAnsi="Arial" w:cs="Arial"/>
                <w:sz w:val="22"/>
                <w:szCs w:val="22"/>
              </w:rPr>
            </w:pPr>
            <w:r w:rsidRPr="00DC5FF0">
              <w:rPr>
                <w:rFonts w:ascii="Arial" w:hAnsi="Arial" w:cs="Arial"/>
                <w:sz w:val="22"/>
                <w:szCs w:val="22"/>
              </w:rPr>
              <w:t>Breast abscesses, nipple fissures, and mastitis</w:t>
            </w:r>
          </w:p>
          <w:p w:rsidR="0071027C" w:rsidRPr="00DC5FF0" w:rsidRDefault="0071027C" w:rsidP="00AA771C">
            <w:pPr>
              <w:pStyle w:val="ListParagraph"/>
              <w:numPr>
                <w:ilvl w:val="0"/>
                <w:numId w:val="59"/>
              </w:numPr>
              <w:autoSpaceDE w:val="0"/>
              <w:autoSpaceDN w:val="0"/>
              <w:adjustRightInd w:val="0"/>
              <w:spacing w:beforeLines="120" w:before="288" w:afterLines="120" w:after="288" w:line="276" w:lineRule="auto"/>
              <w:jc w:val="both"/>
              <w:rPr>
                <w:rFonts w:ascii="Arial" w:hAnsi="Arial" w:cs="Arial"/>
                <w:sz w:val="22"/>
                <w:szCs w:val="22"/>
              </w:rPr>
            </w:pPr>
            <w:r w:rsidRPr="00DC5FF0">
              <w:rPr>
                <w:rFonts w:ascii="Arial" w:hAnsi="Arial" w:cs="Arial"/>
                <w:sz w:val="22"/>
                <w:szCs w:val="22"/>
              </w:rPr>
              <w:t>Duration of breastfeeding</w:t>
            </w:r>
          </w:p>
          <w:p w:rsidR="0071027C" w:rsidRPr="00DC5FF0" w:rsidRDefault="0071027C" w:rsidP="00AA771C">
            <w:pPr>
              <w:pStyle w:val="ListParagraph"/>
              <w:numPr>
                <w:ilvl w:val="0"/>
                <w:numId w:val="59"/>
              </w:numPr>
              <w:autoSpaceDE w:val="0"/>
              <w:autoSpaceDN w:val="0"/>
              <w:adjustRightInd w:val="0"/>
              <w:spacing w:beforeLines="120" w:before="288" w:afterLines="120" w:after="288" w:line="276" w:lineRule="auto"/>
              <w:jc w:val="both"/>
              <w:rPr>
                <w:rFonts w:ascii="Arial" w:hAnsi="Arial" w:cs="Arial"/>
                <w:sz w:val="22"/>
                <w:szCs w:val="22"/>
              </w:rPr>
            </w:pPr>
            <w:r w:rsidRPr="00DC5FF0">
              <w:rPr>
                <w:rFonts w:ascii="Arial" w:hAnsi="Arial" w:cs="Arial"/>
                <w:sz w:val="22"/>
                <w:szCs w:val="22"/>
              </w:rPr>
              <w:t>Mixed feeding (i.e., breastfeeding combined with other foods or fluids) before 6 months of age</w:t>
            </w:r>
          </w:p>
        </w:tc>
      </w:tr>
    </w:tbl>
    <w:p w:rsidR="0071027C" w:rsidRDefault="0071027C" w:rsidP="0071027C">
      <w:pPr>
        <w:pStyle w:val="Heading2"/>
      </w:pPr>
      <w:bookmarkStart w:id="466" w:name="_Toc374979681"/>
      <w:bookmarkStart w:id="467" w:name="_Toc378258190"/>
    </w:p>
    <w:p w:rsidR="0071027C" w:rsidRPr="00DC5FF0" w:rsidRDefault="0071027C" w:rsidP="0071027C">
      <w:pPr>
        <w:pStyle w:val="Heading2"/>
      </w:pPr>
      <w:bookmarkStart w:id="468" w:name="_Toc382214049"/>
      <w:r w:rsidRPr="00DC5FF0">
        <w:t>8.3 Goal of Tanzania’s PMTCT programme</w:t>
      </w:r>
      <w:bookmarkEnd w:id="466"/>
      <w:bookmarkEnd w:id="467"/>
      <w:bookmarkEnd w:id="468"/>
    </w:p>
    <w:p w:rsidR="0071027C" w:rsidRPr="00DC5FF0" w:rsidRDefault="0071027C" w:rsidP="0071027C">
      <w:pPr>
        <w:autoSpaceDE w:val="0"/>
        <w:autoSpaceDN w:val="0"/>
        <w:adjustRightInd w:val="0"/>
        <w:spacing w:before="120" w:after="120" w:line="240" w:lineRule="auto"/>
        <w:jc w:val="both"/>
        <w:rPr>
          <w:rFonts w:ascii="Arial" w:hAnsi="Arial" w:cs="Arial"/>
        </w:rPr>
      </w:pPr>
      <w:r w:rsidRPr="00DC5FF0">
        <w:rPr>
          <w:rFonts w:ascii="Arial" w:hAnsi="Arial" w:cs="Arial"/>
        </w:rPr>
        <w:t xml:space="preserve">The goal of the PMTCT programme is to virtually eliminate MTCT of HIV by2015 and improve care for infected parents and children. The program has the following objectives: </w:t>
      </w:r>
    </w:p>
    <w:p w:rsidR="0071027C" w:rsidRPr="00DC5FF0" w:rsidRDefault="0071027C" w:rsidP="0071027C">
      <w:pPr>
        <w:autoSpaceDE w:val="0"/>
        <w:autoSpaceDN w:val="0"/>
        <w:adjustRightInd w:val="0"/>
        <w:spacing w:before="120" w:after="120" w:line="240" w:lineRule="auto"/>
        <w:jc w:val="both"/>
        <w:rPr>
          <w:rFonts w:ascii="Arial" w:hAnsi="Arial" w:cs="Arial"/>
        </w:rPr>
      </w:pPr>
      <w:r w:rsidRPr="00DC5FF0">
        <w:rPr>
          <w:rFonts w:ascii="Arial" w:hAnsi="Arial" w:cs="Arial"/>
        </w:rPr>
        <w:t>1. Increase the percentage of HIV positive pregnant and breastfeeding women who receive ARVs.</w:t>
      </w:r>
    </w:p>
    <w:p w:rsidR="0071027C" w:rsidRPr="00DC5FF0" w:rsidRDefault="0071027C" w:rsidP="0071027C">
      <w:pPr>
        <w:autoSpaceDE w:val="0"/>
        <w:autoSpaceDN w:val="0"/>
        <w:adjustRightInd w:val="0"/>
        <w:spacing w:before="120" w:after="120" w:line="240" w:lineRule="auto"/>
        <w:jc w:val="both"/>
        <w:rPr>
          <w:rFonts w:ascii="Arial" w:hAnsi="Arial" w:cs="Arial"/>
        </w:rPr>
      </w:pPr>
      <w:r w:rsidRPr="00DC5FF0">
        <w:rPr>
          <w:rFonts w:ascii="Arial" w:hAnsi="Arial" w:cs="Arial"/>
        </w:rPr>
        <w:t>2. Ensure access to care and treatment for mothers and babies living with HIV.</w:t>
      </w:r>
    </w:p>
    <w:p w:rsidR="0071027C" w:rsidRPr="00DC5FF0" w:rsidRDefault="0071027C" w:rsidP="0071027C">
      <w:pPr>
        <w:autoSpaceDE w:val="0"/>
        <w:autoSpaceDN w:val="0"/>
        <w:adjustRightInd w:val="0"/>
        <w:spacing w:before="120" w:after="120" w:line="240" w:lineRule="auto"/>
        <w:jc w:val="both"/>
        <w:rPr>
          <w:rFonts w:ascii="Arial" w:hAnsi="Arial" w:cs="Arial"/>
        </w:rPr>
      </w:pPr>
      <w:r w:rsidRPr="00DC5FF0">
        <w:rPr>
          <w:rFonts w:ascii="Arial" w:hAnsi="Arial" w:cs="Arial"/>
        </w:rPr>
        <w:t>3. Improve child survival among HIV-exposed and infected children.</w:t>
      </w:r>
    </w:p>
    <w:p w:rsidR="0071027C" w:rsidRPr="00DC5FF0" w:rsidRDefault="0071027C" w:rsidP="0071027C">
      <w:pPr>
        <w:autoSpaceDE w:val="0"/>
        <w:autoSpaceDN w:val="0"/>
        <w:adjustRightInd w:val="0"/>
        <w:spacing w:before="120" w:after="120" w:line="240" w:lineRule="auto"/>
        <w:jc w:val="both"/>
        <w:rPr>
          <w:rFonts w:ascii="Arial" w:hAnsi="Arial" w:cs="Arial"/>
          <w:i/>
          <w:iCs/>
        </w:rPr>
      </w:pPr>
      <w:r w:rsidRPr="00DC5FF0">
        <w:rPr>
          <w:rFonts w:ascii="Arial" w:hAnsi="Arial" w:cs="Arial"/>
        </w:rPr>
        <w:t xml:space="preserve">For more information on the structure and goals of the PMTCT programme, see </w:t>
      </w:r>
      <w:r w:rsidRPr="00DC5FF0">
        <w:rPr>
          <w:rFonts w:ascii="Arial" w:hAnsi="Arial" w:cs="Arial"/>
          <w:i/>
          <w:iCs/>
        </w:rPr>
        <w:t>Chapter 9 of the PMTCT guideline: PMTCT Programme Management, Monitoring, Evaluation and Supply Chain Management.</w:t>
      </w:r>
    </w:p>
    <w:p w:rsidR="0071027C" w:rsidRPr="00DC5FF0" w:rsidRDefault="0071027C" w:rsidP="0071027C">
      <w:pPr>
        <w:autoSpaceDE w:val="0"/>
        <w:autoSpaceDN w:val="0"/>
        <w:adjustRightInd w:val="0"/>
        <w:spacing w:before="120" w:after="120" w:line="240" w:lineRule="auto"/>
        <w:jc w:val="both"/>
        <w:rPr>
          <w:rFonts w:ascii="Arial" w:hAnsi="Arial" w:cs="Arial"/>
        </w:rPr>
      </w:pPr>
      <w:r w:rsidRPr="00DC5FF0">
        <w:rPr>
          <w:rFonts w:ascii="Arial" w:hAnsi="Arial" w:cs="Arial"/>
        </w:rPr>
        <w:t>Note: Virtual elimination refers to 90% reduction in estimated number of new infections in infants; and an MTCT rate of &lt;5%, which is associated with at least 90% of all the HIV – exposed infants being alive and uninfected with the virus at the age of 2 years.</w:t>
      </w:r>
    </w:p>
    <w:p w:rsidR="0071027C" w:rsidRPr="00B179D4" w:rsidRDefault="0071027C" w:rsidP="0071027C">
      <w:pPr>
        <w:pStyle w:val="Heading2"/>
      </w:pPr>
      <w:bookmarkStart w:id="469" w:name="_Toc374979682"/>
      <w:bookmarkStart w:id="470" w:name="_Toc378258191"/>
      <w:bookmarkStart w:id="471" w:name="_Toc382214050"/>
      <w:r w:rsidRPr="00B179D4">
        <w:t>8.4. Four elements of a comprehensive approach to PMTCT</w:t>
      </w:r>
      <w:bookmarkEnd w:id="469"/>
      <w:bookmarkEnd w:id="470"/>
      <w:bookmarkEnd w:id="471"/>
    </w:p>
    <w:p w:rsidR="0071027C" w:rsidRPr="007C69B7" w:rsidRDefault="0071027C" w:rsidP="0071027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71027C" w:rsidRPr="00B179D4" w:rsidTr="0071027C">
        <w:tc>
          <w:tcPr>
            <w:tcW w:w="8838" w:type="dxa"/>
            <w:tcBorders>
              <w:top w:val="single" w:sz="4" w:space="0" w:color="auto"/>
              <w:left w:val="single" w:sz="4" w:space="0" w:color="auto"/>
              <w:bottom w:val="single" w:sz="4" w:space="0" w:color="auto"/>
              <w:right w:val="single" w:sz="4" w:space="0" w:color="auto"/>
            </w:tcBorders>
            <w:shd w:val="clear" w:color="auto" w:fill="000000"/>
            <w:hideMark/>
          </w:tcPr>
          <w:p w:rsidR="0071027C" w:rsidRPr="00B179D4" w:rsidRDefault="0071027C" w:rsidP="00AA771C">
            <w:pPr>
              <w:spacing w:beforeLines="120" w:before="288" w:afterLines="120" w:after="288"/>
              <w:jc w:val="both"/>
              <w:rPr>
                <w:rFonts w:ascii="Arial" w:eastAsia="Times New Roman" w:hAnsi="Arial" w:cs="Arial"/>
                <w:b/>
              </w:rPr>
            </w:pPr>
            <w:r w:rsidRPr="00B179D4">
              <w:rPr>
                <w:rFonts w:ascii="Arial" w:eastAsia="Times New Roman" w:hAnsi="Arial" w:cs="Arial"/>
                <w:b/>
              </w:rPr>
              <w:t>Four elements of a comprehensive approach</w:t>
            </w:r>
          </w:p>
        </w:tc>
      </w:tr>
      <w:tr w:rsidR="0071027C" w:rsidRPr="00B179D4" w:rsidTr="0071027C">
        <w:trPr>
          <w:trHeight w:val="1907"/>
        </w:trPr>
        <w:tc>
          <w:tcPr>
            <w:tcW w:w="8838" w:type="dxa"/>
            <w:tcBorders>
              <w:top w:val="single" w:sz="4" w:space="0" w:color="auto"/>
              <w:left w:val="single" w:sz="4" w:space="0" w:color="auto"/>
              <w:bottom w:val="single" w:sz="4" w:space="0" w:color="auto"/>
              <w:right w:val="single" w:sz="4" w:space="0" w:color="auto"/>
            </w:tcBorders>
            <w:hideMark/>
          </w:tcPr>
          <w:p w:rsidR="0071027C" w:rsidRPr="00B179D4" w:rsidRDefault="0071027C" w:rsidP="00AA771C">
            <w:pPr>
              <w:spacing w:beforeLines="120" w:before="288" w:afterLines="120" w:after="288"/>
              <w:jc w:val="both"/>
              <w:rPr>
                <w:rFonts w:ascii="Arial" w:eastAsia="Times New Roman" w:hAnsi="Arial" w:cs="Arial"/>
              </w:rPr>
            </w:pPr>
            <w:r w:rsidRPr="00B179D4">
              <w:rPr>
                <w:rFonts w:ascii="Arial" w:eastAsia="Times New Roman" w:hAnsi="Arial" w:cs="Arial"/>
              </w:rPr>
              <w:t>A comprehensive approach to PMTCT consists of 4 elements that are discussed in the following chapters of these guidelines:</w:t>
            </w:r>
          </w:p>
          <w:p w:rsidR="0071027C" w:rsidRPr="00B179D4" w:rsidRDefault="0071027C" w:rsidP="00AA771C">
            <w:pPr>
              <w:spacing w:beforeLines="120" w:before="288" w:afterLines="120" w:after="288"/>
              <w:jc w:val="both"/>
              <w:rPr>
                <w:rFonts w:ascii="Arial" w:eastAsia="Times New Roman" w:hAnsi="Arial" w:cs="Arial"/>
              </w:rPr>
            </w:pPr>
            <w:r w:rsidRPr="00B179D4">
              <w:rPr>
                <w:rFonts w:ascii="Arial" w:eastAsia="Times New Roman" w:hAnsi="Arial" w:cs="Arial"/>
              </w:rPr>
              <w:t>1. Primary prevention of HIV among women of childbearing age and their partners</w:t>
            </w:r>
          </w:p>
          <w:p w:rsidR="0071027C" w:rsidRPr="00B179D4" w:rsidRDefault="0071027C" w:rsidP="00AA771C">
            <w:pPr>
              <w:spacing w:beforeLines="120" w:before="288" w:afterLines="120" w:after="288"/>
              <w:jc w:val="both"/>
              <w:rPr>
                <w:rFonts w:ascii="Arial" w:eastAsia="Times New Roman" w:hAnsi="Arial" w:cs="Arial"/>
              </w:rPr>
            </w:pPr>
            <w:r w:rsidRPr="00B179D4">
              <w:rPr>
                <w:rFonts w:ascii="Arial" w:eastAsia="Times New Roman" w:hAnsi="Arial" w:cs="Arial"/>
              </w:rPr>
              <w:t>2. Prevention of unintended pregnancies among women living with HIV</w:t>
            </w:r>
          </w:p>
          <w:p w:rsidR="0071027C" w:rsidRPr="00B179D4" w:rsidRDefault="0071027C" w:rsidP="00AA771C">
            <w:pPr>
              <w:spacing w:beforeLines="120" w:before="288" w:afterLines="120" w:after="288"/>
              <w:jc w:val="both"/>
              <w:rPr>
                <w:rFonts w:ascii="Arial" w:eastAsia="Times New Roman" w:hAnsi="Arial" w:cs="Arial"/>
              </w:rPr>
            </w:pPr>
            <w:r w:rsidRPr="00B179D4">
              <w:rPr>
                <w:rFonts w:ascii="Arial" w:eastAsia="Times New Roman" w:hAnsi="Arial" w:cs="Arial"/>
              </w:rPr>
              <w:t>3. Prevention of vertical transmission of HIV from mothers to their infants</w:t>
            </w:r>
          </w:p>
          <w:p w:rsidR="0071027C" w:rsidRPr="00B179D4" w:rsidRDefault="0071027C" w:rsidP="00AA771C">
            <w:pPr>
              <w:spacing w:beforeLines="120" w:before="288" w:afterLines="120" w:after="288"/>
              <w:jc w:val="both"/>
              <w:rPr>
                <w:rFonts w:ascii="Arial" w:eastAsia="Times New Roman" w:hAnsi="Arial" w:cs="Arial"/>
              </w:rPr>
            </w:pPr>
            <w:r w:rsidRPr="00B179D4">
              <w:rPr>
                <w:rFonts w:ascii="Arial" w:eastAsia="Times New Roman" w:hAnsi="Arial" w:cs="Arial"/>
              </w:rPr>
              <w:t>4. Provision of treatment, care and support to women living with HIV and their partners, infants, and families</w:t>
            </w:r>
          </w:p>
        </w:tc>
      </w:tr>
    </w:tbl>
    <w:p w:rsidR="0071027C" w:rsidRPr="00B179D4" w:rsidRDefault="0071027C" w:rsidP="0071027C">
      <w:pPr>
        <w:pStyle w:val="Heading3"/>
      </w:pPr>
      <w:bookmarkStart w:id="472" w:name="_Toc378258192"/>
      <w:bookmarkStart w:id="473" w:name="_Toc382214051"/>
      <w:r w:rsidRPr="00B179D4">
        <w:t>8.4.1. Primary prevention of HIV among women and their partners</w:t>
      </w:r>
      <w:bookmarkEnd w:id="472"/>
      <w:bookmarkEnd w:id="473"/>
    </w:p>
    <w:p w:rsidR="0071027C" w:rsidRPr="00B179D4" w:rsidRDefault="0071027C" w:rsidP="0071027C">
      <w:pPr>
        <w:autoSpaceDE w:val="0"/>
        <w:autoSpaceDN w:val="0"/>
        <w:adjustRightInd w:val="0"/>
        <w:spacing w:before="120" w:after="120" w:line="240" w:lineRule="auto"/>
        <w:jc w:val="both"/>
        <w:rPr>
          <w:rFonts w:ascii="Arial" w:hAnsi="Arial" w:cs="Arial"/>
        </w:rPr>
      </w:pPr>
      <w:r w:rsidRPr="00B179D4">
        <w:rPr>
          <w:rFonts w:ascii="Arial" w:hAnsi="Arial" w:cs="Arial"/>
        </w:rPr>
        <w:t>Primary prevention is the most effective means to control the spread of HIV and minimize its impact on individuals, families, and communities. Preventing HIV infection in women of childbearing age is the best way to prevent MTCT.</w:t>
      </w:r>
    </w:p>
    <w:p w:rsidR="0071027C" w:rsidRPr="00C203F3" w:rsidRDefault="00AA771C" w:rsidP="00AA771C">
      <w:pPr>
        <w:autoSpaceDE w:val="0"/>
        <w:autoSpaceDN w:val="0"/>
        <w:adjustRightInd w:val="0"/>
        <w:spacing w:beforeLines="120" w:before="288" w:afterLines="120" w:after="288"/>
        <w:jc w:val="both"/>
        <w:rPr>
          <w:rFonts w:ascii="Arial Narrow" w:hAnsi="Arial Narrow"/>
          <w:b/>
          <w:bCs/>
          <w:sz w:val="24"/>
          <w:szCs w:val="24"/>
        </w:rPr>
      </w:pPr>
      <w:r>
        <w:rPr>
          <w:rFonts w:ascii="Arial Narrow" w:hAnsi="Arial Narrow"/>
          <w:noProof/>
          <w:sz w:val="24"/>
          <w:szCs w:val="24"/>
        </w:rPr>
        <mc:AlternateContent>
          <mc:Choice Requires="wps">
            <w:drawing>
              <wp:anchor distT="0" distB="0" distL="114300" distR="114300" simplePos="0" relativeHeight="251692032" behindDoc="0" locked="0" layoutInCell="1" allowOverlap="1">
                <wp:simplePos x="0" y="0"/>
                <wp:positionH relativeFrom="column">
                  <wp:posOffset>327025</wp:posOffset>
                </wp:positionH>
                <wp:positionV relativeFrom="paragraph">
                  <wp:posOffset>371475</wp:posOffset>
                </wp:positionV>
                <wp:extent cx="5188585" cy="1344930"/>
                <wp:effectExtent l="12700" t="9525" r="8890" b="17145"/>
                <wp:wrapNone/>
                <wp:docPr id="95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8585" cy="1344930"/>
                        </a:xfrm>
                        <a:prstGeom prst="rect">
                          <a:avLst/>
                        </a:prstGeom>
                        <a:solidFill>
                          <a:srgbClr val="FFFFFF"/>
                        </a:solidFill>
                        <a:ln w="15875">
                          <a:solidFill>
                            <a:srgbClr val="000000"/>
                          </a:solidFill>
                          <a:miter lim="800000"/>
                          <a:headEnd/>
                          <a:tailEnd/>
                        </a:ln>
                      </wps:spPr>
                      <wps:txbx>
                        <w:txbxContent>
                          <w:p w:rsidR="00B247C9" w:rsidRPr="007C385B" w:rsidRDefault="00B247C9" w:rsidP="0071027C">
                            <w:pPr>
                              <w:autoSpaceDE w:val="0"/>
                              <w:autoSpaceDN w:val="0"/>
                              <w:adjustRightInd w:val="0"/>
                              <w:spacing w:after="0" w:line="240" w:lineRule="auto"/>
                              <w:jc w:val="center"/>
                              <w:rPr>
                                <w:rFonts w:ascii="Arial" w:hAnsi="Arial" w:cs="Arial"/>
                                <w:b/>
                              </w:rPr>
                            </w:pPr>
                            <w:r w:rsidRPr="007C385B">
                              <w:rPr>
                                <w:rFonts w:ascii="Arial" w:hAnsi="Arial" w:cs="Arial"/>
                                <w:b/>
                              </w:rPr>
                              <w:t>Practice Points</w:t>
                            </w:r>
                          </w:p>
                          <w:p w:rsidR="00B247C9" w:rsidRPr="00B179D4" w:rsidRDefault="00B247C9" w:rsidP="00274941">
                            <w:pPr>
                              <w:pStyle w:val="ListParagraph"/>
                              <w:numPr>
                                <w:ilvl w:val="0"/>
                                <w:numId w:val="60"/>
                              </w:numPr>
                              <w:autoSpaceDE w:val="0"/>
                              <w:autoSpaceDN w:val="0"/>
                              <w:adjustRightInd w:val="0"/>
                              <w:rPr>
                                <w:rFonts w:ascii="Arial" w:eastAsia="Calibri" w:hAnsi="Arial" w:cs="Arial"/>
                                <w:sz w:val="22"/>
                                <w:szCs w:val="22"/>
                                <w:lang w:val="en-US" w:eastAsia="en-US"/>
                              </w:rPr>
                            </w:pPr>
                            <w:r w:rsidRPr="00B179D4">
                              <w:rPr>
                                <w:rFonts w:ascii="Arial" w:eastAsia="Calibri" w:hAnsi="Arial" w:cs="Arial"/>
                                <w:sz w:val="22"/>
                                <w:szCs w:val="22"/>
                                <w:lang w:val="en-US" w:eastAsia="en-US"/>
                              </w:rPr>
                              <w:t>Healthcare workers at RCH clinics should ensure that HIV testing and counselling is integrated and offered to all women of childbearing age, their partners, and children.</w:t>
                            </w:r>
                          </w:p>
                          <w:p w:rsidR="00B247C9" w:rsidRPr="00B179D4" w:rsidRDefault="00B247C9" w:rsidP="00274941">
                            <w:pPr>
                              <w:pStyle w:val="ListParagraph"/>
                              <w:numPr>
                                <w:ilvl w:val="0"/>
                                <w:numId w:val="60"/>
                              </w:numPr>
                              <w:autoSpaceDE w:val="0"/>
                              <w:autoSpaceDN w:val="0"/>
                              <w:adjustRightInd w:val="0"/>
                              <w:rPr>
                                <w:rFonts w:ascii="Arial" w:eastAsia="Calibri" w:hAnsi="Arial" w:cs="Arial"/>
                                <w:sz w:val="22"/>
                                <w:szCs w:val="22"/>
                                <w:lang w:val="en-US" w:eastAsia="en-US"/>
                              </w:rPr>
                            </w:pPr>
                            <w:r w:rsidRPr="00B179D4">
                              <w:rPr>
                                <w:rFonts w:ascii="Arial" w:eastAsia="Calibri" w:hAnsi="Arial" w:cs="Arial"/>
                                <w:sz w:val="22"/>
                                <w:szCs w:val="22"/>
                                <w:lang w:val="en-US" w:eastAsia="en-US"/>
                              </w:rPr>
                              <w:t>Sexually active women and men should be encouraged to use safer sex practices including barrier methods such as condom use, reduce the number of sexual partners, and stay faithful to their sexual partner.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399" type="#_x0000_t202" style="position:absolute;left:0;text-align:left;margin-left:25.75pt;margin-top:29.25pt;width:408.55pt;height:105.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" strokeweight="1.25pt">
                <v:textbox>
                  <w:txbxContent>
                    <w:p w:rsidR="00B247C9" w:rsidRPr="007C385B" w:rsidRDefault="00B247C9" w:rsidP="0071027C">
                      <w:pPr>
                        <w:autoSpaceDE w:val="0"/>
                        <w:autoSpaceDN w:val="0"/>
                        <w:adjustRightInd w:val="0"/>
                        <w:spacing w:after="0" w:line="240" w:lineRule="auto"/>
                        <w:jc w:val="center"/>
                        <w:rPr>
                          <w:rFonts w:ascii="Arial" w:hAnsi="Arial" w:cs="Arial"/>
                          <w:b/>
                        </w:rPr>
                      </w:pPr>
                      <w:r w:rsidRPr="007C385B">
                        <w:rPr>
                          <w:rFonts w:ascii="Arial" w:hAnsi="Arial" w:cs="Arial"/>
                          <w:b/>
                        </w:rPr>
                        <w:t>Practice Points</w:t>
                      </w:r>
                    </w:p>
                    <w:p w:rsidR="00B247C9" w:rsidRPr="00B179D4" w:rsidRDefault="00B247C9" w:rsidP="00274941">
                      <w:pPr>
                        <w:pStyle w:val="ListParagraph"/>
                        <w:numPr>
                          <w:ilvl w:val="0"/>
                          <w:numId w:val="60"/>
                        </w:numPr>
                        <w:autoSpaceDE w:val="0"/>
                        <w:autoSpaceDN w:val="0"/>
                        <w:adjustRightInd w:val="0"/>
                        <w:rPr>
                          <w:rFonts w:ascii="Arial" w:eastAsia="Calibri" w:hAnsi="Arial" w:cs="Arial"/>
                          <w:sz w:val="22"/>
                          <w:szCs w:val="22"/>
                          <w:lang w:val="en-US" w:eastAsia="en-US"/>
                        </w:rPr>
                      </w:pPr>
                      <w:r w:rsidRPr="00B179D4">
                        <w:rPr>
                          <w:rFonts w:ascii="Arial" w:eastAsia="Calibri" w:hAnsi="Arial" w:cs="Arial"/>
                          <w:sz w:val="22"/>
                          <w:szCs w:val="22"/>
                          <w:lang w:val="en-US" w:eastAsia="en-US"/>
                        </w:rPr>
                        <w:t>Healthcare workers at RCH clinics should ensure that HIV testing and counselling is integrated and offered to all women of childbearing age, their partners, and children.</w:t>
                      </w:r>
                    </w:p>
                    <w:p w:rsidR="00B247C9" w:rsidRPr="00B179D4" w:rsidRDefault="00B247C9" w:rsidP="00274941">
                      <w:pPr>
                        <w:pStyle w:val="ListParagraph"/>
                        <w:numPr>
                          <w:ilvl w:val="0"/>
                          <w:numId w:val="60"/>
                        </w:numPr>
                        <w:autoSpaceDE w:val="0"/>
                        <w:autoSpaceDN w:val="0"/>
                        <w:adjustRightInd w:val="0"/>
                        <w:rPr>
                          <w:rFonts w:ascii="Arial" w:eastAsia="Calibri" w:hAnsi="Arial" w:cs="Arial"/>
                          <w:sz w:val="22"/>
                          <w:szCs w:val="22"/>
                          <w:lang w:val="en-US" w:eastAsia="en-US"/>
                        </w:rPr>
                      </w:pPr>
                      <w:r w:rsidRPr="00B179D4">
                        <w:rPr>
                          <w:rFonts w:ascii="Arial" w:eastAsia="Calibri" w:hAnsi="Arial" w:cs="Arial"/>
                          <w:sz w:val="22"/>
                          <w:szCs w:val="22"/>
                          <w:lang w:val="en-US" w:eastAsia="en-US"/>
                        </w:rPr>
                        <w:t>Sexually active women and men should be encouraged to use safer sex practices including barrier methods such as condom use, reduce the number of sexual partners, and stay faithful to their sexual partner.</w:t>
                      </w:r>
                    </w:p>
                  </w:txbxContent>
                </v:textbox>
              </v:shape>
            </w:pict>
          </mc:Fallback>
        </mc:AlternateContent>
      </w:r>
    </w:p>
    <w:p w:rsidR="0071027C" w:rsidRPr="00C203F3" w:rsidRDefault="0071027C" w:rsidP="00AA771C">
      <w:pPr>
        <w:spacing w:beforeLines="120" w:before="288" w:afterLines="120" w:after="288"/>
        <w:jc w:val="both"/>
        <w:rPr>
          <w:rFonts w:ascii="Arial Narrow" w:hAnsi="Arial Narrow"/>
          <w:b/>
          <w:bCs/>
          <w:sz w:val="24"/>
          <w:szCs w:val="24"/>
        </w:rPr>
      </w:pPr>
    </w:p>
    <w:p w:rsidR="0071027C" w:rsidRPr="00C203F3" w:rsidRDefault="0071027C" w:rsidP="00AA771C">
      <w:pPr>
        <w:spacing w:beforeLines="120" w:before="288" w:afterLines="120" w:after="288"/>
        <w:jc w:val="both"/>
        <w:rPr>
          <w:rFonts w:ascii="Arial Narrow" w:hAnsi="Arial Narrow"/>
          <w:b/>
          <w:bCs/>
          <w:sz w:val="24"/>
          <w:szCs w:val="24"/>
        </w:rPr>
      </w:pPr>
    </w:p>
    <w:p w:rsidR="0071027C" w:rsidRDefault="0071027C" w:rsidP="00AA771C">
      <w:pPr>
        <w:spacing w:beforeLines="120" w:before="288" w:afterLines="120" w:after="288"/>
        <w:jc w:val="both"/>
        <w:rPr>
          <w:rFonts w:ascii="Arial Narrow" w:hAnsi="Arial Narrow"/>
          <w:b/>
          <w:bCs/>
          <w:sz w:val="24"/>
          <w:szCs w:val="24"/>
        </w:rPr>
      </w:pPr>
    </w:p>
    <w:p w:rsidR="0071027C" w:rsidRDefault="0071027C" w:rsidP="00AA771C">
      <w:pPr>
        <w:spacing w:beforeLines="120" w:before="288" w:afterLines="120" w:after="288"/>
        <w:jc w:val="both"/>
        <w:rPr>
          <w:rFonts w:ascii="Arial Narrow" w:hAnsi="Arial Narrow"/>
          <w:b/>
          <w:bCs/>
          <w:sz w:val="24"/>
          <w:szCs w:val="24"/>
        </w:rPr>
      </w:pPr>
    </w:p>
    <w:p w:rsidR="0071027C" w:rsidRPr="00C203F3" w:rsidRDefault="00AA771C" w:rsidP="00AA771C">
      <w:pPr>
        <w:spacing w:beforeLines="120" w:before="288" w:afterLines="120" w:after="288"/>
        <w:jc w:val="both"/>
        <w:rPr>
          <w:rFonts w:ascii="Arial Narrow" w:hAnsi="Arial Narrow"/>
          <w:b/>
          <w:bCs/>
          <w:sz w:val="24"/>
          <w:szCs w:val="24"/>
        </w:rPr>
      </w:pPr>
      <w:r>
        <w:rPr>
          <w:rFonts w:ascii="Arial Narrow" w:hAnsi="Arial Narrow"/>
          <w:noProof/>
          <w:sz w:val="24"/>
          <w:szCs w:val="24"/>
        </w:rPr>
        <mc:AlternateContent>
          <mc:Choice Requires="wps">
            <w:drawing>
              <wp:anchor distT="0" distB="0" distL="114300" distR="114300" simplePos="0" relativeHeight="251691008" behindDoc="0" locked="0" layoutInCell="1" allowOverlap="1">
                <wp:simplePos x="0" y="0"/>
                <wp:positionH relativeFrom="column">
                  <wp:posOffset>327025</wp:posOffset>
                </wp:positionH>
                <wp:positionV relativeFrom="paragraph">
                  <wp:posOffset>267970</wp:posOffset>
                </wp:positionV>
                <wp:extent cx="5188585" cy="1127125"/>
                <wp:effectExtent l="12700" t="10795" r="8890" b="14605"/>
                <wp:wrapNone/>
                <wp:docPr id="95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8585" cy="1127125"/>
                        </a:xfrm>
                        <a:prstGeom prst="rect">
                          <a:avLst/>
                        </a:prstGeom>
                        <a:solidFill>
                          <a:srgbClr val="FFFFFF"/>
                        </a:solidFill>
                        <a:ln w="15875">
                          <a:solidFill>
                            <a:srgbClr val="000000"/>
                          </a:solidFill>
                          <a:miter lim="800000"/>
                          <a:headEnd/>
                          <a:tailEnd/>
                        </a:ln>
                      </wps:spPr>
                      <wps:txbx>
                        <w:txbxContent>
                          <w:p w:rsidR="00B247C9" w:rsidRPr="007C385B" w:rsidRDefault="00B247C9" w:rsidP="0071027C">
                            <w:pPr>
                              <w:autoSpaceDE w:val="0"/>
                              <w:autoSpaceDN w:val="0"/>
                              <w:adjustRightInd w:val="0"/>
                              <w:spacing w:after="0" w:line="240" w:lineRule="auto"/>
                              <w:jc w:val="center"/>
                              <w:rPr>
                                <w:rFonts w:ascii="Arial" w:hAnsi="Arial" w:cs="Arial"/>
                                <w:b/>
                              </w:rPr>
                            </w:pPr>
                            <w:r w:rsidRPr="007C385B">
                              <w:rPr>
                                <w:rFonts w:ascii="Arial" w:hAnsi="Arial" w:cs="Arial"/>
                                <w:b/>
                              </w:rPr>
                              <w:t>Practice Points</w:t>
                            </w:r>
                          </w:p>
                          <w:p w:rsidR="00B247C9" w:rsidRPr="00B179D4" w:rsidRDefault="00B247C9" w:rsidP="00274941">
                            <w:pPr>
                              <w:pStyle w:val="ListParagraph"/>
                              <w:numPr>
                                <w:ilvl w:val="0"/>
                                <w:numId w:val="61"/>
                              </w:numPr>
                              <w:autoSpaceDE w:val="0"/>
                              <w:autoSpaceDN w:val="0"/>
                              <w:adjustRightInd w:val="0"/>
                              <w:rPr>
                                <w:rFonts w:ascii="Arial" w:eastAsia="Calibri" w:hAnsi="Arial" w:cs="Arial"/>
                                <w:sz w:val="22"/>
                                <w:szCs w:val="22"/>
                                <w:lang w:val="en-US" w:eastAsia="en-US"/>
                              </w:rPr>
                            </w:pPr>
                            <w:r w:rsidRPr="00B179D4">
                              <w:rPr>
                                <w:rFonts w:ascii="Arial" w:eastAsia="Calibri" w:hAnsi="Arial" w:cs="Arial"/>
                                <w:sz w:val="22"/>
                                <w:szCs w:val="22"/>
                                <w:lang w:val="en-US" w:eastAsia="en-US"/>
                              </w:rPr>
                              <w:t>Gender concerns and equality should be considered when offering PMTCT services</w:t>
                            </w:r>
                          </w:p>
                          <w:p w:rsidR="00B247C9" w:rsidRPr="00B179D4" w:rsidRDefault="00B247C9" w:rsidP="00274941">
                            <w:pPr>
                              <w:pStyle w:val="ListParagraph"/>
                              <w:numPr>
                                <w:ilvl w:val="0"/>
                                <w:numId w:val="61"/>
                              </w:numPr>
                              <w:autoSpaceDE w:val="0"/>
                              <w:autoSpaceDN w:val="0"/>
                              <w:adjustRightInd w:val="0"/>
                              <w:rPr>
                                <w:rFonts w:ascii="Arial" w:eastAsia="Calibri" w:hAnsi="Arial" w:cs="Arial"/>
                                <w:sz w:val="22"/>
                                <w:szCs w:val="22"/>
                                <w:lang w:val="en-US" w:eastAsia="en-US"/>
                              </w:rPr>
                            </w:pPr>
                            <w:r w:rsidRPr="00B179D4">
                              <w:rPr>
                                <w:rFonts w:ascii="Arial" w:eastAsia="Calibri" w:hAnsi="Arial" w:cs="Arial"/>
                                <w:sz w:val="22"/>
                                <w:szCs w:val="22"/>
                                <w:lang w:val="en-US" w:eastAsia="en-US"/>
                              </w:rPr>
                              <w:t>All health care providers should emphasize early diagnosis and treatment of STIs in their practice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400" type="#_x0000_t202" style="position:absolute;left:0;text-align:left;margin-left:25.75pt;margin-top:21.1pt;width:408.55pt;height:8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" strokeweight="1.25pt">
                <v:textbox>
                  <w:txbxContent>
                    <w:p w:rsidR="00B247C9" w:rsidRPr="007C385B" w:rsidRDefault="00B247C9" w:rsidP="0071027C">
                      <w:pPr>
                        <w:autoSpaceDE w:val="0"/>
                        <w:autoSpaceDN w:val="0"/>
                        <w:adjustRightInd w:val="0"/>
                        <w:spacing w:after="0" w:line="240" w:lineRule="auto"/>
                        <w:jc w:val="center"/>
                        <w:rPr>
                          <w:rFonts w:ascii="Arial" w:hAnsi="Arial" w:cs="Arial"/>
                          <w:b/>
                        </w:rPr>
                      </w:pPr>
                      <w:r w:rsidRPr="007C385B">
                        <w:rPr>
                          <w:rFonts w:ascii="Arial" w:hAnsi="Arial" w:cs="Arial"/>
                          <w:b/>
                        </w:rPr>
                        <w:t>Practice Points</w:t>
                      </w:r>
                    </w:p>
                    <w:p w:rsidR="00B247C9" w:rsidRPr="00B179D4" w:rsidRDefault="00B247C9" w:rsidP="00274941">
                      <w:pPr>
                        <w:pStyle w:val="ListParagraph"/>
                        <w:numPr>
                          <w:ilvl w:val="0"/>
                          <w:numId w:val="61"/>
                        </w:numPr>
                        <w:autoSpaceDE w:val="0"/>
                        <w:autoSpaceDN w:val="0"/>
                        <w:adjustRightInd w:val="0"/>
                        <w:rPr>
                          <w:rFonts w:ascii="Arial" w:eastAsia="Calibri" w:hAnsi="Arial" w:cs="Arial"/>
                          <w:sz w:val="22"/>
                          <w:szCs w:val="22"/>
                          <w:lang w:val="en-US" w:eastAsia="en-US"/>
                        </w:rPr>
                      </w:pPr>
                      <w:r w:rsidRPr="00B179D4">
                        <w:rPr>
                          <w:rFonts w:ascii="Arial" w:eastAsia="Calibri" w:hAnsi="Arial" w:cs="Arial"/>
                          <w:sz w:val="22"/>
                          <w:szCs w:val="22"/>
                          <w:lang w:val="en-US" w:eastAsia="en-US"/>
                        </w:rPr>
                        <w:t>Gender concerns and equality should be considered when offering PMTCT services</w:t>
                      </w:r>
                    </w:p>
                    <w:p w:rsidR="00B247C9" w:rsidRPr="00B179D4" w:rsidRDefault="00B247C9" w:rsidP="00274941">
                      <w:pPr>
                        <w:pStyle w:val="ListParagraph"/>
                        <w:numPr>
                          <w:ilvl w:val="0"/>
                          <w:numId w:val="61"/>
                        </w:numPr>
                        <w:autoSpaceDE w:val="0"/>
                        <w:autoSpaceDN w:val="0"/>
                        <w:adjustRightInd w:val="0"/>
                        <w:rPr>
                          <w:rFonts w:ascii="Arial" w:eastAsia="Calibri" w:hAnsi="Arial" w:cs="Arial"/>
                          <w:sz w:val="22"/>
                          <w:szCs w:val="22"/>
                          <w:lang w:val="en-US" w:eastAsia="en-US"/>
                        </w:rPr>
                      </w:pPr>
                      <w:r w:rsidRPr="00B179D4">
                        <w:rPr>
                          <w:rFonts w:ascii="Arial" w:eastAsia="Calibri" w:hAnsi="Arial" w:cs="Arial"/>
                          <w:sz w:val="22"/>
                          <w:szCs w:val="22"/>
                          <w:lang w:val="en-US" w:eastAsia="en-US"/>
                        </w:rPr>
                        <w:t>All health care providers should emphasize early diagnosis and treatment of STIs in their practice</w:t>
                      </w:r>
                    </w:p>
                  </w:txbxContent>
                </v:textbox>
              </v:shape>
            </w:pict>
          </mc:Fallback>
        </mc:AlternateContent>
      </w:r>
    </w:p>
    <w:p w:rsidR="0071027C" w:rsidRDefault="0071027C" w:rsidP="00AA771C">
      <w:pPr>
        <w:autoSpaceDE w:val="0"/>
        <w:autoSpaceDN w:val="0"/>
        <w:adjustRightInd w:val="0"/>
        <w:spacing w:beforeLines="120" w:before="288" w:afterLines="120" w:after="288"/>
        <w:jc w:val="both"/>
        <w:rPr>
          <w:rFonts w:ascii="Arial Narrow" w:hAnsi="Arial Narrow"/>
          <w:b/>
          <w:bCs/>
          <w:sz w:val="24"/>
          <w:szCs w:val="24"/>
        </w:rPr>
      </w:pPr>
    </w:p>
    <w:p w:rsidR="0071027C" w:rsidRDefault="0071027C" w:rsidP="00AA771C">
      <w:pPr>
        <w:autoSpaceDE w:val="0"/>
        <w:autoSpaceDN w:val="0"/>
        <w:adjustRightInd w:val="0"/>
        <w:spacing w:beforeLines="120" w:before="288" w:afterLines="120" w:after="288"/>
        <w:jc w:val="both"/>
        <w:rPr>
          <w:rFonts w:ascii="Arial Narrow" w:hAnsi="Arial Narrow" w:cs="Helvetica"/>
          <w:sz w:val="24"/>
          <w:szCs w:val="24"/>
        </w:rPr>
      </w:pPr>
    </w:p>
    <w:p w:rsidR="0051683D" w:rsidRDefault="0051683D" w:rsidP="0071027C">
      <w:pPr>
        <w:autoSpaceDE w:val="0"/>
        <w:autoSpaceDN w:val="0"/>
        <w:adjustRightInd w:val="0"/>
        <w:spacing w:before="120" w:after="120" w:line="240" w:lineRule="auto"/>
        <w:jc w:val="both"/>
        <w:rPr>
          <w:rFonts w:ascii="Arial" w:hAnsi="Arial" w:cs="Arial"/>
        </w:rPr>
      </w:pPr>
    </w:p>
    <w:p w:rsidR="0051683D" w:rsidRDefault="0051683D" w:rsidP="0071027C">
      <w:pPr>
        <w:autoSpaceDE w:val="0"/>
        <w:autoSpaceDN w:val="0"/>
        <w:adjustRightInd w:val="0"/>
        <w:spacing w:before="120" w:after="120" w:line="240" w:lineRule="auto"/>
        <w:jc w:val="both"/>
        <w:rPr>
          <w:rFonts w:ascii="Arial" w:hAnsi="Arial" w:cs="Arial"/>
        </w:rPr>
      </w:pPr>
    </w:p>
    <w:p w:rsidR="0071027C" w:rsidRPr="00B179D4" w:rsidRDefault="0071027C" w:rsidP="0071027C">
      <w:pPr>
        <w:autoSpaceDE w:val="0"/>
        <w:autoSpaceDN w:val="0"/>
        <w:adjustRightInd w:val="0"/>
        <w:spacing w:before="120" w:after="120" w:line="240" w:lineRule="auto"/>
        <w:jc w:val="both"/>
        <w:rPr>
          <w:rFonts w:ascii="Arial" w:hAnsi="Arial" w:cs="Arial"/>
        </w:rPr>
      </w:pPr>
      <w:r w:rsidRPr="00B179D4">
        <w:rPr>
          <w:rFonts w:ascii="Arial" w:hAnsi="Arial" w:cs="Arial"/>
        </w:rPr>
        <w:t>Preventing and treating STIs is an important component in HIV prevention. Co-infection with an STI increases HIV acquisition significantly. All healthcare providers should emphasize early diagnosis and treatment of STIs in their practice. Young people should be provided with information about and access to HIV prevention services and should be encouraged to abstain from sexual activity until they can make responsible decisions. Treating HIV-infected individuals with ARVs can also help prevent transmission of the virus to their partners or spouses.</w:t>
      </w:r>
    </w:p>
    <w:p w:rsidR="0071027C" w:rsidRPr="00B179D4" w:rsidRDefault="0071027C" w:rsidP="0071027C">
      <w:pPr>
        <w:autoSpaceDE w:val="0"/>
        <w:autoSpaceDN w:val="0"/>
        <w:adjustRightInd w:val="0"/>
        <w:spacing w:before="120" w:after="120" w:line="240" w:lineRule="auto"/>
        <w:jc w:val="both"/>
        <w:rPr>
          <w:rFonts w:ascii="Arial" w:hAnsi="Arial" w:cs="Arial"/>
        </w:rPr>
      </w:pPr>
      <w:r w:rsidRPr="00B179D4">
        <w:rPr>
          <w:rFonts w:ascii="Arial" w:hAnsi="Arial" w:cs="Arial"/>
        </w:rPr>
        <w:t xml:space="preserve">Another basic effort in HIV prevention involves preventing the spread of HIV in health care settings. All facilities in Tanzania should use Standard Precautions to prevent transmission of HIV. Specific methods to reduce HIV transmission in the workplace are given in </w:t>
      </w:r>
      <w:r w:rsidRPr="00B179D4">
        <w:rPr>
          <w:rFonts w:ascii="Arial" w:hAnsi="Arial" w:cs="Arial"/>
          <w:i/>
          <w:iCs/>
        </w:rPr>
        <w:t>Chapter 8 (PMTCT guideline): Safety and Supportive Care in the Work Setting</w:t>
      </w:r>
      <w:r w:rsidRPr="00B179D4">
        <w:rPr>
          <w:rFonts w:ascii="Arial" w:hAnsi="Arial" w:cs="Arial"/>
        </w:rPr>
        <w:t xml:space="preserve">. </w:t>
      </w:r>
    </w:p>
    <w:p w:rsidR="0071027C" w:rsidRPr="00C203F3" w:rsidRDefault="0071027C" w:rsidP="0071027C">
      <w:pPr>
        <w:pStyle w:val="Heading3"/>
        <w:rPr>
          <w:rFonts w:cs="Helvetica"/>
        </w:rPr>
      </w:pPr>
      <w:bookmarkStart w:id="474" w:name="_Toc378258193"/>
      <w:bookmarkStart w:id="475" w:name="_Toc382214052"/>
      <w:r>
        <w:t>8.4.</w:t>
      </w:r>
      <w:r w:rsidRPr="00C203F3">
        <w:t>2. Prevention of unintended pregnancies among women infected with HIV</w:t>
      </w:r>
      <w:bookmarkEnd w:id="474"/>
      <w:bookmarkEnd w:id="475"/>
    </w:p>
    <w:p w:rsidR="0071027C" w:rsidRPr="00B179D4" w:rsidRDefault="0071027C" w:rsidP="0071027C">
      <w:pPr>
        <w:autoSpaceDE w:val="0"/>
        <w:autoSpaceDN w:val="0"/>
        <w:adjustRightInd w:val="0"/>
        <w:spacing w:before="120" w:after="120" w:line="240" w:lineRule="auto"/>
        <w:jc w:val="both"/>
        <w:rPr>
          <w:rFonts w:ascii="Arial" w:hAnsi="Arial" w:cs="Arial"/>
        </w:rPr>
      </w:pPr>
      <w:r w:rsidRPr="00B179D4">
        <w:rPr>
          <w:rFonts w:ascii="Arial" w:hAnsi="Arial" w:cs="Arial"/>
        </w:rPr>
        <w:t>Family planning is part of a comprehensive public health strategy to prevent MTCT. All women living with HIV and their partners should receive family planning counseling and should be empowered to access and utilize effective contraceptive methods in order to avoid unintended pregnancies. A woman’s/couple’s choice of contraceptive methods should be based on her health status and personal preference. The family planning option of her/their choice should be provided on site or through referral to the nearest facility when the method of choice is not available.</w:t>
      </w:r>
    </w:p>
    <w:p w:rsidR="0071027C" w:rsidRPr="00B179D4" w:rsidRDefault="0071027C" w:rsidP="00AA771C">
      <w:pPr>
        <w:autoSpaceDE w:val="0"/>
        <w:autoSpaceDN w:val="0"/>
        <w:adjustRightInd w:val="0"/>
        <w:spacing w:beforeLines="120" w:before="288" w:afterLines="120" w:after="288"/>
        <w:jc w:val="both"/>
        <w:rPr>
          <w:rFonts w:ascii="Arial" w:hAnsi="Arial" w:cs="Arial"/>
        </w:rPr>
      </w:pPr>
      <w:r w:rsidRPr="00B179D4">
        <w:rPr>
          <w:rFonts w:ascii="Arial" w:hAnsi="Arial" w:cs="Arial"/>
        </w:rPr>
        <w:t>Dual protection is the use of one or more contraceptive methods that prevents STIs, (including HIV) and unintended pregnancy. For example, the use of birth control pills and condoms (male or female) would provide dual protection. For more information on contraceptive devices and methods available nationally,</w:t>
      </w:r>
      <w:r w:rsidRPr="00C203F3">
        <w:rPr>
          <w:rFonts w:ascii="Arial Narrow" w:hAnsi="Arial Narrow" w:cs="Helvetica"/>
          <w:sz w:val="24"/>
          <w:szCs w:val="24"/>
        </w:rPr>
        <w:t xml:space="preserve"> </w:t>
      </w:r>
      <w:r w:rsidRPr="0051683D">
        <w:rPr>
          <w:rFonts w:ascii="Arial" w:hAnsi="Arial" w:cs="Arial"/>
        </w:rPr>
        <w:t xml:space="preserve">see </w:t>
      </w:r>
      <w:r w:rsidRPr="0051683D">
        <w:rPr>
          <w:rFonts w:ascii="Arial" w:hAnsi="Arial" w:cs="Arial"/>
          <w:i/>
          <w:iCs/>
        </w:rPr>
        <w:t>Appendix 2-A: Contraceptive Methods</w:t>
      </w:r>
      <w:r w:rsidR="0051683D" w:rsidRPr="0051683D">
        <w:rPr>
          <w:rFonts w:ascii="Arial" w:hAnsi="Arial" w:cs="Arial"/>
          <w:i/>
          <w:iCs/>
        </w:rPr>
        <w:t xml:space="preserve"> in the National PMTCT guideline</w:t>
      </w:r>
      <w:r w:rsidR="0051683D">
        <w:rPr>
          <w:rFonts w:ascii="Arial" w:hAnsi="Arial" w:cs="Arial"/>
          <w:i/>
          <w:iCs/>
        </w:rPr>
        <w:t xml:space="preserve"> (2013)</w:t>
      </w:r>
      <w:r w:rsidRPr="0051683D">
        <w:rPr>
          <w:rFonts w:ascii="Arial" w:hAnsi="Arial" w:cs="Arial"/>
        </w:rPr>
        <w:t>.</w:t>
      </w:r>
    </w:p>
    <w:p w:rsidR="0071027C" w:rsidRPr="00C203F3" w:rsidRDefault="00AA771C" w:rsidP="00AA771C">
      <w:pPr>
        <w:spacing w:beforeLines="120" w:before="288" w:afterLines="120" w:after="288"/>
        <w:jc w:val="both"/>
        <w:rPr>
          <w:rFonts w:ascii="Arial Narrow" w:hAnsi="Arial Narrow" w:cs="Helvetica"/>
          <w:sz w:val="24"/>
          <w:szCs w:val="24"/>
        </w:rPr>
      </w:pPr>
      <w:r>
        <w:rPr>
          <w:rFonts w:ascii="Arial Narrow" w:hAnsi="Arial Narrow"/>
          <w:noProof/>
          <w:sz w:val="24"/>
          <w:szCs w:val="24"/>
        </w:rPr>
        <mc:AlternateContent>
          <mc:Choice Requires="wps">
            <w:drawing>
              <wp:anchor distT="0" distB="0" distL="114300" distR="114300" simplePos="0" relativeHeight="251693056" behindDoc="0" locked="0" layoutInCell="1" allowOverlap="1">
                <wp:simplePos x="0" y="0"/>
                <wp:positionH relativeFrom="column">
                  <wp:posOffset>246380</wp:posOffset>
                </wp:positionH>
                <wp:positionV relativeFrom="paragraph">
                  <wp:posOffset>67310</wp:posOffset>
                </wp:positionV>
                <wp:extent cx="5002530" cy="1982470"/>
                <wp:effectExtent l="8255" t="10160" r="8890" b="17145"/>
                <wp:wrapNone/>
                <wp:docPr id="954"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2530" cy="1982470"/>
                        </a:xfrm>
                        <a:prstGeom prst="rect">
                          <a:avLst/>
                        </a:prstGeom>
                        <a:solidFill>
                          <a:srgbClr val="FFFFFF"/>
                        </a:solidFill>
                        <a:ln w="15875">
                          <a:solidFill>
                            <a:srgbClr val="000000"/>
                          </a:solidFill>
                          <a:miter lim="800000"/>
                          <a:headEnd/>
                          <a:tailEnd/>
                        </a:ln>
                      </wps:spPr>
                      <wps:txbx>
                        <w:txbxContent>
                          <w:p w:rsidR="00B247C9" w:rsidRPr="007C385B" w:rsidRDefault="00B247C9" w:rsidP="0071027C">
                            <w:pPr>
                              <w:autoSpaceDE w:val="0"/>
                              <w:autoSpaceDN w:val="0"/>
                              <w:adjustRightInd w:val="0"/>
                              <w:spacing w:after="0" w:line="240" w:lineRule="auto"/>
                              <w:jc w:val="center"/>
                              <w:rPr>
                                <w:rFonts w:ascii="Arial" w:hAnsi="Arial" w:cs="Arial"/>
                                <w:b/>
                                <w:bCs/>
                              </w:rPr>
                            </w:pPr>
                            <w:r w:rsidRPr="007C385B">
                              <w:rPr>
                                <w:rFonts w:ascii="Arial" w:hAnsi="Arial" w:cs="Arial"/>
                                <w:b/>
                                <w:bCs/>
                              </w:rPr>
                              <w:t>Practice Points</w:t>
                            </w:r>
                          </w:p>
                          <w:p w:rsidR="00B247C9" w:rsidRPr="00B179D4" w:rsidRDefault="00B247C9" w:rsidP="00274941">
                            <w:pPr>
                              <w:pStyle w:val="ListParagraph"/>
                              <w:numPr>
                                <w:ilvl w:val="0"/>
                                <w:numId w:val="62"/>
                              </w:numPr>
                              <w:autoSpaceDE w:val="0"/>
                              <w:autoSpaceDN w:val="0"/>
                              <w:adjustRightInd w:val="0"/>
                              <w:rPr>
                                <w:rFonts w:ascii="Arial" w:hAnsi="Arial" w:cs="Arial"/>
                                <w:sz w:val="22"/>
                                <w:szCs w:val="22"/>
                              </w:rPr>
                            </w:pPr>
                            <w:r w:rsidRPr="00B179D4">
                              <w:rPr>
                                <w:rFonts w:ascii="Arial" w:hAnsi="Arial" w:cs="Arial"/>
                                <w:sz w:val="22"/>
                                <w:szCs w:val="22"/>
                              </w:rPr>
                              <w:t>Couples/Women living with HIV should be empowered to make informed decision on the method of choice for family planning.</w:t>
                            </w:r>
                          </w:p>
                          <w:p w:rsidR="00B247C9" w:rsidRPr="00B179D4" w:rsidRDefault="00B247C9" w:rsidP="00274941">
                            <w:pPr>
                              <w:pStyle w:val="ListParagraph"/>
                              <w:numPr>
                                <w:ilvl w:val="0"/>
                                <w:numId w:val="62"/>
                              </w:numPr>
                              <w:autoSpaceDE w:val="0"/>
                              <w:autoSpaceDN w:val="0"/>
                              <w:adjustRightInd w:val="0"/>
                              <w:rPr>
                                <w:rFonts w:ascii="Arial" w:hAnsi="Arial" w:cs="Arial"/>
                                <w:sz w:val="22"/>
                                <w:szCs w:val="22"/>
                              </w:rPr>
                            </w:pPr>
                            <w:r w:rsidRPr="00B179D4">
                              <w:rPr>
                                <w:rFonts w:ascii="Arial" w:hAnsi="Arial" w:cs="Arial"/>
                                <w:sz w:val="22"/>
                                <w:szCs w:val="22"/>
                              </w:rPr>
                              <w:t>Dual protection is the recommended form of contraception for couple/women living with HIV.</w:t>
                            </w:r>
                          </w:p>
                          <w:p w:rsidR="00B247C9" w:rsidRPr="00B179D4" w:rsidRDefault="00B247C9" w:rsidP="00274941">
                            <w:pPr>
                              <w:pStyle w:val="ListParagraph"/>
                              <w:numPr>
                                <w:ilvl w:val="0"/>
                                <w:numId w:val="62"/>
                              </w:numPr>
                              <w:autoSpaceDE w:val="0"/>
                              <w:autoSpaceDN w:val="0"/>
                              <w:adjustRightInd w:val="0"/>
                              <w:rPr>
                                <w:rFonts w:ascii="Arial" w:hAnsi="Arial" w:cs="Arial"/>
                                <w:sz w:val="22"/>
                                <w:szCs w:val="22"/>
                              </w:rPr>
                            </w:pPr>
                            <w:r w:rsidRPr="00B179D4">
                              <w:rPr>
                                <w:rFonts w:ascii="Arial" w:hAnsi="Arial" w:cs="Arial"/>
                                <w:sz w:val="22"/>
                                <w:szCs w:val="22"/>
                              </w:rPr>
                              <w:t>All pregnant HIV-infected women and their partners (HIV infected and uninfected) should be encouraged to use condoms during pregnancy to prevent STIs and HIV infection or re-infection.</w:t>
                            </w:r>
                          </w:p>
                          <w:p w:rsidR="00B247C9" w:rsidRPr="00B179D4" w:rsidRDefault="00B247C9" w:rsidP="0071027C">
                            <w:pPr>
                              <w:autoSpaceDE w:val="0"/>
                              <w:autoSpaceDN w:val="0"/>
                              <w:adjustRightInd w:val="0"/>
                              <w:spacing w:after="0" w:line="240" w:lineRule="auto"/>
                              <w:rPr>
                                <w:rFonts w:ascii="Arial" w:hAnsi="Arial" w:cs="Arial"/>
                              </w:rPr>
                            </w:pPr>
                            <w:r>
                              <w:rPr>
                                <w:rFonts w:ascii="Wingdings" w:hAnsi="Wingdings" w:cs="Wingdings"/>
                              </w:rPr>
                              <w:t>􀂃</w:t>
                            </w:r>
                            <w:r>
                              <w:rPr>
                                <w:rFonts w:ascii="Wingdings" w:hAnsi="Wingdings" w:cs="Wingdings"/>
                              </w:rPr>
                              <w:t></w:t>
                            </w:r>
                            <w:r w:rsidRPr="00B179D4">
                              <w:rPr>
                                <w:rFonts w:ascii="Arial" w:hAnsi="Arial" w:cs="Arial"/>
                              </w:rPr>
                              <w:t>Every woman living with HIV who intends to stop use of contraceptives and become pregnant should be provided with adequate counselling on PMTCT.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401" type="#_x0000_t202" style="position:absolute;left:0;text-align:left;margin-left:19.4pt;margin-top:5.3pt;width:393.9pt;height:156.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" strokeweight="1.25pt">
                <v:textbox>
                  <w:txbxContent>
                    <w:p w:rsidR="00B247C9" w:rsidRPr="007C385B" w:rsidRDefault="00B247C9" w:rsidP="0071027C">
                      <w:pPr>
                        <w:autoSpaceDE w:val="0"/>
                        <w:autoSpaceDN w:val="0"/>
                        <w:adjustRightInd w:val="0"/>
                        <w:spacing w:after="0" w:line="240" w:lineRule="auto"/>
                        <w:jc w:val="center"/>
                        <w:rPr>
                          <w:rFonts w:ascii="Arial" w:hAnsi="Arial" w:cs="Arial"/>
                          <w:b/>
                          <w:bCs/>
                        </w:rPr>
                      </w:pPr>
                      <w:r w:rsidRPr="007C385B">
                        <w:rPr>
                          <w:rFonts w:ascii="Arial" w:hAnsi="Arial" w:cs="Arial"/>
                          <w:b/>
                          <w:bCs/>
                        </w:rPr>
                        <w:t>Practice Points</w:t>
                      </w:r>
                    </w:p>
                    <w:p w:rsidR="00B247C9" w:rsidRPr="00B179D4" w:rsidRDefault="00B247C9" w:rsidP="00274941">
                      <w:pPr>
                        <w:pStyle w:val="ListParagraph"/>
                        <w:numPr>
                          <w:ilvl w:val="0"/>
                          <w:numId w:val="62"/>
                        </w:numPr>
                        <w:autoSpaceDE w:val="0"/>
                        <w:autoSpaceDN w:val="0"/>
                        <w:adjustRightInd w:val="0"/>
                        <w:rPr>
                          <w:rFonts w:ascii="Arial" w:hAnsi="Arial" w:cs="Arial"/>
                          <w:sz w:val="22"/>
                          <w:szCs w:val="22"/>
                        </w:rPr>
                      </w:pPr>
                      <w:r w:rsidRPr="00B179D4">
                        <w:rPr>
                          <w:rFonts w:ascii="Arial" w:hAnsi="Arial" w:cs="Arial"/>
                          <w:sz w:val="22"/>
                          <w:szCs w:val="22"/>
                        </w:rPr>
                        <w:t>Couples/Women living with HIV should be empowered to make informed decision on the method of choice for family planning.</w:t>
                      </w:r>
                    </w:p>
                    <w:p w:rsidR="00B247C9" w:rsidRPr="00B179D4" w:rsidRDefault="00B247C9" w:rsidP="00274941">
                      <w:pPr>
                        <w:pStyle w:val="ListParagraph"/>
                        <w:numPr>
                          <w:ilvl w:val="0"/>
                          <w:numId w:val="62"/>
                        </w:numPr>
                        <w:autoSpaceDE w:val="0"/>
                        <w:autoSpaceDN w:val="0"/>
                        <w:adjustRightInd w:val="0"/>
                        <w:rPr>
                          <w:rFonts w:ascii="Arial" w:hAnsi="Arial" w:cs="Arial"/>
                          <w:sz w:val="22"/>
                          <w:szCs w:val="22"/>
                        </w:rPr>
                      </w:pPr>
                      <w:r w:rsidRPr="00B179D4">
                        <w:rPr>
                          <w:rFonts w:ascii="Arial" w:hAnsi="Arial" w:cs="Arial"/>
                          <w:sz w:val="22"/>
                          <w:szCs w:val="22"/>
                        </w:rPr>
                        <w:t>Dual protection is the recommended form of contraception for couple/women living with HIV.</w:t>
                      </w:r>
                    </w:p>
                    <w:p w:rsidR="00B247C9" w:rsidRPr="00B179D4" w:rsidRDefault="00B247C9" w:rsidP="00274941">
                      <w:pPr>
                        <w:pStyle w:val="ListParagraph"/>
                        <w:numPr>
                          <w:ilvl w:val="0"/>
                          <w:numId w:val="62"/>
                        </w:numPr>
                        <w:autoSpaceDE w:val="0"/>
                        <w:autoSpaceDN w:val="0"/>
                        <w:adjustRightInd w:val="0"/>
                        <w:rPr>
                          <w:rFonts w:ascii="Arial" w:hAnsi="Arial" w:cs="Arial"/>
                          <w:sz w:val="22"/>
                          <w:szCs w:val="22"/>
                        </w:rPr>
                      </w:pPr>
                      <w:r w:rsidRPr="00B179D4">
                        <w:rPr>
                          <w:rFonts w:ascii="Arial" w:hAnsi="Arial" w:cs="Arial"/>
                          <w:sz w:val="22"/>
                          <w:szCs w:val="22"/>
                        </w:rPr>
                        <w:t>All pregnant HIV-infected women and their partners (HIV infected and uninfected) should be encouraged to use condoms during pregnancy to prevent STIs and HIV infection or re-infection.</w:t>
                      </w:r>
                    </w:p>
                    <w:p w:rsidR="00B247C9" w:rsidRPr="00B179D4" w:rsidRDefault="00B247C9" w:rsidP="0071027C">
                      <w:pPr>
                        <w:autoSpaceDE w:val="0"/>
                        <w:autoSpaceDN w:val="0"/>
                        <w:adjustRightInd w:val="0"/>
                        <w:spacing w:after="0" w:line="240" w:lineRule="auto"/>
                        <w:rPr>
                          <w:rFonts w:ascii="Arial" w:hAnsi="Arial" w:cs="Arial"/>
                        </w:rPr>
                      </w:pPr>
                      <w:r>
                        <w:rPr>
                          <w:rFonts w:ascii="Wingdings" w:hAnsi="Wingdings" w:cs="Wingdings"/>
                        </w:rPr>
                        <w:t>􀂃</w:t>
                      </w:r>
                      <w:r>
                        <w:rPr>
                          <w:rFonts w:ascii="Wingdings" w:hAnsi="Wingdings" w:cs="Wingdings"/>
                        </w:rPr>
                        <w:t></w:t>
                      </w:r>
                      <w:r w:rsidRPr="00B179D4">
                        <w:rPr>
                          <w:rFonts w:ascii="Arial" w:hAnsi="Arial" w:cs="Arial"/>
                        </w:rPr>
                        <w:t>Every woman living with HIV who intends to stop use of contraceptives and become pregnant should be provided with adequate counselling on PMTCT.</w:t>
                      </w:r>
                    </w:p>
                  </w:txbxContent>
                </v:textbox>
              </v:shape>
            </w:pict>
          </mc:Fallback>
        </mc:AlternateContent>
      </w:r>
    </w:p>
    <w:p w:rsidR="0071027C" w:rsidRPr="00C203F3" w:rsidRDefault="0071027C" w:rsidP="00AA771C">
      <w:pPr>
        <w:spacing w:beforeLines="120" w:before="288" w:afterLines="120" w:after="288"/>
        <w:jc w:val="both"/>
        <w:rPr>
          <w:rFonts w:ascii="Arial Narrow" w:hAnsi="Arial Narrow" w:cs="Helvetica"/>
          <w:sz w:val="24"/>
          <w:szCs w:val="24"/>
        </w:rPr>
      </w:pPr>
    </w:p>
    <w:p w:rsidR="0071027C" w:rsidRPr="00C203F3" w:rsidRDefault="0071027C" w:rsidP="00AA771C">
      <w:pPr>
        <w:spacing w:beforeLines="120" w:before="288" w:afterLines="120" w:after="288"/>
        <w:jc w:val="both"/>
        <w:rPr>
          <w:rFonts w:ascii="Arial Narrow" w:hAnsi="Arial Narrow" w:cs="Helvetica"/>
          <w:sz w:val="24"/>
          <w:szCs w:val="24"/>
        </w:rPr>
      </w:pPr>
    </w:p>
    <w:p w:rsidR="0071027C" w:rsidRPr="00C203F3" w:rsidRDefault="0071027C" w:rsidP="00AA771C">
      <w:pPr>
        <w:pStyle w:val="Heading2"/>
        <w:spacing w:beforeLines="120" w:before="288" w:afterLines="120" w:after="288"/>
        <w:jc w:val="both"/>
        <w:rPr>
          <w:rFonts w:ascii="Arial Narrow" w:eastAsia="Calibri" w:hAnsi="Arial Narrow"/>
          <w:color w:val="auto"/>
          <w:sz w:val="24"/>
          <w:szCs w:val="24"/>
        </w:rPr>
      </w:pPr>
    </w:p>
    <w:p w:rsidR="0071027C" w:rsidRDefault="0071027C" w:rsidP="0071027C">
      <w:pPr>
        <w:pStyle w:val="Heading3"/>
      </w:pPr>
      <w:bookmarkStart w:id="476" w:name="_Toc378258194"/>
    </w:p>
    <w:p w:rsidR="0071027C" w:rsidRDefault="0071027C" w:rsidP="0071027C">
      <w:pPr>
        <w:pStyle w:val="Heading3"/>
      </w:pPr>
    </w:p>
    <w:p w:rsidR="0071027C" w:rsidRDefault="0071027C" w:rsidP="0071027C">
      <w:pPr>
        <w:pStyle w:val="Heading3"/>
      </w:pPr>
    </w:p>
    <w:p w:rsidR="0071027C" w:rsidRPr="00B179D4" w:rsidRDefault="0071027C" w:rsidP="0071027C">
      <w:pPr>
        <w:pStyle w:val="Heading3"/>
      </w:pPr>
      <w:bookmarkStart w:id="477" w:name="_Toc382214053"/>
      <w:r w:rsidRPr="00B179D4">
        <w:t>8.4.3. Interventions to prevent HIV transmission from mothers to their Infants</w:t>
      </w:r>
      <w:bookmarkEnd w:id="476"/>
      <w:bookmarkEnd w:id="477"/>
    </w:p>
    <w:p w:rsidR="0071027C" w:rsidRPr="00B179D4" w:rsidRDefault="0071027C" w:rsidP="00AA771C">
      <w:pPr>
        <w:autoSpaceDE w:val="0"/>
        <w:autoSpaceDN w:val="0"/>
        <w:adjustRightInd w:val="0"/>
        <w:spacing w:beforeLines="120" w:before="288" w:afterLines="120" w:after="288"/>
        <w:jc w:val="both"/>
        <w:rPr>
          <w:rFonts w:ascii="Arial" w:hAnsi="Arial" w:cs="Arial"/>
        </w:rPr>
      </w:pPr>
      <w:r w:rsidRPr="00B179D4">
        <w:rPr>
          <w:rFonts w:ascii="Arial" w:hAnsi="Arial" w:cs="Arial"/>
        </w:rPr>
        <w:t>The PMTCT program offers a range of services and interventions that reduce the risk of MTCT. These include HIV education, testing and counseling for pregnant and breastfeeding women and their partners, antiretroviral treatment (ART) and prophylaxis, safer delivery practices, and counseling on safer infant feeding and care of the HIV-exposed infant. These interventions are discussed in detail in subsequent chapters of these guidelines.</w:t>
      </w:r>
    </w:p>
    <w:p w:rsidR="0071027C" w:rsidRPr="00B179D4" w:rsidRDefault="0071027C" w:rsidP="0071027C">
      <w:pPr>
        <w:pStyle w:val="Heading3"/>
      </w:pPr>
      <w:bookmarkStart w:id="478" w:name="_Toc378258195"/>
      <w:bookmarkStart w:id="479" w:name="_Toc382214054"/>
      <w:r w:rsidRPr="00B179D4">
        <w:t>8.4.4. Treatment, care and support for HIV-infected women and their Families</w:t>
      </w:r>
      <w:bookmarkEnd w:id="478"/>
      <w:bookmarkEnd w:id="479"/>
    </w:p>
    <w:p w:rsidR="0071027C" w:rsidRPr="00B179D4" w:rsidRDefault="0071027C" w:rsidP="00AA771C">
      <w:pPr>
        <w:autoSpaceDE w:val="0"/>
        <w:autoSpaceDN w:val="0"/>
        <w:adjustRightInd w:val="0"/>
        <w:spacing w:beforeLines="120" w:before="288" w:afterLines="120" w:after="288"/>
        <w:jc w:val="both"/>
        <w:rPr>
          <w:rFonts w:ascii="Arial" w:hAnsi="Arial" w:cs="Arial"/>
        </w:rPr>
      </w:pPr>
      <w:r w:rsidRPr="00B179D4">
        <w:rPr>
          <w:rFonts w:ascii="Arial" w:hAnsi="Arial" w:cs="Arial"/>
        </w:rPr>
        <w:t>Providing HIV treatment, care and support is critical for enabling women living with HIV to address their health needs and ensure the well-being of their children and families. The PMTCT program should strive to provide comprehensive HIV care and treatment services, and when this cannot be provided in RCH clinics it is important to strengthen coordinated referral systems to ensure that women and their families have access to comprehensive HIV care services at appropriate clinics.</w:t>
      </w:r>
    </w:p>
    <w:p w:rsidR="0071027C" w:rsidRPr="00B179D4" w:rsidRDefault="0071027C" w:rsidP="00AA771C">
      <w:pPr>
        <w:autoSpaceDE w:val="0"/>
        <w:autoSpaceDN w:val="0"/>
        <w:adjustRightInd w:val="0"/>
        <w:spacing w:beforeLines="120" w:before="288" w:afterLines="120" w:after="288"/>
        <w:jc w:val="both"/>
        <w:rPr>
          <w:rFonts w:ascii="Arial" w:hAnsi="Arial" w:cs="Arial"/>
        </w:rPr>
      </w:pPr>
      <w:r w:rsidRPr="00B179D4">
        <w:rPr>
          <w:rFonts w:ascii="Arial" w:hAnsi="Arial" w:cs="Arial"/>
        </w:rPr>
        <w:t>Lifelong ART is recommended for all HIV-positive pregnant and breastfeeding women regardless of their CD4 count or WHO clinical stage or gestational age. However, all women diagnosed with HIV infection should have clinical and immunological evaluation to monitor their progress as they start ART. Care and treatment services to pregnant and breastfeeding women living with HIV should be provided in RCH settings or by referral when care and treatment services cannot be provided in RCH clinics. More information on ART can be found in Chapter 9 (Antiretroviral therapy).  Infants born to mothers living with HIV will require close follow-up and monitoring of the following: growth and development, immunizations, prophylaxis against HIV infection and opportunistic infections (ARVs and CTX), early testing for HIV and nutritional supplements. All HIV-infected infants should be provided with comprehensive paediatric HIV care and treatment services. These services are discussed further in Chapters 5, 6 and 7.</w:t>
      </w:r>
    </w:p>
    <w:p w:rsidR="0071027C" w:rsidRPr="00C203F3" w:rsidRDefault="0071027C" w:rsidP="00AA771C">
      <w:pPr>
        <w:spacing w:beforeLines="120" w:before="288" w:afterLines="120" w:after="288"/>
        <w:jc w:val="both"/>
        <w:rPr>
          <w:rFonts w:ascii="Arial Narrow" w:hAnsi="Arial Narrow" w:cs="Helvetica"/>
          <w:b/>
          <w:sz w:val="24"/>
          <w:szCs w:val="24"/>
        </w:rPr>
      </w:pPr>
    </w:p>
    <w:tbl>
      <w:tblPr>
        <w:tblW w:w="0" w:type="auto"/>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5778"/>
      </w:tblGrid>
      <w:tr w:rsidR="0071027C" w:rsidRPr="0004102E" w:rsidTr="0071027C">
        <w:trPr>
          <w:trHeight w:val="666"/>
        </w:trPr>
        <w:tc>
          <w:tcPr>
            <w:tcW w:w="9576" w:type="dxa"/>
            <w:gridSpan w:val="2"/>
            <w:tcBorders>
              <w:top w:val="nil"/>
              <w:left w:val="nil"/>
              <w:bottom w:val="nil"/>
              <w:right w:val="nil"/>
            </w:tcBorders>
            <w:hideMark/>
          </w:tcPr>
          <w:p w:rsidR="0071027C" w:rsidRPr="00C203F3" w:rsidRDefault="0071027C" w:rsidP="00AA771C">
            <w:pPr>
              <w:autoSpaceDE w:val="0"/>
              <w:autoSpaceDN w:val="0"/>
              <w:adjustRightInd w:val="0"/>
              <w:spacing w:beforeLines="120" w:before="288" w:afterLines="120" w:after="288"/>
              <w:jc w:val="both"/>
              <w:rPr>
                <w:rFonts w:ascii="Arial Narrow" w:eastAsia="Times New Roman" w:hAnsi="Arial Narrow" w:cs="Helvetica-Bold"/>
                <w:b/>
                <w:bCs/>
                <w:sz w:val="24"/>
                <w:szCs w:val="24"/>
              </w:rPr>
            </w:pPr>
            <w:r w:rsidRPr="00C203F3">
              <w:rPr>
                <w:rFonts w:ascii="Arial Narrow" w:hAnsi="Arial Narrow"/>
                <w:b/>
                <w:sz w:val="24"/>
                <w:szCs w:val="24"/>
              </w:rPr>
              <w:t>Table 8.2: Services that contribute to a comprehensive approach to PMTCT</w:t>
            </w:r>
          </w:p>
        </w:tc>
      </w:tr>
      <w:tr w:rsidR="0071027C" w:rsidRPr="0004102E" w:rsidTr="0071027C">
        <w:trPr>
          <w:trHeight w:val="1196"/>
        </w:trPr>
        <w:tc>
          <w:tcPr>
            <w:tcW w:w="3798" w:type="dxa"/>
            <w:tcBorders>
              <w:top w:val="nil"/>
              <w:left w:val="single" w:sz="4" w:space="0" w:color="auto"/>
              <w:bottom w:val="single" w:sz="4" w:space="0" w:color="auto"/>
              <w:right w:val="single" w:sz="4" w:space="0" w:color="FFFFFF"/>
            </w:tcBorders>
            <w:shd w:val="clear" w:color="auto" w:fill="000000"/>
            <w:hideMark/>
          </w:tcPr>
          <w:p w:rsidR="0071027C" w:rsidRPr="0004102E" w:rsidRDefault="0071027C" w:rsidP="00AA771C">
            <w:pPr>
              <w:spacing w:beforeLines="120" w:before="288" w:afterLines="120" w:after="288"/>
              <w:jc w:val="both"/>
              <w:rPr>
                <w:rFonts w:ascii="Arial Narrow" w:eastAsia="Times New Roman" w:hAnsi="Arial Narrow"/>
                <w:b/>
                <w:bCs/>
                <w:sz w:val="24"/>
                <w:szCs w:val="24"/>
              </w:rPr>
            </w:pPr>
            <w:r w:rsidRPr="00C203F3">
              <w:rPr>
                <w:rFonts w:ascii="Arial Narrow" w:eastAsia="Times New Roman" w:hAnsi="Arial Narrow" w:cs="Helvetica-Bold"/>
                <w:b/>
                <w:bCs/>
                <w:sz w:val="24"/>
                <w:szCs w:val="24"/>
              </w:rPr>
              <w:t>PMTCT services</w:t>
            </w:r>
          </w:p>
        </w:tc>
        <w:tc>
          <w:tcPr>
            <w:tcW w:w="5778" w:type="dxa"/>
            <w:tcBorders>
              <w:top w:val="nil"/>
              <w:left w:val="single" w:sz="4" w:space="0" w:color="FFFFFF"/>
              <w:bottom w:val="single" w:sz="4" w:space="0" w:color="auto"/>
              <w:right w:val="single" w:sz="4" w:space="0" w:color="auto"/>
            </w:tcBorders>
            <w:shd w:val="clear" w:color="auto" w:fill="000000"/>
            <w:hideMark/>
          </w:tcPr>
          <w:p w:rsidR="0071027C" w:rsidRPr="00C203F3" w:rsidRDefault="0071027C" w:rsidP="00AA771C">
            <w:pPr>
              <w:autoSpaceDE w:val="0"/>
              <w:autoSpaceDN w:val="0"/>
              <w:adjustRightInd w:val="0"/>
              <w:spacing w:beforeLines="120" w:before="288" w:afterLines="120" w:after="288"/>
              <w:jc w:val="both"/>
              <w:rPr>
                <w:rFonts w:ascii="Arial Narrow" w:eastAsia="Times New Roman" w:hAnsi="Arial Narrow" w:cs="Helvetica-Bold"/>
                <w:b/>
                <w:bCs/>
                <w:sz w:val="24"/>
                <w:szCs w:val="24"/>
              </w:rPr>
            </w:pPr>
            <w:r w:rsidRPr="00C203F3">
              <w:rPr>
                <w:rFonts w:ascii="Arial Narrow" w:eastAsia="Times New Roman" w:hAnsi="Arial Narrow" w:cs="Helvetica-Bold"/>
                <w:b/>
                <w:bCs/>
                <w:sz w:val="24"/>
                <w:szCs w:val="24"/>
              </w:rPr>
              <w:t>How these services contribute to a  comprehensive approach</w:t>
            </w:r>
          </w:p>
        </w:tc>
      </w:tr>
      <w:tr w:rsidR="0071027C" w:rsidRPr="0004102E" w:rsidTr="0071027C">
        <w:tc>
          <w:tcPr>
            <w:tcW w:w="379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C203F3" w:rsidRDefault="0071027C" w:rsidP="00AA771C">
            <w:pPr>
              <w:autoSpaceDE w:val="0"/>
              <w:autoSpaceDN w:val="0"/>
              <w:adjustRightInd w:val="0"/>
              <w:spacing w:beforeLines="120" w:before="288" w:afterLines="120" w:after="288"/>
              <w:jc w:val="both"/>
              <w:rPr>
                <w:rFonts w:ascii="Arial Narrow" w:eastAsia="Times New Roman" w:hAnsi="Arial Narrow" w:cs="Helvetica-Bold"/>
                <w:b/>
                <w:bCs/>
                <w:sz w:val="24"/>
                <w:szCs w:val="24"/>
              </w:rPr>
            </w:pPr>
            <w:r w:rsidRPr="00C203F3">
              <w:rPr>
                <w:rFonts w:ascii="Arial Narrow" w:eastAsia="Times New Roman" w:hAnsi="Arial Narrow" w:cs="Helvetica-Bold"/>
                <w:b/>
                <w:bCs/>
                <w:sz w:val="24"/>
                <w:szCs w:val="24"/>
              </w:rPr>
              <w:t>Routine HIV testing and counseling</w:t>
            </w:r>
          </w:p>
        </w:tc>
        <w:tc>
          <w:tcPr>
            <w:tcW w:w="577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C203F3" w:rsidRDefault="0071027C" w:rsidP="00AA771C">
            <w:pPr>
              <w:autoSpaceDE w:val="0"/>
              <w:autoSpaceDN w:val="0"/>
              <w:adjustRightInd w:val="0"/>
              <w:spacing w:beforeLines="120" w:before="288" w:afterLines="120" w:after="288"/>
              <w:jc w:val="both"/>
              <w:rPr>
                <w:rFonts w:ascii="Arial Narrow" w:eastAsia="Times New Roman" w:hAnsi="Arial Narrow" w:cs="Helvetica"/>
                <w:sz w:val="24"/>
                <w:szCs w:val="24"/>
              </w:rPr>
            </w:pPr>
            <w:r w:rsidRPr="00C203F3">
              <w:rPr>
                <w:rFonts w:ascii="Arial Narrow" w:eastAsia="Times New Roman" w:hAnsi="Arial Narrow" w:cs="Helvetica"/>
                <w:sz w:val="24"/>
                <w:szCs w:val="24"/>
              </w:rPr>
              <w:t>Identifies women/couples living with HIV so that they can receive PMTCT services and HIV care, treatment and support</w:t>
            </w:r>
          </w:p>
          <w:p w:rsidR="0071027C" w:rsidRPr="00C203F3" w:rsidRDefault="0071027C" w:rsidP="00AA771C">
            <w:pPr>
              <w:autoSpaceDE w:val="0"/>
              <w:autoSpaceDN w:val="0"/>
              <w:adjustRightInd w:val="0"/>
              <w:spacing w:beforeLines="120" w:before="288" w:afterLines="120" w:after="288"/>
              <w:jc w:val="both"/>
              <w:rPr>
                <w:rFonts w:ascii="Arial Narrow" w:eastAsia="Times New Roman" w:hAnsi="Arial Narrow" w:cs="Helvetica"/>
                <w:sz w:val="24"/>
                <w:szCs w:val="24"/>
              </w:rPr>
            </w:pPr>
            <w:r w:rsidRPr="00C203F3">
              <w:rPr>
                <w:rFonts w:ascii="Arial Narrow" w:eastAsia="Times New Roman" w:hAnsi="Arial Narrow" w:cs="Helvetica"/>
                <w:sz w:val="24"/>
                <w:szCs w:val="24"/>
              </w:rPr>
              <w:t>Identifies women who are currently negative but at high risk for acquiring infection during pregnancy / breastfeeding period. Women/couples should be encouraged to continue using protective interventions</w:t>
            </w:r>
          </w:p>
        </w:tc>
      </w:tr>
      <w:tr w:rsidR="0071027C" w:rsidRPr="0004102E" w:rsidTr="0071027C">
        <w:tc>
          <w:tcPr>
            <w:tcW w:w="3798" w:type="dxa"/>
            <w:tcBorders>
              <w:top w:val="single" w:sz="4" w:space="0" w:color="auto"/>
              <w:left w:val="single" w:sz="4" w:space="0" w:color="auto"/>
              <w:bottom w:val="single" w:sz="4" w:space="0" w:color="auto"/>
              <w:right w:val="single" w:sz="4" w:space="0" w:color="auto"/>
            </w:tcBorders>
            <w:hideMark/>
          </w:tcPr>
          <w:p w:rsidR="0071027C" w:rsidRPr="00C203F3" w:rsidRDefault="0071027C" w:rsidP="00AA771C">
            <w:pPr>
              <w:autoSpaceDE w:val="0"/>
              <w:autoSpaceDN w:val="0"/>
              <w:adjustRightInd w:val="0"/>
              <w:spacing w:beforeLines="120" w:before="288" w:afterLines="120" w:after="288"/>
              <w:jc w:val="both"/>
              <w:rPr>
                <w:rFonts w:ascii="Arial Narrow" w:eastAsia="Times New Roman" w:hAnsi="Arial Narrow" w:cs="Helvetica-Bold"/>
                <w:b/>
                <w:bCs/>
                <w:sz w:val="24"/>
                <w:szCs w:val="24"/>
              </w:rPr>
            </w:pPr>
            <w:r w:rsidRPr="00C203F3">
              <w:rPr>
                <w:rFonts w:ascii="Arial Narrow" w:eastAsia="Times New Roman" w:hAnsi="Arial Narrow" w:cs="Helvetica-Bold"/>
                <w:b/>
                <w:bCs/>
                <w:sz w:val="24"/>
                <w:szCs w:val="24"/>
              </w:rPr>
              <w:t>Comprehensive antenatal</w:t>
            </w:r>
          </w:p>
          <w:p w:rsidR="0071027C" w:rsidRPr="0004102E" w:rsidRDefault="0071027C" w:rsidP="00AA771C">
            <w:pPr>
              <w:spacing w:beforeLines="120" w:before="288" w:afterLines="120" w:after="288"/>
              <w:jc w:val="both"/>
              <w:rPr>
                <w:rFonts w:ascii="Arial Narrow" w:eastAsia="Times New Roman" w:hAnsi="Arial Narrow"/>
                <w:b/>
                <w:bCs/>
                <w:sz w:val="24"/>
                <w:szCs w:val="24"/>
              </w:rPr>
            </w:pPr>
            <w:r w:rsidRPr="00C203F3">
              <w:rPr>
                <w:rFonts w:ascii="Arial Narrow" w:eastAsia="Times New Roman" w:hAnsi="Arial Narrow" w:cs="Helvetica-Bold"/>
                <w:b/>
                <w:bCs/>
                <w:sz w:val="24"/>
                <w:szCs w:val="24"/>
              </w:rPr>
              <w:t>care (ANC)</w:t>
            </w:r>
          </w:p>
        </w:tc>
        <w:tc>
          <w:tcPr>
            <w:tcW w:w="5778" w:type="dxa"/>
            <w:tcBorders>
              <w:top w:val="single" w:sz="4" w:space="0" w:color="auto"/>
              <w:left w:val="single" w:sz="4" w:space="0" w:color="auto"/>
              <w:bottom w:val="single" w:sz="4" w:space="0" w:color="auto"/>
              <w:right w:val="single" w:sz="4" w:space="0" w:color="auto"/>
            </w:tcBorders>
            <w:hideMark/>
          </w:tcPr>
          <w:p w:rsidR="0071027C" w:rsidRPr="00C203F3" w:rsidRDefault="0071027C" w:rsidP="00AA771C">
            <w:pPr>
              <w:autoSpaceDE w:val="0"/>
              <w:autoSpaceDN w:val="0"/>
              <w:adjustRightInd w:val="0"/>
              <w:spacing w:beforeLines="120" w:before="288" w:afterLines="120" w:after="288"/>
              <w:jc w:val="both"/>
              <w:rPr>
                <w:rFonts w:ascii="Arial Narrow" w:eastAsia="Times New Roman" w:hAnsi="Arial Narrow" w:cs="Helvetica"/>
                <w:sz w:val="24"/>
                <w:szCs w:val="24"/>
              </w:rPr>
            </w:pPr>
            <w:r w:rsidRPr="00C203F3">
              <w:rPr>
                <w:rFonts w:ascii="Arial Narrow" w:eastAsia="Times New Roman" w:hAnsi="Arial Narrow" w:cs="Helvetica"/>
                <w:sz w:val="24"/>
                <w:szCs w:val="24"/>
              </w:rPr>
              <w:t>Monitors pregnancy progress, early recognition and treatment of pregnancy-related complications such as STIs and anaemia, prevention of malaria and TB, counseling mother on optimal nutrition Provision of preventative methods such as cotrimoxazole preventive therapy (CPT) for malaria</w:t>
            </w:r>
          </w:p>
        </w:tc>
      </w:tr>
      <w:tr w:rsidR="0071027C" w:rsidRPr="0004102E" w:rsidTr="0071027C">
        <w:tc>
          <w:tcPr>
            <w:tcW w:w="379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C203F3" w:rsidRDefault="0071027C" w:rsidP="00AA771C">
            <w:pPr>
              <w:autoSpaceDE w:val="0"/>
              <w:autoSpaceDN w:val="0"/>
              <w:adjustRightInd w:val="0"/>
              <w:spacing w:beforeLines="120" w:before="288" w:afterLines="120" w:after="288"/>
              <w:jc w:val="both"/>
              <w:rPr>
                <w:rFonts w:ascii="Arial Narrow" w:eastAsia="Times New Roman" w:hAnsi="Arial Narrow" w:cs="Helvetica-Bold"/>
                <w:b/>
                <w:bCs/>
                <w:sz w:val="24"/>
                <w:szCs w:val="24"/>
              </w:rPr>
            </w:pPr>
            <w:r w:rsidRPr="00C203F3">
              <w:rPr>
                <w:rFonts w:ascii="Arial Narrow" w:eastAsia="Times New Roman" w:hAnsi="Arial Narrow" w:cs="Helvetica-Bold"/>
                <w:b/>
                <w:bCs/>
                <w:sz w:val="24"/>
                <w:szCs w:val="24"/>
              </w:rPr>
              <w:t>Lifelong ART for HIV positive pregnant and breastfeeding women</w:t>
            </w:r>
          </w:p>
        </w:tc>
        <w:tc>
          <w:tcPr>
            <w:tcW w:w="577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C203F3" w:rsidRDefault="0071027C" w:rsidP="00AA771C">
            <w:pPr>
              <w:autoSpaceDE w:val="0"/>
              <w:autoSpaceDN w:val="0"/>
              <w:adjustRightInd w:val="0"/>
              <w:spacing w:beforeLines="120" w:before="288" w:afterLines="120" w:after="288"/>
              <w:jc w:val="both"/>
              <w:rPr>
                <w:rFonts w:ascii="Arial Narrow" w:eastAsia="Times New Roman" w:hAnsi="Arial Narrow" w:cs="Arial"/>
                <w:sz w:val="24"/>
                <w:szCs w:val="24"/>
              </w:rPr>
            </w:pPr>
            <w:r w:rsidRPr="00C203F3">
              <w:rPr>
                <w:rFonts w:ascii="Arial Narrow" w:eastAsia="Times New Roman" w:hAnsi="Arial Narrow" w:cs="Arial"/>
                <w:sz w:val="24"/>
                <w:szCs w:val="24"/>
              </w:rPr>
              <w:t xml:space="preserve">Improves maternal health, which in turn improves child’s </w:t>
            </w:r>
            <w:r w:rsidRPr="00C203F3">
              <w:rPr>
                <w:rFonts w:ascii="Arial Narrow" w:eastAsia="Times New Roman" w:hAnsi="Arial Narrow" w:cs="Helvetica"/>
                <w:sz w:val="24"/>
                <w:szCs w:val="24"/>
              </w:rPr>
              <w:t>survival chances</w:t>
            </w:r>
          </w:p>
          <w:p w:rsidR="0071027C" w:rsidRPr="00C203F3" w:rsidRDefault="0071027C" w:rsidP="00AA771C">
            <w:pPr>
              <w:autoSpaceDE w:val="0"/>
              <w:autoSpaceDN w:val="0"/>
              <w:adjustRightInd w:val="0"/>
              <w:spacing w:beforeLines="120" w:before="288" w:afterLines="120" w:after="288"/>
              <w:jc w:val="both"/>
              <w:rPr>
                <w:rFonts w:ascii="Arial Narrow" w:eastAsia="Times New Roman" w:hAnsi="Arial Narrow" w:cs="Arial"/>
                <w:sz w:val="24"/>
                <w:szCs w:val="24"/>
              </w:rPr>
            </w:pPr>
            <w:r w:rsidRPr="00C203F3">
              <w:rPr>
                <w:rFonts w:ascii="Arial Narrow" w:eastAsia="Times New Roman" w:hAnsi="Arial Narrow" w:cs="Helvetica"/>
                <w:sz w:val="24"/>
                <w:szCs w:val="24"/>
              </w:rPr>
              <w:t>Reduces maternal viral load, which in turn reduces</w:t>
            </w:r>
            <w:r>
              <w:rPr>
                <w:rFonts w:ascii="Arial Narrow" w:eastAsia="Times New Roman" w:hAnsi="Arial Narrow" w:cs="Helvetica"/>
                <w:sz w:val="24"/>
                <w:szCs w:val="24"/>
              </w:rPr>
              <w:t xml:space="preserve"> </w:t>
            </w:r>
            <w:r w:rsidRPr="00C203F3">
              <w:rPr>
                <w:rFonts w:ascii="Arial Narrow" w:eastAsia="Times New Roman" w:hAnsi="Arial Narrow" w:cs="Helvetica"/>
                <w:sz w:val="24"/>
                <w:szCs w:val="24"/>
              </w:rPr>
              <w:t>infant exposure to the virus and risk of MTCT</w:t>
            </w:r>
          </w:p>
        </w:tc>
      </w:tr>
      <w:tr w:rsidR="0071027C" w:rsidRPr="0004102E" w:rsidTr="0071027C">
        <w:tc>
          <w:tcPr>
            <w:tcW w:w="3798" w:type="dxa"/>
            <w:tcBorders>
              <w:top w:val="single" w:sz="4" w:space="0" w:color="auto"/>
              <w:left w:val="single" w:sz="4" w:space="0" w:color="auto"/>
              <w:bottom w:val="single" w:sz="4" w:space="0" w:color="auto"/>
              <w:right w:val="single" w:sz="4" w:space="0" w:color="auto"/>
            </w:tcBorders>
            <w:hideMark/>
          </w:tcPr>
          <w:p w:rsidR="0071027C" w:rsidRPr="00C203F3" w:rsidRDefault="0071027C" w:rsidP="00AA771C">
            <w:pPr>
              <w:autoSpaceDE w:val="0"/>
              <w:autoSpaceDN w:val="0"/>
              <w:adjustRightInd w:val="0"/>
              <w:spacing w:beforeLines="120" w:before="288" w:afterLines="120" w:after="288"/>
              <w:jc w:val="both"/>
              <w:rPr>
                <w:rFonts w:ascii="Arial Narrow" w:eastAsia="Times New Roman" w:hAnsi="Arial Narrow" w:cs="Helvetica-Bold"/>
                <w:b/>
                <w:bCs/>
                <w:sz w:val="24"/>
                <w:szCs w:val="24"/>
              </w:rPr>
            </w:pPr>
            <w:r w:rsidRPr="00C203F3">
              <w:rPr>
                <w:rFonts w:ascii="Arial Narrow" w:eastAsia="Times New Roman" w:hAnsi="Arial Narrow" w:cs="Helvetica-Bold"/>
                <w:b/>
                <w:bCs/>
                <w:sz w:val="24"/>
                <w:szCs w:val="24"/>
              </w:rPr>
              <w:t>ARV prophylaxis for HIV exposed Infants</w:t>
            </w:r>
          </w:p>
        </w:tc>
        <w:tc>
          <w:tcPr>
            <w:tcW w:w="5778" w:type="dxa"/>
            <w:tcBorders>
              <w:top w:val="single" w:sz="4" w:space="0" w:color="auto"/>
              <w:left w:val="single" w:sz="4" w:space="0" w:color="auto"/>
              <w:bottom w:val="single" w:sz="4" w:space="0" w:color="auto"/>
              <w:right w:val="single" w:sz="4" w:space="0" w:color="auto"/>
            </w:tcBorders>
            <w:hideMark/>
          </w:tcPr>
          <w:p w:rsidR="0071027C" w:rsidRPr="00C203F3" w:rsidRDefault="0071027C" w:rsidP="00AA771C">
            <w:pPr>
              <w:autoSpaceDE w:val="0"/>
              <w:autoSpaceDN w:val="0"/>
              <w:adjustRightInd w:val="0"/>
              <w:spacing w:beforeLines="120" w:before="288" w:afterLines="120" w:after="288"/>
              <w:jc w:val="both"/>
              <w:rPr>
                <w:rFonts w:ascii="Arial Narrow" w:eastAsia="Times New Roman" w:hAnsi="Arial Narrow" w:cs="Helvetica"/>
                <w:sz w:val="24"/>
                <w:szCs w:val="24"/>
              </w:rPr>
            </w:pPr>
            <w:r w:rsidRPr="00C203F3">
              <w:rPr>
                <w:rFonts w:ascii="Arial Narrow" w:eastAsia="Times New Roman" w:hAnsi="Arial Narrow" w:cs="Helvetica"/>
                <w:sz w:val="24"/>
                <w:szCs w:val="24"/>
              </w:rPr>
              <w:t>Reduces the chances of the HIV-exposed infant from getting infected with HIV from the mother in the postpartum period</w:t>
            </w:r>
          </w:p>
        </w:tc>
      </w:tr>
      <w:tr w:rsidR="0071027C" w:rsidRPr="0004102E" w:rsidTr="0071027C">
        <w:tc>
          <w:tcPr>
            <w:tcW w:w="379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04102E" w:rsidRDefault="0071027C" w:rsidP="00AA771C">
            <w:pPr>
              <w:spacing w:beforeLines="120" w:before="288" w:afterLines="120" w:after="288"/>
              <w:jc w:val="both"/>
              <w:rPr>
                <w:rFonts w:ascii="Arial Narrow" w:eastAsia="Times New Roman" w:hAnsi="Arial Narrow"/>
                <w:b/>
                <w:bCs/>
                <w:sz w:val="24"/>
                <w:szCs w:val="24"/>
              </w:rPr>
            </w:pPr>
            <w:r w:rsidRPr="00C203F3">
              <w:rPr>
                <w:rFonts w:ascii="Arial Narrow" w:eastAsia="Times New Roman" w:hAnsi="Arial Narrow" w:cs="Helvetica-Bold"/>
                <w:b/>
                <w:bCs/>
                <w:sz w:val="24"/>
                <w:szCs w:val="24"/>
              </w:rPr>
              <w:t>Safer delivery practices</w:t>
            </w:r>
          </w:p>
        </w:tc>
        <w:tc>
          <w:tcPr>
            <w:tcW w:w="577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C203F3" w:rsidRDefault="0071027C" w:rsidP="00AA771C">
            <w:pPr>
              <w:autoSpaceDE w:val="0"/>
              <w:autoSpaceDN w:val="0"/>
              <w:adjustRightInd w:val="0"/>
              <w:spacing w:beforeLines="120" w:before="288" w:afterLines="120" w:after="288"/>
              <w:jc w:val="both"/>
              <w:rPr>
                <w:rFonts w:ascii="Arial Narrow" w:eastAsia="Times New Roman" w:hAnsi="Arial Narrow" w:cs="Helvetica"/>
                <w:sz w:val="24"/>
                <w:szCs w:val="24"/>
              </w:rPr>
            </w:pPr>
            <w:r w:rsidRPr="00C203F3">
              <w:rPr>
                <w:rFonts w:ascii="Arial Narrow" w:eastAsia="Times New Roman" w:hAnsi="Arial Narrow" w:cs="Helvetica"/>
                <w:sz w:val="24"/>
                <w:szCs w:val="24"/>
              </w:rPr>
              <w:t>Reduces likelihood of labour and delivery complications and infant exposure to HIV during labour and delivery</w:t>
            </w:r>
          </w:p>
        </w:tc>
      </w:tr>
      <w:tr w:rsidR="0071027C" w:rsidRPr="0004102E" w:rsidTr="0071027C">
        <w:tc>
          <w:tcPr>
            <w:tcW w:w="3798" w:type="dxa"/>
            <w:tcBorders>
              <w:top w:val="single" w:sz="4" w:space="0" w:color="auto"/>
              <w:left w:val="single" w:sz="4" w:space="0" w:color="auto"/>
              <w:bottom w:val="single" w:sz="4" w:space="0" w:color="auto"/>
              <w:right w:val="single" w:sz="4" w:space="0" w:color="auto"/>
            </w:tcBorders>
            <w:hideMark/>
          </w:tcPr>
          <w:p w:rsidR="0071027C" w:rsidRPr="00C203F3" w:rsidRDefault="0071027C" w:rsidP="00AA771C">
            <w:pPr>
              <w:autoSpaceDE w:val="0"/>
              <w:autoSpaceDN w:val="0"/>
              <w:adjustRightInd w:val="0"/>
              <w:spacing w:beforeLines="120" w:before="288" w:afterLines="120" w:after="288"/>
              <w:jc w:val="both"/>
              <w:rPr>
                <w:rFonts w:ascii="Arial Narrow" w:eastAsia="Times New Roman" w:hAnsi="Arial Narrow" w:cs="Helvetica-Bold"/>
                <w:b/>
                <w:bCs/>
                <w:sz w:val="24"/>
                <w:szCs w:val="24"/>
              </w:rPr>
            </w:pPr>
            <w:r w:rsidRPr="00C203F3">
              <w:rPr>
                <w:rFonts w:ascii="Arial Narrow" w:eastAsia="Times New Roman" w:hAnsi="Arial Narrow" w:cs="Helvetica-Bold"/>
                <w:b/>
                <w:bCs/>
                <w:sz w:val="24"/>
                <w:szCs w:val="24"/>
              </w:rPr>
              <w:t>Counseling for safer infant</w:t>
            </w:r>
          </w:p>
          <w:p w:rsidR="0071027C" w:rsidRPr="0004102E" w:rsidRDefault="0071027C" w:rsidP="00AA771C">
            <w:pPr>
              <w:spacing w:beforeLines="120" w:before="288" w:afterLines="120" w:after="288"/>
              <w:jc w:val="both"/>
              <w:rPr>
                <w:rFonts w:ascii="Arial Narrow" w:eastAsia="Times New Roman" w:hAnsi="Arial Narrow"/>
                <w:b/>
                <w:bCs/>
                <w:sz w:val="24"/>
                <w:szCs w:val="24"/>
              </w:rPr>
            </w:pPr>
            <w:r w:rsidRPr="00C203F3">
              <w:rPr>
                <w:rFonts w:ascii="Arial Narrow" w:eastAsia="Times New Roman" w:hAnsi="Arial Narrow" w:cs="Helvetica-Bold"/>
                <w:b/>
                <w:bCs/>
                <w:sz w:val="24"/>
                <w:szCs w:val="24"/>
              </w:rPr>
              <w:t>feeding practices</w:t>
            </w:r>
          </w:p>
        </w:tc>
        <w:tc>
          <w:tcPr>
            <w:tcW w:w="5778" w:type="dxa"/>
            <w:tcBorders>
              <w:top w:val="single" w:sz="4" w:space="0" w:color="auto"/>
              <w:left w:val="single" w:sz="4" w:space="0" w:color="auto"/>
              <w:bottom w:val="single" w:sz="4" w:space="0" w:color="auto"/>
              <w:right w:val="single" w:sz="4" w:space="0" w:color="auto"/>
            </w:tcBorders>
            <w:hideMark/>
          </w:tcPr>
          <w:p w:rsidR="0071027C" w:rsidRPr="00C203F3" w:rsidRDefault="0071027C" w:rsidP="00AA771C">
            <w:pPr>
              <w:autoSpaceDE w:val="0"/>
              <w:autoSpaceDN w:val="0"/>
              <w:adjustRightInd w:val="0"/>
              <w:spacing w:beforeLines="120" w:before="288" w:afterLines="120" w:after="288"/>
              <w:jc w:val="both"/>
              <w:rPr>
                <w:rFonts w:ascii="Arial Narrow" w:eastAsia="Times New Roman" w:hAnsi="Arial Narrow" w:cs="Helvetica"/>
                <w:sz w:val="24"/>
                <w:szCs w:val="24"/>
              </w:rPr>
            </w:pPr>
            <w:r w:rsidRPr="00C203F3">
              <w:rPr>
                <w:rFonts w:ascii="Arial Narrow" w:eastAsia="Times New Roman" w:hAnsi="Arial Narrow" w:cs="Helvetica"/>
                <w:sz w:val="24"/>
                <w:szCs w:val="24"/>
              </w:rPr>
              <w:t>Promotes safer infant feeding options to improve child survival and reduces infant exposure to the virus hence reducing MTCT</w:t>
            </w:r>
          </w:p>
        </w:tc>
      </w:tr>
      <w:tr w:rsidR="0071027C" w:rsidRPr="0004102E" w:rsidTr="0071027C">
        <w:tc>
          <w:tcPr>
            <w:tcW w:w="379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04102E" w:rsidRDefault="0071027C" w:rsidP="00AA771C">
            <w:pPr>
              <w:spacing w:beforeLines="120" w:before="288" w:afterLines="120" w:after="288"/>
              <w:jc w:val="both"/>
              <w:rPr>
                <w:rFonts w:ascii="Arial Narrow" w:eastAsia="Times New Roman" w:hAnsi="Arial Narrow"/>
                <w:b/>
                <w:bCs/>
                <w:sz w:val="24"/>
                <w:szCs w:val="24"/>
              </w:rPr>
            </w:pPr>
            <w:r w:rsidRPr="00C203F3">
              <w:rPr>
                <w:rFonts w:ascii="Arial Narrow" w:eastAsia="Times New Roman" w:hAnsi="Arial Narrow" w:cs="Helvetica-Bold"/>
                <w:b/>
                <w:bCs/>
                <w:sz w:val="24"/>
                <w:szCs w:val="24"/>
              </w:rPr>
              <w:t>Postpartum care for mother</w:t>
            </w:r>
          </w:p>
        </w:tc>
        <w:tc>
          <w:tcPr>
            <w:tcW w:w="577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C203F3" w:rsidRDefault="0071027C" w:rsidP="00AA771C">
            <w:pPr>
              <w:autoSpaceDE w:val="0"/>
              <w:autoSpaceDN w:val="0"/>
              <w:adjustRightInd w:val="0"/>
              <w:spacing w:beforeLines="120" w:before="288" w:afterLines="120" w:after="288"/>
              <w:jc w:val="both"/>
              <w:rPr>
                <w:rFonts w:ascii="Arial Narrow" w:eastAsia="Times New Roman" w:hAnsi="Arial Narrow" w:cs="Arial"/>
                <w:sz w:val="24"/>
                <w:szCs w:val="24"/>
              </w:rPr>
            </w:pPr>
            <w:r w:rsidRPr="00C203F3">
              <w:rPr>
                <w:rFonts w:ascii="Arial Narrow" w:eastAsia="Times New Roman" w:hAnsi="Arial Narrow" w:cs="Arial"/>
                <w:sz w:val="24"/>
                <w:szCs w:val="24"/>
              </w:rPr>
              <w:t>Supports mother’s health and nutrition status and addresses a woman’s family planning needs.</w:t>
            </w:r>
          </w:p>
        </w:tc>
      </w:tr>
      <w:tr w:rsidR="0071027C" w:rsidRPr="0004102E" w:rsidTr="0071027C">
        <w:tc>
          <w:tcPr>
            <w:tcW w:w="3798" w:type="dxa"/>
            <w:tcBorders>
              <w:top w:val="single" w:sz="4" w:space="0" w:color="auto"/>
              <w:left w:val="single" w:sz="4" w:space="0" w:color="auto"/>
              <w:bottom w:val="single" w:sz="4" w:space="0" w:color="auto"/>
              <w:right w:val="single" w:sz="4" w:space="0" w:color="auto"/>
            </w:tcBorders>
            <w:hideMark/>
          </w:tcPr>
          <w:p w:rsidR="0071027C" w:rsidRPr="00C203F3" w:rsidRDefault="0071027C" w:rsidP="00AA771C">
            <w:pPr>
              <w:autoSpaceDE w:val="0"/>
              <w:autoSpaceDN w:val="0"/>
              <w:adjustRightInd w:val="0"/>
              <w:spacing w:beforeLines="120" w:before="288" w:afterLines="120" w:after="288"/>
              <w:jc w:val="both"/>
              <w:rPr>
                <w:rFonts w:ascii="Arial Narrow" w:eastAsia="Times New Roman" w:hAnsi="Arial Narrow" w:cs="Helvetica-Bold"/>
                <w:b/>
                <w:bCs/>
                <w:sz w:val="24"/>
                <w:szCs w:val="24"/>
              </w:rPr>
            </w:pPr>
            <w:r w:rsidRPr="00C203F3">
              <w:rPr>
                <w:rFonts w:ascii="Arial Narrow" w:eastAsia="Times New Roman" w:hAnsi="Arial Narrow" w:cs="Helvetica-Bold"/>
                <w:b/>
                <w:bCs/>
                <w:sz w:val="24"/>
                <w:szCs w:val="24"/>
              </w:rPr>
              <w:t>Early infant HIV diagnosis,  and treatment</w:t>
            </w:r>
          </w:p>
        </w:tc>
        <w:tc>
          <w:tcPr>
            <w:tcW w:w="5778" w:type="dxa"/>
            <w:tcBorders>
              <w:top w:val="single" w:sz="4" w:space="0" w:color="auto"/>
              <w:left w:val="single" w:sz="4" w:space="0" w:color="auto"/>
              <w:bottom w:val="single" w:sz="4" w:space="0" w:color="auto"/>
              <w:right w:val="single" w:sz="4" w:space="0" w:color="auto"/>
            </w:tcBorders>
            <w:hideMark/>
          </w:tcPr>
          <w:p w:rsidR="0071027C" w:rsidRPr="00C203F3" w:rsidRDefault="0071027C" w:rsidP="00AA771C">
            <w:pPr>
              <w:autoSpaceDE w:val="0"/>
              <w:autoSpaceDN w:val="0"/>
              <w:adjustRightInd w:val="0"/>
              <w:spacing w:beforeLines="120" w:before="288" w:afterLines="120" w:after="288"/>
              <w:jc w:val="both"/>
              <w:rPr>
                <w:rFonts w:ascii="Arial Narrow" w:eastAsia="Times New Roman" w:hAnsi="Arial Narrow" w:cs="Helvetica"/>
                <w:sz w:val="24"/>
                <w:szCs w:val="24"/>
              </w:rPr>
            </w:pPr>
            <w:r w:rsidRPr="00C203F3">
              <w:rPr>
                <w:rFonts w:ascii="Arial Narrow" w:eastAsia="Times New Roman" w:hAnsi="Arial Narrow" w:cs="Helvetica"/>
                <w:sz w:val="24"/>
                <w:szCs w:val="24"/>
              </w:rPr>
              <w:t>Identifies infants infected with HIV and starts them on ART to improve their survival</w:t>
            </w:r>
          </w:p>
          <w:p w:rsidR="0071027C" w:rsidRPr="00C203F3" w:rsidRDefault="0071027C" w:rsidP="00AA771C">
            <w:pPr>
              <w:autoSpaceDE w:val="0"/>
              <w:autoSpaceDN w:val="0"/>
              <w:adjustRightInd w:val="0"/>
              <w:spacing w:beforeLines="120" w:before="288" w:afterLines="120" w:after="288"/>
              <w:jc w:val="both"/>
              <w:rPr>
                <w:rFonts w:ascii="Arial Narrow" w:eastAsia="Times New Roman" w:hAnsi="Arial Narrow" w:cs="Helvetica"/>
                <w:sz w:val="24"/>
                <w:szCs w:val="24"/>
              </w:rPr>
            </w:pPr>
            <w:r w:rsidRPr="00C203F3">
              <w:rPr>
                <w:rFonts w:ascii="Arial Narrow" w:eastAsia="Times New Roman" w:hAnsi="Arial Narrow" w:cs="Helvetica"/>
                <w:sz w:val="24"/>
                <w:szCs w:val="24"/>
              </w:rPr>
              <w:t>Monitors and manages signs and symptoms of infection in children exposed to HIV; ensures HIV early infant diagnosis (HEID) and CPT for infants starting at 4</w:t>
            </w:r>
            <w:r>
              <w:rPr>
                <w:rFonts w:ascii="Arial Narrow" w:eastAsia="Times New Roman" w:hAnsi="Arial Narrow" w:cs="Helvetica"/>
                <w:sz w:val="24"/>
                <w:szCs w:val="24"/>
              </w:rPr>
              <w:t xml:space="preserve"> w</w:t>
            </w:r>
            <w:r w:rsidRPr="00C203F3">
              <w:rPr>
                <w:rFonts w:ascii="Arial Narrow" w:eastAsia="Times New Roman" w:hAnsi="Arial Narrow" w:cs="Helvetica"/>
                <w:sz w:val="24"/>
                <w:szCs w:val="24"/>
              </w:rPr>
              <w:t>eeks of age; ensures infant confirmatory testing after cessation of breastfeeding, facilitates early initiation of ART for HIV infected children</w:t>
            </w:r>
          </w:p>
        </w:tc>
      </w:tr>
      <w:tr w:rsidR="0071027C" w:rsidRPr="0004102E" w:rsidTr="0071027C">
        <w:tc>
          <w:tcPr>
            <w:tcW w:w="379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C203F3" w:rsidRDefault="0071027C" w:rsidP="00AA771C">
            <w:pPr>
              <w:autoSpaceDE w:val="0"/>
              <w:autoSpaceDN w:val="0"/>
              <w:adjustRightInd w:val="0"/>
              <w:spacing w:beforeLines="120" w:before="288" w:afterLines="120" w:after="288"/>
              <w:jc w:val="both"/>
              <w:rPr>
                <w:rFonts w:ascii="Arial Narrow" w:eastAsia="Times New Roman" w:hAnsi="Arial Narrow" w:cs="Helvetica-Bold"/>
                <w:b/>
                <w:bCs/>
                <w:sz w:val="24"/>
                <w:szCs w:val="24"/>
              </w:rPr>
            </w:pPr>
            <w:r w:rsidRPr="00C203F3">
              <w:rPr>
                <w:rFonts w:ascii="Arial Narrow" w:eastAsia="Times New Roman" w:hAnsi="Arial Narrow" w:cs="Helvetica-Bold"/>
                <w:b/>
                <w:bCs/>
                <w:sz w:val="24"/>
                <w:szCs w:val="24"/>
              </w:rPr>
              <w:t>Partner and family involvement</w:t>
            </w:r>
          </w:p>
        </w:tc>
        <w:tc>
          <w:tcPr>
            <w:tcW w:w="577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C203F3" w:rsidRDefault="0071027C" w:rsidP="00AA771C">
            <w:pPr>
              <w:autoSpaceDE w:val="0"/>
              <w:autoSpaceDN w:val="0"/>
              <w:adjustRightInd w:val="0"/>
              <w:spacing w:beforeLines="120" w:before="288" w:afterLines="120" w:after="288"/>
              <w:jc w:val="both"/>
              <w:rPr>
                <w:rFonts w:ascii="Arial Narrow" w:eastAsia="Times New Roman" w:hAnsi="Arial Narrow" w:cs="Helvetica"/>
                <w:sz w:val="24"/>
                <w:szCs w:val="24"/>
              </w:rPr>
            </w:pPr>
            <w:r w:rsidRPr="00C203F3">
              <w:rPr>
                <w:rFonts w:ascii="Arial Narrow" w:eastAsia="Times New Roman" w:hAnsi="Arial Narrow" w:cs="Helvetica"/>
                <w:sz w:val="24"/>
                <w:szCs w:val="24"/>
              </w:rPr>
              <w:t>Identifies the partner who is HIV infected or who is at risk of being infected (discordant), children and other family members to receive HIV care, treatment and support</w:t>
            </w:r>
          </w:p>
        </w:tc>
      </w:tr>
      <w:tr w:rsidR="0071027C" w:rsidRPr="0004102E" w:rsidTr="0071027C">
        <w:tc>
          <w:tcPr>
            <w:tcW w:w="3798" w:type="dxa"/>
            <w:tcBorders>
              <w:top w:val="single" w:sz="4" w:space="0" w:color="auto"/>
              <w:left w:val="single" w:sz="4" w:space="0" w:color="auto"/>
              <w:bottom w:val="single" w:sz="4" w:space="0" w:color="auto"/>
              <w:right w:val="single" w:sz="4" w:space="0" w:color="auto"/>
            </w:tcBorders>
            <w:hideMark/>
          </w:tcPr>
          <w:p w:rsidR="0071027C" w:rsidRPr="00C203F3" w:rsidRDefault="0071027C" w:rsidP="00AA771C">
            <w:pPr>
              <w:autoSpaceDE w:val="0"/>
              <w:autoSpaceDN w:val="0"/>
              <w:adjustRightInd w:val="0"/>
              <w:spacing w:beforeLines="120" w:before="288" w:afterLines="120" w:after="288"/>
              <w:jc w:val="both"/>
              <w:rPr>
                <w:rFonts w:ascii="Arial Narrow" w:eastAsia="Times New Roman" w:hAnsi="Arial Narrow" w:cs="Helvetica-Bold"/>
                <w:b/>
                <w:bCs/>
                <w:sz w:val="24"/>
                <w:szCs w:val="24"/>
              </w:rPr>
            </w:pPr>
            <w:r w:rsidRPr="00C203F3">
              <w:rPr>
                <w:rFonts w:ascii="Arial Narrow" w:eastAsia="Times New Roman" w:hAnsi="Arial Narrow" w:cs="Helvetica-Bold"/>
                <w:b/>
                <w:bCs/>
                <w:sz w:val="24"/>
                <w:szCs w:val="24"/>
              </w:rPr>
              <w:t>Family planning</w:t>
            </w:r>
          </w:p>
        </w:tc>
        <w:tc>
          <w:tcPr>
            <w:tcW w:w="5778" w:type="dxa"/>
            <w:tcBorders>
              <w:top w:val="single" w:sz="4" w:space="0" w:color="auto"/>
              <w:left w:val="single" w:sz="4" w:space="0" w:color="auto"/>
              <w:bottom w:val="single" w:sz="4" w:space="0" w:color="auto"/>
              <w:right w:val="single" w:sz="4" w:space="0" w:color="auto"/>
            </w:tcBorders>
            <w:hideMark/>
          </w:tcPr>
          <w:p w:rsidR="0071027C" w:rsidRPr="00C203F3" w:rsidRDefault="0071027C" w:rsidP="00AA771C">
            <w:pPr>
              <w:autoSpaceDE w:val="0"/>
              <w:autoSpaceDN w:val="0"/>
              <w:adjustRightInd w:val="0"/>
              <w:spacing w:beforeLines="120" w:before="288" w:afterLines="120" w:after="288"/>
              <w:jc w:val="both"/>
              <w:rPr>
                <w:rFonts w:ascii="Arial Narrow" w:eastAsia="Times New Roman" w:hAnsi="Arial Narrow" w:cs="Helvetica"/>
                <w:sz w:val="24"/>
                <w:szCs w:val="24"/>
              </w:rPr>
            </w:pPr>
            <w:r w:rsidRPr="00C203F3">
              <w:rPr>
                <w:rFonts w:ascii="Arial Narrow" w:eastAsia="Times New Roman" w:hAnsi="Arial Narrow" w:cs="Helvetica"/>
                <w:sz w:val="24"/>
                <w:szCs w:val="24"/>
              </w:rPr>
              <w:t>Reduces risk of unintended pregnancy by giving proper counseling to both partners on family planning and dual protection</w:t>
            </w:r>
          </w:p>
        </w:tc>
      </w:tr>
    </w:tbl>
    <w:p w:rsidR="0071027C" w:rsidRPr="00C203F3" w:rsidRDefault="0071027C" w:rsidP="00AA771C">
      <w:pPr>
        <w:spacing w:beforeLines="120" w:before="288" w:afterLines="120" w:after="288"/>
        <w:jc w:val="both"/>
        <w:rPr>
          <w:rFonts w:ascii="Arial Narrow" w:hAnsi="Arial Narrow"/>
          <w:b/>
          <w:bCs/>
          <w:sz w:val="24"/>
          <w:szCs w:val="24"/>
        </w:rPr>
      </w:pPr>
    </w:p>
    <w:p w:rsidR="0071027C" w:rsidRPr="00B179D4" w:rsidRDefault="0071027C" w:rsidP="0071027C">
      <w:pPr>
        <w:pStyle w:val="Heading2"/>
      </w:pPr>
      <w:bookmarkStart w:id="480" w:name="_Toc185736204"/>
      <w:bookmarkStart w:id="481" w:name="_Toc185678232"/>
      <w:bookmarkStart w:id="482" w:name="_Toc185677846"/>
      <w:bookmarkStart w:id="483" w:name="_Toc185673507"/>
      <w:bookmarkStart w:id="484" w:name="_Toc185673329"/>
      <w:bookmarkStart w:id="485" w:name="_Toc185658493"/>
      <w:bookmarkStart w:id="486" w:name="_Toc374979684"/>
      <w:bookmarkStart w:id="487" w:name="_Toc378258196"/>
      <w:bookmarkStart w:id="488" w:name="_Toc382214055"/>
      <w:bookmarkStart w:id="489" w:name="_Toc81332551"/>
      <w:bookmarkStart w:id="490" w:name="_Toc74551368"/>
      <w:r w:rsidRPr="00B179D4">
        <w:t>8.5 Integrating PMTCT into routine Reproductive and</w:t>
      </w:r>
      <w:bookmarkStart w:id="491" w:name="_Toc185736205"/>
      <w:bookmarkStart w:id="492" w:name="_Toc185678233"/>
      <w:bookmarkStart w:id="493" w:name="_Toc185677847"/>
      <w:bookmarkStart w:id="494" w:name="_Toc185673508"/>
      <w:bookmarkStart w:id="495" w:name="_Toc185673330"/>
      <w:bookmarkStart w:id="496" w:name="_Toc185658494"/>
      <w:bookmarkEnd w:id="480"/>
      <w:bookmarkEnd w:id="481"/>
      <w:bookmarkEnd w:id="482"/>
      <w:bookmarkEnd w:id="483"/>
      <w:bookmarkEnd w:id="484"/>
      <w:bookmarkEnd w:id="485"/>
      <w:r w:rsidRPr="00B179D4">
        <w:t xml:space="preserve"> Child Health Services</w:t>
      </w:r>
      <w:bookmarkEnd w:id="486"/>
      <w:bookmarkEnd w:id="487"/>
      <w:bookmarkEnd w:id="488"/>
      <w:bookmarkEnd w:id="491"/>
      <w:bookmarkEnd w:id="492"/>
      <w:bookmarkEnd w:id="493"/>
      <w:bookmarkEnd w:id="494"/>
      <w:bookmarkEnd w:id="495"/>
      <w:bookmarkEnd w:id="496"/>
    </w:p>
    <w:p w:rsidR="0071027C" w:rsidRPr="00B179D4" w:rsidRDefault="0071027C" w:rsidP="00AA771C">
      <w:pPr>
        <w:autoSpaceDE w:val="0"/>
        <w:autoSpaceDN w:val="0"/>
        <w:adjustRightInd w:val="0"/>
        <w:spacing w:beforeLines="120" w:before="288" w:afterLines="120" w:after="288"/>
        <w:jc w:val="both"/>
        <w:rPr>
          <w:rFonts w:ascii="Arial" w:hAnsi="Arial" w:cs="Arial"/>
        </w:rPr>
      </w:pPr>
      <w:r w:rsidRPr="00B179D4">
        <w:rPr>
          <w:rFonts w:ascii="Arial" w:hAnsi="Arial" w:cs="Arial"/>
        </w:rPr>
        <w:t xml:space="preserve">Antenatal care (ANC) improves the general health and well-being of pregnant mothers and their unborn children. Determining a woman’s HIV status is the first step in providing appropriate ANC services. This should be provided on a routine basis with proper information to allow the mother to consent. Counselling about the test result is essential to improve maternal health and prevent MTCT of HIV.  Second is to provide ART to HIV+ pregnant and lactating Mothers for their own health and preventing MTCT. Adoption of safer ANC, delivery and breastfeeding practices will contribute greatly to the prevention MTCT. </w:t>
      </w:r>
    </w:p>
    <w:p w:rsidR="0071027C" w:rsidRPr="00B179D4" w:rsidRDefault="0071027C" w:rsidP="0071027C">
      <w:pPr>
        <w:pStyle w:val="Heading3"/>
      </w:pPr>
      <w:bookmarkStart w:id="497" w:name="_Toc374979685"/>
      <w:bookmarkStart w:id="498" w:name="_Toc378258197"/>
      <w:bookmarkStart w:id="499" w:name="_Toc382214056"/>
      <w:bookmarkEnd w:id="489"/>
      <w:bookmarkEnd w:id="490"/>
      <w:r w:rsidRPr="00B179D4">
        <w:t>8.5.1 Specific Interventions to Prevent MTCT services in the ANC setting</w:t>
      </w:r>
      <w:bookmarkEnd w:id="497"/>
      <w:bookmarkEnd w:id="498"/>
      <w:bookmarkEnd w:id="499"/>
    </w:p>
    <w:p w:rsidR="0071027C" w:rsidRPr="00B179D4" w:rsidRDefault="0071027C" w:rsidP="00AA771C">
      <w:pPr>
        <w:autoSpaceDE w:val="0"/>
        <w:autoSpaceDN w:val="0"/>
        <w:adjustRightInd w:val="0"/>
        <w:spacing w:beforeLines="120" w:before="288" w:afterLines="120" w:after="288"/>
        <w:jc w:val="both"/>
        <w:rPr>
          <w:rFonts w:ascii="Arial" w:hAnsi="Arial" w:cs="Arial"/>
        </w:rPr>
      </w:pPr>
      <w:r w:rsidRPr="00B179D4">
        <w:rPr>
          <w:rFonts w:ascii="Arial" w:hAnsi="Arial" w:cs="Arial"/>
        </w:rPr>
        <w:t xml:space="preserve">Antenatal care improves the general health and well-being of mothers and their children. The ANC setting is an important source of healthcare for women of childbearing age. Given the high prevalence of HIV infection in Tanzania, all pregnant women should be considered at risk of acquiring HIV infection. By integrating PMTCT services into essential ANC services, national healthcare programmes improve care and pregnancy outcomes for all clients. ANC for women living with HIV includes the same basic services provided for all pregnant women. However, obstetric and medical care should be expanded to address the specific needs of women living with HIV. The essential package of ANC services for women living with HIV infection is shown in </w:t>
      </w:r>
      <w:r w:rsidRPr="0051683D">
        <w:rPr>
          <w:rFonts w:ascii="Arial" w:hAnsi="Arial" w:cs="Arial"/>
        </w:rPr>
        <w:t xml:space="preserve">Table </w:t>
      </w:r>
      <w:r w:rsidR="0051683D" w:rsidRPr="0051683D">
        <w:rPr>
          <w:rFonts w:ascii="Arial" w:hAnsi="Arial" w:cs="Arial"/>
        </w:rPr>
        <w:t>8</w:t>
      </w:r>
      <w:r w:rsidRPr="0051683D">
        <w:rPr>
          <w:rFonts w:ascii="Arial" w:hAnsi="Arial" w:cs="Arial"/>
        </w:rPr>
        <w:t>.3. See Chapter 7 (PMTCT guid</w:t>
      </w:r>
      <w:r w:rsidR="0051683D" w:rsidRPr="0051683D">
        <w:rPr>
          <w:rFonts w:ascii="Arial" w:hAnsi="Arial" w:cs="Arial"/>
        </w:rPr>
        <w:t>e</w:t>
      </w:r>
      <w:r w:rsidRPr="0051683D">
        <w:rPr>
          <w:rFonts w:ascii="Arial" w:hAnsi="Arial" w:cs="Arial"/>
        </w:rPr>
        <w:t>line): Care and support of HIV-exposed and HIV infected infants and children for additional information about these specific services.</w:t>
      </w:r>
    </w:p>
    <w:p w:rsidR="0071027C" w:rsidRPr="00C203F3" w:rsidRDefault="00AA771C" w:rsidP="00AA771C">
      <w:pPr>
        <w:pStyle w:val="SMBodyIndent"/>
        <w:spacing w:beforeLines="120" w:before="288" w:afterLines="120" w:after="288" w:line="276" w:lineRule="auto"/>
        <w:jc w:val="both"/>
        <w:rPr>
          <w:rFonts w:ascii="Arial Narrow" w:hAnsi="Arial Narrow" w:cs="Helvetica"/>
          <w:sz w:val="24"/>
          <w:szCs w:val="24"/>
        </w:rPr>
      </w:pPr>
      <w:r>
        <w:rPr>
          <w:rFonts w:ascii="Arial Narrow" w:hAnsi="Arial Narrow"/>
          <w:noProof/>
          <w:sz w:val="24"/>
          <w:szCs w:val="24"/>
          <w:lang w:val="en-US"/>
        </w:rPr>
        <mc:AlternateContent>
          <mc:Choice Requires="wps">
            <w:drawing>
              <wp:anchor distT="0" distB="0" distL="114300" distR="114300" simplePos="0" relativeHeight="251694080" behindDoc="0" locked="0" layoutInCell="1" allowOverlap="1">
                <wp:simplePos x="0" y="0"/>
                <wp:positionH relativeFrom="column">
                  <wp:posOffset>263525</wp:posOffset>
                </wp:positionH>
                <wp:positionV relativeFrom="paragraph">
                  <wp:posOffset>91440</wp:posOffset>
                </wp:positionV>
                <wp:extent cx="5319395" cy="1426845"/>
                <wp:effectExtent l="15875" t="15240" r="8255" b="15240"/>
                <wp:wrapNone/>
                <wp:docPr id="953"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9395" cy="1426845"/>
                        </a:xfrm>
                        <a:prstGeom prst="rect">
                          <a:avLst/>
                        </a:prstGeom>
                        <a:solidFill>
                          <a:srgbClr val="FFFFFF"/>
                        </a:solidFill>
                        <a:ln w="15875">
                          <a:solidFill>
                            <a:srgbClr val="000000"/>
                          </a:solidFill>
                          <a:miter lim="800000"/>
                          <a:headEnd/>
                          <a:tailEnd/>
                        </a:ln>
                      </wps:spPr>
                      <wps:txbx>
                        <w:txbxContent>
                          <w:p w:rsidR="00B247C9" w:rsidRPr="00B179D4" w:rsidRDefault="00B247C9" w:rsidP="0071027C">
                            <w:pPr>
                              <w:autoSpaceDE w:val="0"/>
                              <w:autoSpaceDN w:val="0"/>
                              <w:adjustRightInd w:val="0"/>
                              <w:spacing w:after="0" w:line="240" w:lineRule="auto"/>
                              <w:rPr>
                                <w:rFonts w:ascii="Arial" w:hAnsi="Arial" w:cs="Arial"/>
                                <w:bCs/>
                              </w:rPr>
                            </w:pPr>
                            <w:r w:rsidRPr="00B179D4">
                              <w:rPr>
                                <w:rFonts w:ascii="Arial" w:hAnsi="Arial" w:cs="Arial"/>
                                <w:bCs/>
                              </w:rPr>
                              <w:t>Practice Point</w:t>
                            </w:r>
                          </w:p>
                          <w:p w:rsidR="00B247C9" w:rsidRPr="00B179D4" w:rsidRDefault="00B247C9" w:rsidP="00274941">
                            <w:pPr>
                              <w:pStyle w:val="ListParagraph"/>
                              <w:numPr>
                                <w:ilvl w:val="0"/>
                                <w:numId w:val="69"/>
                              </w:numPr>
                              <w:autoSpaceDE w:val="0"/>
                              <w:autoSpaceDN w:val="0"/>
                              <w:adjustRightInd w:val="0"/>
                              <w:rPr>
                                <w:rFonts w:ascii="Arial" w:hAnsi="Arial" w:cs="Arial"/>
                                <w:sz w:val="22"/>
                                <w:szCs w:val="22"/>
                              </w:rPr>
                            </w:pPr>
                            <w:r w:rsidRPr="00B179D4">
                              <w:rPr>
                                <w:rFonts w:ascii="Arial" w:hAnsi="Arial" w:cs="Arial"/>
                                <w:sz w:val="22"/>
                                <w:szCs w:val="22"/>
                              </w:rPr>
                              <w:t>Pregnant women living with HIV should attend ANC clinic every month to support adherence to medications and to ensure close follow-up and monitoring</w:t>
                            </w:r>
                          </w:p>
                          <w:p w:rsidR="00B247C9" w:rsidRPr="00B179D4" w:rsidRDefault="00B247C9">
                            <w:pPr>
                              <w:rPr>
                                <w:rFonts w:ascii="Arial" w:hAnsi="Arial" w:cs="Arial"/>
                              </w:rPr>
                            </w:pPr>
                          </w:p>
                          <w:p w:rsidR="00B247C9" w:rsidRPr="00B179D4" w:rsidRDefault="00B247C9" w:rsidP="00274941">
                            <w:pPr>
                              <w:pStyle w:val="ListParagraph"/>
                              <w:numPr>
                                <w:ilvl w:val="0"/>
                                <w:numId w:val="69"/>
                              </w:numPr>
                              <w:autoSpaceDE w:val="0"/>
                              <w:autoSpaceDN w:val="0"/>
                              <w:adjustRightInd w:val="0"/>
                              <w:rPr>
                                <w:rFonts w:ascii="Arial" w:hAnsi="Arial" w:cs="Arial"/>
                                <w:sz w:val="22"/>
                                <w:szCs w:val="22"/>
                              </w:rPr>
                            </w:pPr>
                            <w:r w:rsidRPr="00B179D4">
                              <w:rPr>
                                <w:rFonts w:ascii="Arial" w:hAnsi="Arial" w:cs="Arial"/>
                                <w:sz w:val="22"/>
                                <w:szCs w:val="22"/>
                              </w:rPr>
                              <w:t>Practicce to medications and to ensure close follow-up and monitoring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402" type="#_x0000_t202" style="position:absolute;left:0;text-align:left;margin-left:20.75pt;margin-top:7.2pt;width:418.85pt;height:112.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" strokeweight="1.25pt">
                <v:textbox>
                  <w:txbxContent>
                    <w:p w:rsidR="00B247C9" w:rsidRPr="00B179D4" w:rsidRDefault="00B247C9" w:rsidP="0071027C">
                      <w:pPr>
                        <w:autoSpaceDE w:val="0"/>
                        <w:autoSpaceDN w:val="0"/>
                        <w:adjustRightInd w:val="0"/>
                        <w:spacing w:after="0" w:line="240" w:lineRule="auto"/>
                        <w:rPr>
                          <w:rFonts w:ascii="Arial" w:hAnsi="Arial" w:cs="Arial"/>
                          <w:bCs/>
                        </w:rPr>
                      </w:pPr>
                      <w:r w:rsidRPr="00B179D4">
                        <w:rPr>
                          <w:rFonts w:ascii="Arial" w:hAnsi="Arial" w:cs="Arial"/>
                          <w:bCs/>
                        </w:rPr>
                        <w:t>Practice Point</w:t>
                      </w:r>
                    </w:p>
                    <w:p w:rsidR="00B247C9" w:rsidRPr="00B179D4" w:rsidRDefault="00B247C9" w:rsidP="00274941">
                      <w:pPr>
                        <w:pStyle w:val="ListParagraph"/>
                        <w:numPr>
                          <w:ilvl w:val="0"/>
                          <w:numId w:val="69"/>
                        </w:numPr>
                        <w:autoSpaceDE w:val="0"/>
                        <w:autoSpaceDN w:val="0"/>
                        <w:adjustRightInd w:val="0"/>
                        <w:rPr>
                          <w:rFonts w:ascii="Arial" w:hAnsi="Arial" w:cs="Arial"/>
                          <w:sz w:val="22"/>
                          <w:szCs w:val="22"/>
                        </w:rPr>
                      </w:pPr>
                      <w:r w:rsidRPr="00B179D4">
                        <w:rPr>
                          <w:rFonts w:ascii="Arial" w:hAnsi="Arial" w:cs="Arial"/>
                          <w:sz w:val="22"/>
                          <w:szCs w:val="22"/>
                        </w:rPr>
                        <w:t>Pregnant women living with HIV should attend ANC clinic every month to support adherence to medications and to ensure close follow-up and monitoring</w:t>
                      </w:r>
                    </w:p>
                    <w:p w:rsidR="00B247C9" w:rsidRPr="00B179D4" w:rsidRDefault="00B247C9">
                      <w:pPr>
                        <w:rPr>
                          <w:rFonts w:ascii="Arial" w:hAnsi="Arial" w:cs="Arial"/>
                        </w:rPr>
                      </w:pPr>
                    </w:p>
                    <w:p w:rsidR="00B247C9" w:rsidRPr="00B179D4" w:rsidRDefault="00B247C9" w:rsidP="00274941">
                      <w:pPr>
                        <w:pStyle w:val="ListParagraph"/>
                        <w:numPr>
                          <w:ilvl w:val="0"/>
                          <w:numId w:val="69"/>
                        </w:numPr>
                        <w:autoSpaceDE w:val="0"/>
                        <w:autoSpaceDN w:val="0"/>
                        <w:adjustRightInd w:val="0"/>
                        <w:rPr>
                          <w:rFonts w:ascii="Arial" w:hAnsi="Arial" w:cs="Arial"/>
                          <w:sz w:val="22"/>
                          <w:szCs w:val="22"/>
                        </w:rPr>
                      </w:pPr>
                      <w:r w:rsidRPr="00B179D4">
                        <w:rPr>
                          <w:rFonts w:ascii="Arial" w:hAnsi="Arial" w:cs="Arial"/>
                          <w:sz w:val="22"/>
                          <w:szCs w:val="22"/>
                        </w:rPr>
                        <w:t>Practicce to medications and to ensure close follow-up and monitoring</w:t>
                      </w:r>
                    </w:p>
                  </w:txbxContent>
                </v:textbox>
              </v:shape>
            </w:pict>
          </mc:Fallback>
        </mc:AlternateContent>
      </w:r>
    </w:p>
    <w:p w:rsidR="0071027C" w:rsidRPr="00C203F3" w:rsidRDefault="0071027C" w:rsidP="00AA771C">
      <w:pPr>
        <w:pStyle w:val="SMBodyIndent"/>
        <w:spacing w:beforeLines="120" w:before="288" w:afterLines="120" w:after="288" w:line="276" w:lineRule="auto"/>
        <w:jc w:val="both"/>
        <w:rPr>
          <w:rFonts w:ascii="Arial Narrow" w:hAnsi="Arial Narrow" w:cs="Helvetica"/>
          <w:sz w:val="24"/>
          <w:szCs w:val="24"/>
        </w:rPr>
      </w:pPr>
    </w:p>
    <w:p w:rsidR="0071027C" w:rsidRDefault="0071027C" w:rsidP="00AA771C">
      <w:pPr>
        <w:pStyle w:val="SMBodyIndent"/>
        <w:spacing w:beforeLines="120" w:before="288" w:afterLines="120" w:after="288" w:line="276" w:lineRule="auto"/>
        <w:jc w:val="both"/>
        <w:rPr>
          <w:rFonts w:ascii="Arial Narrow" w:hAnsi="Arial Narrow"/>
          <w:b/>
          <w:sz w:val="24"/>
          <w:szCs w:val="24"/>
        </w:rPr>
      </w:pPr>
    </w:p>
    <w:p w:rsidR="0071027C" w:rsidRDefault="0071027C" w:rsidP="00AA771C">
      <w:pPr>
        <w:pStyle w:val="SMBodyIndent"/>
        <w:spacing w:beforeLines="120" w:before="288" w:afterLines="120" w:after="288" w:line="276" w:lineRule="auto"/>
        <w:jc w:val="both"/>
        <w:rPr>
          <w:rFonts w:ascii="Arial Narrow" w:hAnsi="Arial Narrow"/>
          <w:b/>
          <w:sz w:val="24"/>
          <w:szCs w:val="24"/>
        </w:rPr>
      </w:pPr>
    </w:p>
    <w:p w:rsidR="0071027C" w:rsidRDefault="0071027C" w:rsidP="00AA771C">
      <w:pPr>
        <w:pStyle w:val="SMBodyIndent"/>
        <w:spacing w:beforeLines="120" w:before="288" w:afterLines="120" w:after="288" w:line="276" w:lineRule="auto"/>
        <w:jc w:val="both"/>
        <w:rPr>
          <w:rFonts w:ascii="Arial Narrow" w:hAnsi="Arial Narrow"/>
          <w:b/>
          <w:sz w:val="24"/>
          <w:szCs w:val="24"/>
        </w:rPr>
      </w:pPr>
    </w:p>
    <w:p w:rsidR="0071027C" w:rsidRDefault="0071027C" w:rsidP="00AA771C">
      <w:pPr>
        <w:pStyle w:val="SMBodyIndent"/>
        <w:spacing w:beforeLines="120" w:before="288" w:afterLines="120" w:after="288" w:line="276" w:lineRule="auto"/>
        <w:jc w:val="both"/>
        <w:rPr>
          <w:rFonts w:ascii="Arial Narrow" w:hAnsi="Arial Narrow"/>
          <w:b/>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6768"/>
      </w:tblGrid>
      <w:tr w:rsidR="0071027C" w:rsidRPr="00B179D4" w:rsidTr="0071027C">
        <w:trPr>
          <w:trHeight w:val="890"/>
        </w:trPr>
        <w:tc>
          <w:tcPr>
            <w:tcW w:w="9216" w:type="dxa"/>
            <w:gridSpan w:val="2"/>
            <w:tcBorders>
              <w:top w:val="nil"/>
              <w:left w:val="nil"/>
              <w:bottom w:val="nil"/>
              <w:right w:val="nil"/>
            </w:tcBorders>
            <w:hideMark/>
          </w:tcPr>
          <w:p w:rsidR="0071027C" w:rsidRPr="00B179D4" w:rsidRDefault="0071027C" w:rsidP="00AA771C">
            <w:pPr>
              <w:pStyle w:val="SMBodyIndent"/>
              <w:spacing w:beforeLines="120" w:before="288" w:afterLines="120" w:after="288" w:line="276" w:lineRule="auto"/>
              <w:ind w:left="0"/>
              <w:jc w:val="both"/>
              <w:rPr>
                <w:rFonts w:eastAsia="Times New Roman" w:cs="Arial"/>
                <w:szCs w:val="22"/>
              </w:rPr>
            </w:pPr>
            <w:r w:rsidRPr="00B179D4">
              <w:rPr>
                <w:rFonts w:cs="Arial"/>
                <w:b/>
                <w:szCs w:val="22"/>
              </w:rPr>
              <w:t>Table 8.3 Essential package of Integrated ANC services for pregnant women living with HIV infection</w:t>
            </w:r>
          </w:p>
        </w:tc>
      </w:tr>
      <w:tr w:rsidR="0071027C" w:rsidRPr="00B179D4" w:rsidTr="0071027C">
        <w:trPr>
          <w:trHeight w:val="431"/>
        </w:trPr>
        <w:tc>
          <w:tcPr>
            <w:tcW w:w="244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B179D4" w:rsidRDefault="0071027C" w:rsidP="00AA771C">
            <w:pPr>
              <w:autoSpaceDE w:val="0"/>
              <w:autoSpaceDN w:val="0"/>
              <w:adjustRightInd w:val="0"/>
              <w:spacing w:beforeLines="120" w:before="288" w:afterLines="120" w:after="288"/>
              <w:rPr>
                <w:rFonts w:ascii="Arial" w:eastAsia="Times New Roman" w:hAnsi="Arial" w:cs="Arial"/>
                <w:b/>
                <w:bCs/>
              </w:rPr>
            </w:pPr>
            <w:r w:rsidRPr="00B179D4">
              <w:rPr>
                <w:rFonts w:ascii="Arial" w:eastAsia="Times New Roman" w:hAnsi="Arial" w:cs="Arial"/>
                <w:b/>
                <w:bCs/>
              </w:rPr>
              <w:t xml:space="preserve">Client and </w:t>
            </w:r>
            <w:r w:rsidRPr="00B179D4">
              <w:rPr>
                <w:rFonts w:ascii="Arial" w:hAnsi="Arial" w:cs="Arial"/>
                <w:b/>
                <w:bCs/>
              </w:rPr>
              <w:t>family history</w:t>
            </w:r>
          </w:p>
        </w:tc>
        <w:tc>
          <w:tcPr>
            <w:tcW w:w="676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 xml:space="preserve">Collect routine information as guided by the Tanzania obstetric record, </w:t>
            </w:r>
            <w:r w:rsidRPr="00B179D4">
              <w:rPr>
                <w:rFonts w:ascii="Arial" w:hAnsi="Arial" w:cs="Arial"/>
              </w:rPr>
              <w:t>including medical, surgical, obstetric, and family planning</w:t>
            </w:r>
          </w:p>
        </w:tc>
      </w:tr>
      <w:tr w:rsidR="0071027C" w:rsidRPr="00B179D4" w:rsidTr="0071027C">
        <w:tc>
          <w:tcPr>
            <w:tcW w:w="2448" w:type="dxa"/>
            <w:tcBorders>
              <w:top w:val="single" w:sz="4" w:space="0" w:color="auto"/>
              <w:left w:val="single" w:sz="4" w:space="0" w:color="auto"/>
              <w:bottom w:val="single" w:sz="4" w:space="0" w:color="auto"/>
              <w:right w:val="single" w:sz="4" w:space="0" w:color="auto"/>
            </w:tcBorders>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b/>
                <w:bCs/>
              </w:rPr>
            </w:pPr>
            <w:r w:rsidRPr="00B179D4">
              <w:rPr>
                <w:rFonts w:ascii="Arial" w:eastAsia="Times New Roman" w:hAnsi="Arial" w:cs="Arial"/>
                <w:b/>
                <w:bCs/>
              </w:rPr>
              <w:t xml:space="preserve">Physical </w:t>
            </w:r>
            <w:r w:rsidRPr="00B179D4">
              <w:rPr>
                <w:rFonts w:ascii="Arial" w:hAnsi="Arial" w:cs="Arial"/>
                <w:b/>
                <w:bCs/>
              </w:rPr>
              <w:t>examination</w:t>
            </w:r>
          </w:p>
        </w:tc>
        <w:tc>
          <w:tcPr>
            <w:tcW w:w="6768" w:type="dxa"/>
            <w:tcBorders>
              <w:top w:val="single" w:sz="4" w:space="0" w:color="auto"/>
              <w:left w:val="single" w:sz="4" w:space="0" w:color="auto"/>
              <w:bottom w:val="single" w:sz="4" w:space="0" w:color="auto"/>
              <w:right w:val="single" w:sz="4" w:space="0" w:color="auto"/>
            </w:tcBorders>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 xml:space="preserve">Include visual and hands-on examination to assess for current signs or symptoms of illness including HIV, TB, malaria, cancer of the cervix and </w:t>
            </w:r>
            <w:r w:rsidRPr="00B179D4">
              <w:rPr>
                <w:rFonts w:ascii="Arial" w:hAnsi="Arial" w:cs="Arial"/>
              </w:rPr>
              <w:t>STIs.</w:t>
            </w:r>
          </w:p>
        </w:tc>
      </w:tr>
      <w:tr w:rsidR="0071027C" w:rsidRPr="00B179D4" w:rsidTr="0071027C">
        <w:tc>
          <w:tcPr>
            <w:tcW w:w="244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b/>
                <w:bCs/>
              </w:rPr>
            </w:pPr>
            <w:r w:rsidRPr="00B179D4">
              <w:rPr>
                <w:rFonts w:ascii="Arial" w:eastAsia="Times New Roman" w:hAnsi="Arial" w:cs="Arial"/>
                <w:b/>
                <w:bCs/>
              </w:rPr>
              <w:t xml:space="preserve">Laboratory </w:t>
            </w:r>
            <w:r w:rsidRPr="00B179D4">
              <w:rPr>
                <w:rFonts w:ascii="Arial" w:hAnsi="Arial" w:cs="Arial"/>
                <w:b/>
                <w:bCs/>
              </w:rPr>
              <w:t>testing</w:t>
            </w:r>
          </w:p>
        </w:tc>
        <w:tc>
          <w:tcPr>
            <w:tcW w:w="676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Conduct routine tests and HIV-specific laboratory tests:</w:t>
            </w:r>
          </w:p>
          <w:p w:rsidR="0071027C" w:rsidRPr="00B179D4" w:rsidRDefault="0071027C" w:rsidP="00AA771C">
            <w:pPr>
              <w:pStyle w:val="ListParagraph"/>
              <w:numPr>
                <w:ilvl w:val="0"/>
                <w:numId w:val="64"/>
              </w:numPr>
              <w:autoSpaceDE w:val="0"/>
              <w:autoSpaceDN w:val="0"/>
              <w:adjustRightInd w:val="0"/>
              <w:spacing w:beforeLines="120" w:before="288" w:afterLines="120" w:after="288" w:line="276" w:lineRule="auto"/>
              <w:jc w:val="both"/>
              <w:rPr>
                <w:rFonts w:ascii="Arial" w:hAnsi="Arial" w:cs="Arial"/>
                <w:sz w:val="22"/>
                <w:szCs w:val="22"/>
              </w:rPr>
            </w:pPr>
            <w:r w:rsidRPr="00B179D4">
              <w:rPr>
                <w:rFonts w:ascii="Arial" w:hAnsi="Arial" w:cs="Arial"/>
                <w:sz w:val="22"/>
                <w:szCs w:val="22"/>
              </w:rPr>
              <w:t xml:space="preserve">Syphilis </w:t>
            </w:r>
          </w:p>
          <w:p w:rsidR="0071027C" w:rsidRPr="00B179D4" w:rsidRDefault="0071027C" w:rsidP="00AA771C">
            <w:pPr>
              <w:pStyle w:val="ListParagraph"/>
              <w:numPr>
                <w:ilvl w:val="0"/>
                <w:numId w:val="63"/>
              </w:numPr>
              <w:autoSpaceDE w:val="0"/>
              <w:autoSpaceDN w:val="0"/>
              <w:adjustRightInd w:val="0"/>
              <w:spacing w:beforeLines="120" w:before="288" w:afterLines="120" w:after="288" w:line="276" w:lineRule="auto"/>
              <w:jc w:val="both"/>
              <w:rPr>
                <w:rFonts w:ascii="Arial" w:hAnsi="Arial" w:cs="Arial"/>
                <w:sz w:val="22"/>
                <w:szCs w:val="22"/>
              </w:rPr>
            </w:pPr>
            <w:r w:rsidRPr="00B179D4">
              <w:rPr>
                <w:rFonts w:ascii="Arial" w:hAnsi="Arial" w:cs="Arial"/>
                <w:sz w:val="22"/>
                <w:szCs w:val="22"/>
              </w:rPr>
              <w:t>Confirmatory HIV testing (if indicated)</w:t>
            </w:r>
          </w:p>
          <w:p w:rsidR="0071027C" w:rsidRPr="00B179D4" w:rsidRDefault="0071027C" w:rsidP="00AA771C">
            <w:pPr>
              <w:pStyle w:val="ListParagraph"/>
              <w:numPr>
                <w:ilvl w:val="0"/>
                <w:numId w:val="63"/>
              </w:numPr>
              <w:autoSpaceDE w:val="0"/>
              <w:autoSpaceDN w:val="0"/>
              <w:adjustRightInd w:val="0"/>
              <w:spacing w:beforeLines="120" w:before="288" w:afterLines="120" w:after="288" w:line="276" w:lineRule="auto"/>
              <w:jc w:val="both"/>
              <w:rPr>
                <w:rFonts w:ascii="Arial" w:hAnsi="Arial" w:cs="Arial"/>
                <w:sz w:val="22"/>
                <w:szCs w:val="22"/>
              </w:rPr>
            </w:pPr>
            <w:r w:rsidRPr="00B179D4">
              <w:rPr>
                <w:rFonts w:ascii="Arial" w:hAnsi="Arial" w:cs="Arial"/>
                <w:sz w:val="22"/>
                <w:szCs w:val="22"/>
              </w:rPr>
              <w:t>Urinalysis</w:t>
            </w:r>
          </w:p>
          <w:p w:rsidR="0071027C" w:rsidRPr="00B179D4" w:rsidRDefault="0071027C" w:rsidP="00AA771C">
            <w:pPr>
              <w:pStyle w:val="ListParagraph"/>
              <w:numPr>
                <w:ilvl w:val="0"/>
                <w:numId w:val="63"/>
              </w:numPr>
              <w:autoSpaceDE w:val="0"/>
              <w:autoSpaceDN w:val="0"/>
              <w:adjustRightInd w:val="0"/>
              <w:spacing w:beforeLines="120" w:before="288" w:afterLines="120" w:after="288" w:line="276" w:lineRule="auto"/>
              <w:jc w:val="both"/>
              <w:rPr>
                <w:rFonts w:ascii="Arial" w:hAnsi="Arial" w:cs="Arial"/>
                <w:sz w:val="22"/>
                <w:szCs w:val="22"/>
              </w:rPr>
            </w:pPr>
            <w:r w:rsidRPr="00B179D4">
              <w:rPr>
                <w:rFonts w:ascii="Arial" w:hAnsi="Arial" w:cs="Arial"/>
                <w:sz w:val="22"/>
                <w:szCs w:val="22"/>
              </w:rPr>
              <w:t>Full Blood Picture (FBP)</w:t>
            </w:r>
          </w:p>
          <w:p w:rsidR="0071027C" w:rsidRPr="00B179D4" w:rsidRDefault="0071027C" w:rsidP="00AA771C">
            <w:pPr>
              <w:pStyle w:val="ListParagraph"/>
              <w:numPr>
                <w:ilvl w:val="0"/>
                <w:numId w:val="63"/>
              </w:numPr>
              <w:autoSpaceDE w:val="0"/>
              <w:autoSpaceDN w:val="0"/>
              <w:adjustRightInd w:val="0"/>
              <w:spacing w:beforeLines="120" w:before="288" w:afterLines="120" w:after="288" w:line="276" w:lineRule="auto"/>
              <w:jc w:val="both"/>
              <w:rPr>
                <w:rFonts w:ascii="Arial" w:hAnsi="Arial" w:cs="Arial"/>
                <w:sz w:val="22"/>
                <w:szCs w:val="22"/>
              </w:rPr>
            </w:pPr>
            <w:r w:rsidRPr="00B179D4">
              <w:rPr>
                <w:rFonts w:ascii="Arial" w:hAnsi="Arial" w:cs="Arial"/>
                <w:sz w:val="22"/>
                <w:szCs w:val="22"/>
              </w:rPr>
              <w:t>CD4 cell count</w:t>
            </w:r>
          </w:p>
          <w:p w:rsidR="0071027C" w:rsidRPr="00B179D4" w:rsidRDefault="0071027C" w:rsidP="00AA771C">
            <w:pPr>
              <w:pStyle w:val="ListParagraph"/>
              <w:numPr>
                <w:ilvl w:val="0"/>
                <w:numId w:val="63"/>
              </w:numPr>
              <w:autoSpaceDE w:val="0"/>
              <w:autoSpaceDN w:val="0"/>
              <w:adjustRightInd w:val="0"/>
              <w:spacing w:beforeLines="120" w:before="288" w:afterLines="120" w:after="288" w:line="276" w:lineRule="auto"/>
              <w:jc w:val="both"/>
              <w:rPr>
                <w:rFonts w:ascii="Arial" w:hAnsi="Arial" w:cs="Arial"/>
                <w:sz w:val="22"/>
                <w:szCs w:val="22"/>
              </w:rPr>
            </w:pPr>
            <w:r w:rsidRPr="00B179D4">
              <w:rPr>
                <w:rFonts w:ascii="Arial" w:hAnsi="Arial" w:cs="Arial"/>
                <w:sz w:val="22"/>
                <w:szCs w:val="22"/>
              </w:rPr>
              <w:t>Liver and renal function tests</w:t>
            </w:r>
          </w:p>
        </w:tc>
      </w:tr>
      <w:tr w:rsidR="0071027C" w:rsidRPr="00B179D4" w:rsidTr="0071027C">
        <w:tc>
          <w:tcPr>
            <w:tcW w:w="2448" w:type="dxa"/>
            <w:tcBorders>
              <w:top w:val="single" w:sz="4" w:space="0" w:color="auto"/>
              <w:left w:val="single" w:sz="4" w:space="0" w:color="auto"/>
              <w:bottom w:val="single" w:sz="4" w:space="0" w:color="auto"/>
              <w:right w:val="single" w:sz="4" w:space="0" w:color="auto"/>
            </w:tcBorders>
            <w:hideMark/>
          </w:tcPr>
          <w:p w:rsidR="0071027C" w:rsidRPr="00B179D4" w:rsidRDefault="0071027C" w:rsidP="00AA771C">
            <w:pPr>
              <w:pStyle w:val="SMBodyIndent"/>
              <w:spacing w:beforeLines="120" w:before="288" w:afterLines="120" w:after="288" w:line="276" w:lineRule="auto"/>
              <w:ind w:left="0"/>
              <w:jc w:val="both"/>
              <w:rPr>
                <w:rFonts w:cs="Arial"/>
                <w:b/>
                <w:szCs w:val="22"/>
              </w:rPr>
            </w:pPr>
            <w:r w:rsidRPr="00B179D4">
              <w:rPr>
                <w:rFonts w:cs="Arial"/>
                <w:b/>
                <w:bCs/>
                <w:szCs w:val="22"/>
              </w:rPr>
              <w:t>HIV staging</w:t>
            </w:r>
          </w:p>
        </w:tc>
        <w:tc>
          <w:tcPr>
            <w:tcW w:w="6768" w:type="dxa"/>
            <w:tcBorders>
              <w:top w:val="single" w:sz="4" w:space="0" w:color="auto"/>
              <w:left w:val="single" w:sz="4" w:space="0" w:color="auto"/>
              <w:bottom w:val="single" w:sz="4" w:space="0" w:color="auto"/>
              <w:right w:val="single" w:sz="4" w:space="0" w:color="auto"/>
            </w:tcBorders>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 xml:space="preserve">Conduct clinical and immunological staging according to WHO clinical </w:t>
            </w:r>
            <w:r w:rsidRPr="00B179D4">
              <w:rPr>
                <w:rFonts w:ascii="Arial" w:hAnsi="Arial" w:cs="Arial"/>
              </w:rPr>
              <w:t>staging system.</w:t>
            </w:r>
          </w:p>
        </w:tc>
      </w:tr>
      <w:tr w:rsidR="0071027C" w:rsidRPr="00B179D4" w:rsidTr="0071027C">
        <w:tc>
          <w:tcPr>
            <w:tcW w:w="244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b/>
                <w:bCs/>
              </w:rPr>
            </w:pPr>
            <w:r w:rsidRPr="00B179D4">
              <w:rPr>
                <w:rFonts w:ascii="Arial" w:eastAsia="Times New Roman" w:hAnsi="Arial" w:cs="Arial"/>
                <w:b/>
                <w:bCs/>
              </w:rPr>
              <w:t>Antiretroviral</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b/>
                <w:bCs/>
              </w:rPr>
            </w:pPr>
            <w:r w:rsidRPr="00B179D4">
              <w:rPr>
                <w:rFonts w:ascii="Arial" w:eastAsia="Times New Roman" w:hAnsi="Arial" w:cs="Arial"/>
                <w:b/>
                <w:bCs/>
              </w:rPr>
              <w:t>treatment</w:t>
            </w:r>
          </w:p>
          <w:p w:rsidR="0071027C" w:rsidRPr="00B179D4" w:rsidRDefault="0071027C" w:rsidP="00AA771C">
            <w:pPr>
              <w:pStyle w:val="SMBodyIndent"/>
              <w:spacing w:beforeLines="120" w:before="288" w:afterLines="120" w:after="288" w:line="276" w:lineRule="auto"/>
              <w:ind w:left="0"/>
              <w:jc w:val="both"/>
              <w:rPr>
                <w:rFonts w:cs="Arial"/>
                <w:b/>
                <w:szCs w:val="22"/>
              </w:rPr>
            </w:pPr>
            <w:r w:rsidRPr="00B179D4">
              <w:rPr>
                <w:rFonts w:cs="Arial"/>
                <w:b/>
                <w:bCs/>
                <w:szCs w:val="22"/>
              </w:rPr>
              <w:t>(ART)</w:t>
            </w:r>
          </w:p>
        </w:tc>
        <w:tc>
          <w:tcPr>
            <w:tcW w:w="676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 xml:space="preserve">Provide life-long ART to all HIV positive pregnant women regardless of CD4 count, WHO clinical stage or gestational age. If ART is not available at the facility, refer to CTC but continue to follow at ANC </w:t>
            </w:r>
            <w:r w:rsidRPr="00B179D4">
              <w:rPr>
                <w:rFonts w:ascii="Arial" w:hAnsi="Arial" w:cs="Arial"/>
              </w:rPr>
              <w:t>during pregnancy and the postpartum period.</w:t>
            </w:r>
          </w:p>
        </w:tc>
      </w:tr>
      <w:tr w:rsidR="0071027C" w:rsidRPr="00B179D4" w:rsidTr="0071027C">
        <w:tc>
          <w:tcPr>
            <w:tcW w:w="2448" w:type="dxa"/>
            <w:tcBorders>
              <w:top w:val="single" w:sz="4" w:space="0" w:color="auto"/>
              <w:left w:val="single" w:sz="4" w:space="0" w:color="auto"/>
              <w:bottom w:val="single" w:sz="4" w:space="0" w:color="auto"/>
              <w:right w:val="single" w:sz="4" w:space="0" w:color="auto"/>
            </w:tcBorders>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b/>
                <w:bCs/>
              </w:rPr>
            </w:pPr>
            <w:r w:rsidRPr="00B179D4">
              <w:rPr>
                <w:rFonts w:ascii="Arial" w:eastAsia="Times New Roman" w:hAnsi="Arial" w:cs="Arial"/>
                <w:b/>
                <w:bCs/>
              </w:rPr>
              <w:t>Tuberculosis</w:t>
            </w:r>
          </w:p>
          <w:p w:rsidR="0071027C" w:rsidRPr="00B179D4" w:rsidRDefault="0071027C" w:rsidP="00AA771C">
            <w:pPr>
              <w:pStyle w:val="SMBodyIndent"/>
              <w:spacing w:beforeLines="120" w:before="288" w:afterLines="120" w:after="288" w:line="276" w:lineRule="auto"/>
              <w:ind w:left="0"/>
              <w:jc w:val="both"/>
              <w:rPr>
                <w:rFonts w:cs="Arial"/>
                <w:b/>
                <w:szCs w:val="22"/>
              </w:rPr>
            </w:pPr>
            <w:r w:rsidRPr="00B179D4">
              <w:rPr>
                <w:rFonts w:cs="Arial"/>
                <w:b/>
                <w:bCs/>
                <w:szCs w:val="22"/>
              </w:rPr>
              <w:t>(TB)</w:t>
            </w:r>
          </w:p>
        </w:tc>
        <w:tc>
          <w:tcPr>
            <w:tcW w:w="6768" w:type="dxa"/>
            <w:tcBorders>
              <w:top w:val="single" w:sz="4" w:space="0" w:color="auto"/>
              <w:left w:val="single" w:sz="4" w:space="0" w:color="auto"/>
              <w:bottom w:val="single" w:sz="4" w:space="0" w:color="auto"/>
              <w:right w:val="single" w:sz="4" w:space="0" w:color="auto"/>
            </w:tcBorders>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 xml:space="preserve">Screen for signs and symptoms of TB disease at every visit. Evaluate </w:t>
            </w:r>
            <w:r w:rsidRPr="00B179D4">
              <w:rPr>
                <w:rFonts w:ascii="Arial" w:hAnsi="Arial" w:cs="Arial"/>
              </w:rPr>
              <w:t>for TB disease if symptomatic.</w:t>
            </w:r>
          </w:p>
        </w:tc>
      </w:tr>
      <w:tr w:rsidR="0071027C" w:rsidRPr="00B179D4" w:rsidTr="0071027C">
        <w:tc>
          <w:tcPr>
            <w:tcW w:w="244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b/>
                <w:bCs/>
              </w:rPr>
            </w:pPr>
            <w:r w:rsidRPr="00B179D4">
              <w:rPr>
                <w:rFonts w:ascii="Arial" w:eastAsia="Times New Roman" w:hAnsi="Arial" w:cs="Arial"/>
                <w:b/>
                <w:bCs/>
              </w:rPr>
              <w:t>Opportunistic</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b/>
                <w:bCs/>
              </w:rPr>
            </w:pPr>
            <w:r w:rsidRPr="00B179D4">
              <w:rPr>
                <w:rFonts w:ascii="Arial" w:eastAsia="Times New Roman" w:hAnsi="Arial" w:cs="Arial"/>
                <w:b/>
                <w:bCs/>
              </w:rPr>
              <w:t>infection (OI)</w:t>
            </w:r>
          </w:p>
          <w:p w:rsidR="0071027C" w:rsidRPr="00B179D4" w:rsidRDefault="0071027C" w:rsidP="00AA771C">
            <w:pPr>
              <w:pStyle w:val="SMBodyIndent"/>
              <w:spacing w:beforeLines="120" w:before="288" w:afterLines="120" w:after="288" w:line="276" w:lineRule="auto"/>
              <w:ind w:left="0"/>
              <w:jc w:val="both"/>
              <w:rPr>
                <w:rFonts w:cs="Arial"/>
                <w:b/>
                <w:szCs w:val="22"/>
              </w:rPr>
            </w:pPr>
            <w:r w:rsidRPr="00B179D4">
              <w:rPr>
                <w:rFonts w:cs="Arial"/>
                <w:b/>
                <w:bCs/>
                <w:szCs w:val="22"/>
              </w:rPr>
              <w:t>prophylaxis</w:t>
            </w:r>
          </w:p>
        </w:tc>
        <w:tc>
          <w:tcPr>
            <w:tcW w:w="676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 xml:space="preserve">Prescribe cotrimoxazole preventative therapy (CPT), regardless of WHO </w:t>
            </w:r>
            <w:r w:rsidRPr="00B179D4">
              <w:rPr>
                <w:rFonts w:ascii="Arial" w:hAnsi="Arial" w:cs="Arial"/>
              </w:rPr>
              <w:t>clinical stage or CD4 cell count.</w:t>
            </w:r>
          </w:p>
        </w:tc>
      </w:tr>
      <w:tr w:rsidR="0071027C" w:rsidRPr="00B179D4" w:rsidTr="0071027C">
        <w:tc>
          <w:tcPr>
            <w:tcW w:w="2448" w:type="dxa"/>
            <w:tcBorders>
              <w:top w:val="single" w:sz="4" w:space="0" w:color="auto"/>
              <w:left w:val="single" w:sz="4" w:space="0" w:color="auto"/>
              <w:bottom w:val="single" w:sz="4" w:space="0" w:color="auto"/>
              <w:right w:val="single" w:sz="4" w:space="0" w:color="auto"/>
            </w:tcBorders>
            <w:hideMark/>
          </w:tcPr>
          <w:p w:rsidR="0071027C" w:rsidRPr="00B179D4" w:rsidRDefault="0071027C" w:rsidP="00AA771C">
            <w:pPr>
              <w:pStyle w:val="SMBodyIndent"/>
              <w:spacing w:beforeLines="120" w:before="288" w:afterLines="120" w:after="288" w:line="276" w:lineRule="auto"/>
              <w:ind w:left="0"/>
              <w:jc w:val="both"/>
              <w:rPr>
                <w:rFonts w:cs="Arial"/>
                <w:b/>
                <w:szCs w:val="22"/>
              </w:rPr>
            </w:pPr>
            <w:r w:rsidRPr="00B179D4">
              <w:rPr>
                <w:rFonts w:cs="Arial"/>
                <w:b/>
                <w:bCs/>
                <w:szCs w:val="22"/>
              </w:rPr>
              <w:t>Malaria</w:t>
            </w:r>
          </w:p>
        </w:tc>
        <w:tc>
          <w:tcPr>
            <w:tcW w:w="6768" w:type="dxa"/>
            <w:tcBorders>
              <w:top w:val="single" w:sz="4" w:space="0" w:color="auto"/>
              <w:left w:val="single" w:sz="4" w:space="0" w:color="auto"/>
              <w:bottom w:val="single" w:sz="4" w:space="0" w:color="auto"/>
              <w:right w:val="single" w:sz="4" w:space="0" w:color="auto"/>
            </w:tcBorders>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 xml:space="preserve">Support and monitor adherence to CPT. Women on CPT do not need Sulfadoxine - pyrimethamine prophylaxis for malaria. Identify acute cases of malaria; treat promptly according to national </w:t>
            </w:r>
            <w:r w:rsidRPr="00B179D4">
              <w:rPr>
                <w:rFonts w:ascii="Arial" w:hAnsi="Arial" w:cs="Arial"/>
              </w:rPr>
              <w:t>guidelines.</w:t>
            </w:r>
          </w:p>
        </w:tc>
      </w:tr>
      <w:tr w:rsidR="0071027C" w:rsidRPr="00B179D4" w:rsidTr="0071027C">
        <w:tc>
          <w:tcPr>
            <w:tcW w:w="244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b/>
                <w:bCs/>
              </w:rPr>
            </w:pPr>
            <w:r w:rsidRPr="00B179D4">
              <w:rPr>
                <w:rFonts w:ascii="Arial" w:eastAsia="Times New Roman" w:hAnsi="Arial" w:cs="Arial"/>
                <w:b/>
                <w:bCs/>
              </w:rPr>
              <w:t>STI prevention</w:t>
            </w:r>
          </w:p>
          <w:p w:rsidR="0071027C" w:rsidRPr="00B179D4" w:rsidRDefault="0071027C" w:rsidP="00AA771C">
            <w:pPr>
              <w:pStyle w:val="SMBodyIndent"/>
              <w:spacing w:beforeLines="120" w:before="288" w:afterLines="120" w:after="288" w:line="276" w:lineRule="auto"/>
              <w:ind w:left="0"/>
              <w:jc w:val="both"/>
              <w:rPr>
                <w:rFonts w:cs="Arial"/>
                <w:b/>
                <w:bCs/>
                <w:szCs w:val="22"/>
              </w:rPr>
            </w:pPr>
            <w:r w:rsidRPr="00B179D4">
              <w:rPr>
                <w:rFonts w:cs="Arial"/>
                <w:b/>
                <w:bCs/>
                <w:szCs w:val="22"/>
              </w:rPr>
              <w:t>and treatment</w:t>
            </w:r>
          </w:p>
        </w:tc>
        <w:tc>
          <w:tcPr>
            <w:tcW w:w="676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Assess risk, diagnose and treat STIs according to national guidelines.</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Counsel on preventing STIs. Always recommend condom use during pregnancy and lactation.</w:t>
            </w:r>
          </w:p>
        </w:tc>
      </w:tr>
      <w:tr w:rsidR="0071027C" w:rsidRPr="00B179D4" w:rsidTr="0071027C">
        <w:tc>
          <w:tcPr>
            <w:tcW w:w="2448" w:type="dxa"/>
            <w:tcBorders>
              <w:top w:val="single" w:sz="4" w:space="0" w:color="auto"/>
              <w:left w:val="single" w:sz="4" w:space="0" w:color="auto"/>
              <w:bottom w:val="single" w:sz="4" w:space="0" w:color="auto"/>
              <w:right w:val="single" w:sz="4" w:space="0" w:color="auto"/>
            </w:tcBorders>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b/>
                <w:bCs/>
              </w:rPr>
            </w:pPr>
            <w:r w:rsidRPr="00B179D4">
              <w:rPr>
                <w:rFonts w:ascii="Arial" w:eastAsia="Times New Roman" w:hAnsi="Arial" w:cs="Arial"/>
                <w:b/>
                <w:bCs/>
              </w:rPr>
              <w:t>Adherence to</w:t>
            </w:r>
          </w:p>
          <w:p w:rsidR="0071027C" w:rsidRPr="00B179D4" w:rsidRDefault="0071027C" w:rsidP="00AA771C">
            <w:pPr>
              <w:pStyle w:val="SMBodyIndent"/>
              <w:spacing w:beforeLines="120" w:before="288" w:afterLines="120" w:after="288" w:line="276" w:lineRule="auto"/>
              <w:ind w:left="0"/>
              <w:jc w:val="both"/>
              <w:rPr>
                <w:rFonts w:cs="Arial"/>
                <w:b/>
                <w:bCs/>
                <w:szCs w:val="22"/>
              </w:rPr>
            </w:pPr>
            <w:r w:rsidRPr="00B179D4">
              <w:rPr>
                <w:rFonts w:cs="Arial"/>
                <w:b/>
                <w:bCs/>
                <w:szCs w:val="22"/>
              </w:rPr>
              <w:t>ART</w:t>
            </w:r>
          </w:p>
        </w:tc>
        <w:tc>
          <w:tcPr>
            <w:tcW w:w="6768" w:type="dxa"/>
            <w:tcBorders>
              <w:top w:val="single" w:sz="4" w:space="0" w:color="auto"/>
              <w:left w:val="single" w:sz="4" w:space="0" w:color="auto"/>
              <w:bottom w:val="single" w:sz="4" w:space="0" w:color="auto"/>
              <w:right w:val="single" w:sz="4" w:space="0" w:color="auto"/>
            </w:tcBorders>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Provide counseling and education on healthy pregnancy, HIV care and treatment and PMTCT.</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Ensure accurate knowledge of maternal ART and infant antiretroviral (ARV) prophylaxis (schedule, dosing etc.).</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Ensure knowledge and understanding of the rationale for ART and infant ARV prophylaxis and the risks of non-adherence.</w:t>
            </w:r>
          </w:p>
        </w:tc>
      </w:tr>
      <w:tr w:rsidR="0071027C" w:rsidRPr="00B179D4" w:rsidTr="0071027C">
        <w:tc>
          <w:tcPr>
            <w:tcW w:w="244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B179D4" w:rsidRDefault="0071027C" w:rsidP="00AA771C">
            <w:pPr>
              <w:pStyle w:val="SMBodyIndent"/>
              <w:spacing w:beforeLines="120" w:before="288" w:afterLines="120" w:after="288" w:line="276" w:lineRule="auto"/>
              <w:ind w:left="0"/>
              <w:jc w:val="both"/>
              <w:rPr>
                <w:rFonts w:cs="Arial"/>
                <w:b/>
                <w:bCs/>
                <w:szCs w:val="22"/>
              </w:rPr>
            </w:pPr>
            <w:r w:rsidRPr="00B179D4">
              <w:rPr>
                <w:rFonts w:cs="Arial"/>
                <w:b/>
                <w:bCs/>
                <w:szCs w:val="22"/>
              </w:rPr>
              <w:t>Nutrition</w:t>
            </w:r>
          </w:p>
        </w:tc>
        <w:tc>
          <w:tcPr>
            <w:tcW w:w="676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Conduct nutritional and dietary assessment and provide counseling.</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Give iron, foliate, and multivitamin supplements according to national guidelines.</w:t>
            </w:r>
          </w:p>
        </w:tc>
      </w:tr>
      <w:tr w:rsidR="0071027C" w:rsidRPr="00B179D4" w:rsidTr="0071027C">
        <w:tc>
          <w:tcPr>
            <w:tcW w:w="2448" w:type="dxa"/>
            <w:tcBorders>
              <w:top w:val="single" w:sz="4" w:space="0" w:color="auto"/>
              <w:left w:val="single" w:sz="4" w:space="0" w:color="auto"/>
              <w:bottom w:val="single" w:sz="4" w:space="0" w:color="auto"/>
              <w:right w:val="single" w:sz="4" w:space="0" w:color="auto"/>
            </w:tcBorders>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b/>
                <w:bCs/>
              </w:rPr>
            </w:pPr>
            <w:r w:rsidRPr="00B179D4">
              <w:rPr>
                <w:rFonts w:ascii="Arial" w:eastAsia="Times New Roman" w:hAnsi="Arial" w:cs="Arial"/>
                <w:b/>
                <w:bCs/>
              </w:rPr>
              <w:t>Delivery at a</w:t>
            </w:r>
          </w:p>
          <w:p w:rsidR="0071027C" w:rsidRPr="00B179D4" w:rsidRDefault="0071027C" w:rsidP="00AA771C">
            <w:pPr>
              <w:pStyle w:val="SMBodyIndent"/>
              <w:spacing w:beforeLines="120" w:before="288" w:afterLines="120" w:after="288" w:line="276" w:lineRule="auto"/>
              <w:ind w:left="0"/>
              <w:jc w:val="both"/>
              <w:rPr>
                <w:rFonts w:cs="Arial"/>
                <w:b/>
                <w:bCs/>
                <w:szCs w:val="22"/>
              </w:rPr>
            </w:pPr>
            <w:r w:rsidRPr="00B179D4">
              <w:rPr>
                <w:rFonts w:cs="Arial"/>
                <w:b/>
                <w:bCs/>
                <w:szCs w:val="22"/>
              </w:rPr>
              <w:t>health facility</w:t>
            </w:r>
          </w:p>
        </w:tc>
        <w:tc>
          <w:tcPr>
            <w:tcW w:w="6768" w:type="dxa"/>
            <w:tcBorders>
              <w:top w:val="single" w:sz="4" w:space="0" w:color="auto"/>
              <w:left w:val="single" w:sz="4" w:space="0" w:color="auto"/>
              <w:bottom w:val="single" w:sz="4" w:space="0" w:color="auto"/>
              <w:right w:val="single" w:sz="4" w:space="0" w:color="auto"/>
            </w:tcBorders>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Explain that interventions for PMTCT — including the provision of ARVs to the mother and infant — are critical during the labour and delivery period.</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Explain that infant prophylaxis is most effective when initiated as soon as possible (preferably within 6 – 12 hours) after delivery. Infants who have not received ARV prophylaxis soon after birth are at higher risk of HIV infection.</w:t>
            </w:r>
          </w:p>
        </w:tc>
      </w:tr>
      <w:tr w:rsidR="0071027C" w:rsidRPr="00B179D4" w:rsidTr="0071027C">
        <w:tc>
          <w:tcPr>
            <w:tcW w:w="244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B179D4" w:rsidRDefault="0071027C" w:rsidP="00AA771C">
            <w:pPr>
              <w:pStyle w:val="SMBodyIndent"/>
              <w:spacing w:beforeLines="120" w:before="288" w:afterLines="120" w:after="288" w:line="276" w:lineRule="auto"/>
              <w:ind w:left="0"/>
              <w:jc w:val="both"/>
              <w:rPr>
                <w:rFonts w:cs="Arial"/>
                <w:b/>
                <w:bCs/>
                <w:szCs w:val="22"/>
              </w:rPr>
            </w:pPr>
            <w:r w:rsidRPr="00B179D4">
              <w:rPr>
                <w:rFonts w:cs="Arial"/>
                <w:b/>
                <w:bCs/>
                <w:szCs w:val="22"/>
              </w:rPr>
              <w:t>Tetanus Toxoid</w:t>
            </w:r>
          </w:p>
        </w:tc>
        <w:tc>
          <w:tcPr>
            <w:tcW w:w="676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Administer immunization according to national guidelines.</w:t>
            </w:r>
          </w:p>
        </w:tc>
      </w:tr>
      <w:tr w:rsidR="0071027C" w:rsidRPr="00B179D4" w:rsidTr="0071027C">
        <w:tc>
          <w:tcPr>
            <w:tcW w:w="2448" w:type="dxa"/>
            <w:tcBorders>
              <w:top w:val="single" w:sz="4" w:space="0" w:color="auto"/>
              <w:left w:val="single" w:sz="4" w:space="0" w:color="auto"/>
              <w:bottom w:val="single" w:sz="4" w:space="0" w:color="auto"/>
              <w:right w:val="single" w:sz="4" w:space="0" w:color="auto"/>
            </w:tcBorders>
            <w:hideMark/>
          </w:tcPr>
          <w:p w:rsidR="0071027C" w:rsidRPr="00B179D4" w:rsidRDefault="0071027C" w:rsidP="00AA771C">
            <w:pPr>
              <w:pStyle w:val="SMBodyIndent"/>
              <w:spacing w:beforeLines="120" w:before="288" w:afterLines="120" w:after="288" w:line="276" w:lineRule="auto"/>
              <w:ind w:left="0"/>
              <w:jc w:val="both"/>
              <w:rPr>
                <w:rFonts w:cs="Arial"/>
                <w:b/>
                <w:bCs/>
                <w:szCs w:val="22"/>
              </w:rPr>
            </w:pPr>
            <w:r w:rsidRPr="00B179D4">
              <w:rPr>
                <w:rFonts w:cs="Arial"/>
                <w:b/>
                <w:bCs/>
                <w:szCs w:val="22"/>
              </w:rPr>
              <w:t>Infant feeding</w:t>
            </w:r>
          </w:p>
        </w:tc>
        <w:tc>
          <w:tcPr>
            <w:tcW w:w="6768" w:type="dxa"/>
            <w:tcBorders>
              <w:top w:val="single" w:sz="4" w:space="0" w:color="auto"/>
              <w:left w:val="single" w:sz="4" w:space="0" w:color="auto"/>
              <w:bottom w:val="single" w:sz="4" w:space="0" w:color="auto"/>
              <w:right w:val="single" w:sz="4" w:space="0" w:color="auto"/>
            </w:tcBorders>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Support the mother to breastfeed exclusively for the first 6 months, followed by the introduction of complementary feeding with continued breastfeeding until 12 months of age.</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At 12 months of age, encourage cessation of breast feeding over the course of about one month.</w:t>
            </w:r>
          </w:p>
        </w:tc>
      </w:tr>
      <w:tr w:rsidR="0071027C" w:rsidRPr="00B179D4" w:rsidTr="0071027C">
        <w:tc>
          <w:tcPr>
            <w:tcW w:w="244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b/>
                <w:bCs/>
              </w:rPr>
            </w:pPr>
            <w:r w:rsidRPr="00B179D4">
              <w:rPr>
                <w:rFonts w:ascii="Arial" w:eastAsia="Times New Roman" w:hAnsi="Arial" w:cs="Arial"/>
                <w:b/>
                <w:bCs/>
              </w:rPr>
              <w:t>HIV-exposed</w:t>
            </w:r>
          </w:p>
          <w:p w:rsidR="0071027C" w:rsidRPr="00B179D4" w:rsidRDefault="0071027C" w:rsidP="00AA771C">
            <w:pPr>
              <w:pStyle w:val="SMBodyIndent"/>
              <w:spacing w:beforeLines="120" w:before="288" w:afterLines="120" w:after="288" w:line="276" w:lineRule="auto"/>
              <w:ind w:left="0"/>
              <w:jc w:val="both"/>
              <w:rPr>
                <w:rFonts w:cs="Arial"/>
                <w:b/>
                <w:bCs/>
                <w:szCs w:val="22"/>
              </w:rPr>
            </w:pPr>
            <w:r w:rsidRPr="00B179D4">
              <w:rPr>
                <w:rFonts w:cs="Arial"/>
                <w:b/>
                <w:bCs/>
                <w:szCs w:val="22"/>
              </w:rPr>
              <w:t>infant</w:t>
            </w:r>
          </w:p>
        </w:tc>
        <w:tc>
          <w:tcPr>
            <w:tcW w:w="676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Educate about infant ARV prophylaxis. All HIV-exposed infants should receive ARV prophylaxis from birth or as soon as possible thereafter up to 6 weeks of age.</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Inform about infant HIV testing and emphasize the importance of early diagnostic testing.</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All HIV-exposed infants should be tested for HIV infection at 4 – 6 weeks of age and re-tested 6 weeks after complete cessation of breastfeeding.</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HIV testing should also be performed to exposed infants and children six weeks after complete cessation of breast feeding.</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Explain that all infants should initiate CPT at the age of 6 weeks. This should continue until HIV infection has been ruled out and the infant is no longer at risk (is no longer breastfeeding).</w:t>
            </w:r>
          </w:p>
        </w:tc>
      </w:tr>
      <w:tr w:rsidR="0071027C" w:rsidRPr="00B179D4" w:rsidTr="0071027C">
        <w:tc>
          <w:tcPr>
            <w:tcW w:w="2448" w:type="dxa"/>
            <w:tcBorders>
              <w:top w:val="single" w:sz="4" w:space="0" w:color="auto"/>
              <w:left w:val="single" w:sz="4" w:space="0" w:color="auto"/>
              <w:bottom w:val="single" w:sz="4" w:space="0" w:color="auto"/>
              <w:right w:val="single" w:sz="4" w:space="0" w:color="auto"/>
            </w:tcBorders>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b/>
                <w:bCs/>
              </w:rPr>
            </w:pPr>
            <w:r w:rsidRPr="00B179D4">
              <w:rPr>
                <w:rFonts w:ascii="Arial" w:eastAsia="Times New Roman" w:hAnsi="Arial" w:cs="Arial"/>
                <w:b/>
                <w:bCs/>
              </w:rPr>
              <w:t>Safe</w:t>
            </w:r>
          </w:p>
          <w:p w:rsidR="0071027C" w:rsidRPr="00B179D4" w:rsidRDefault="0071027C" w:rsidP="00AA771C">
            <w:pPr>
              <w:pStyle w:val="SMBodyIndent"/>
              <w:spacing w:beforeLines="120" w:before="288" w:afterLines="120" w:after="288" w:line="276" w:lineRule="auto"/>
              <w:ind w:left="0"/>
              <w:jc w:val="both"/>
              <w:rPr>
                <w:rFonts w:cs="Arial"/>
                <w:b/>
                <w:bCs/>
                <w:szCs w:val="22"/>
              </w:rPr>
            </w:pPr>
            <w:r w:rsidRPr="00B179D4">
              <w:rPr>
                <w:rFonts w:cs="Arial"/>
                <w:b/>
                <w:bCs/>
                <w:szCs w:val="22"/>
              </w:rPr>
              <w:t>Motherhood</w:t>
            </w:r>
          </w:p>
        </w:tc>
        <w:tc>
          <w:tcPr>
            <w:tcW w:w="6768" w:type="dxa"/>
            <w:tcBorders>
              <w:top w:val="single" w:sz="4" w:space="0" w:color="auto"/>
              <w:left w:val="single" w:sz="4" w:space="0" w:color="auto"/>
              <w:bottom w:val="single" w:sz="4" w:space="0" w:color="auto"/>
              <w:right w:val="single" w:sz="4" w:space="0" w:color="auto"/>
            </w:tcBorders>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Instruct her to return to the clinic/hospital immediately if she experiences symptoms of pregnancy complication such as bleeding, fever, signs and symptoms of pre-eclampsia, severe pallor or abdominal pain.</w:t>
            </w:r>
          </w:p>
        </w:tc>
      </w:tr>
      <w:tr w:rsidR="0071027C" w:rsidRPr="00B179D4" w:rsidTr="0071027C">
        <w:tc>
          <w:tcPr>
            <w:tcW w:w="244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b/>
                <w:bCs/>
              </w:rPr>
            </w:pPr>
            <w:r w:rsidRPr="00B179D4">
              <w:rPr>
                <w:rFonts w:ascii="Arial" w:eastAsia="Times New Roman" w:hAnsi="Arial" w:cs="Arial"/>
                <w:b/>
                <w:bCs/>
              </w:rPr>
              <w:t>Signs or</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b/>
                <w:bCs/>
              </w:rPr>
            </w:pPr>
            <w:r w:rsidRPr="00B179D4">
              <w:rPr>
                <w:rFonts w:ascii="Arial" w:eastAsia="Times New Roman" w:hAnsi="Arial" w:cs="Arial"/>
                <w:b/>
                <w:bCs/>
              </w:rPr>
              <w:t>symptoms</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b/>
                <w:bCs/>
              </w:rPr>
            </w:pPr>
            <w:r w:rsidRPr="00B179D4">
              <w:rPr>
                <w:rFonts w:ascii="Arial" w:eastAsia="Times New Roman" w:hAnsi="Arial" w:cs="Arial"/>
                <w:b/>
                <w:bCs/>
              </w:rPr>
              <w:t>related to HIV</w:t>
            </w:r>
          </w:p>
        </w:tc>
        <w:tc>
          <w:tcPr>
            <w:tcW w:w="676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Provide information and instructions on seeking health care for symptoms of HIV disease progression, such as frequent and recurrent illnesses, chronic persistent diarrhoea, oral and oesophageal candidiasis, fever, severe weight loss or signs of any opportunistic infection. Refer women to a CTC when appropriate.</w:t>
            </w:r>
          </w:p>
        </w:tc>
      </w:tr>
      <w:tr w:rsidR="0071027C" w:rsidRPr="00B179D4" w:rsidTr="0071027C">
        <w:tc>
          <w:tcPr>
            <w:tcW w:w="2448" w:type="dxa"/>
            <w:tcBorders>
              <w:top w:val="single" w:sz="4" w:space="0" w:color="auto"/>
              <w:left w:val="single" w:sz="4" w:space="0" w:color="auto"/>
              <w:bottom w:val="single" w:sz="4" w:space="0" w:color="auto"/>
              <w:right w:val="single" w:sz="4" w:space="0" w:color="auto"/>
            </w:tcBorders>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b/>
                <w:bCs/>
              </w:rPr>
            </w:pPr>
            <w:r w:rsidRPr="00B179D4">
              <w:rPr>
                <w:rFonts w:ascii="Arial" w:eastAsia="Times New Roman" w:hAnsi="Arial" w:cs="Arial"/>
                <w:b/>
                <w:bCs/>
              </w:rPr>
              <w:t>Psychological</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b/>
                <w:bCs/>
              </w:rPr>
            </w:pPr>
            <w:r w:rsidRPr="00B179D4">
              <w:rPr>
                <w:rFonts w:ascii="Arial" w:eastAsia="Times New Roman" w:hAnsi="Arial" w:cs="Arial"/>
                <w:b/>
                <w:bCs/>
              </w:rPr>
              <w:t>and social</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b/>
                <w:bCs/>
              </w:rPr>
            </w:pPr>
            <w:r w:rsidRPr="00B179D4">
              <w:rPr>
                <w:rFonts w:ascii="Arial" w:eastAsia="Times New Roman" w:hAnsi="Arial" w:cs="Arial"/>
                <w:b/>
                <w:bCs/>
              </w:rPr>
              <w:t>support</w:t>
            </w:r>
          </w:p>
        </w:tc>
        <w:tc>
          <w:tcPr>
            <w:tcW w:w="6768" w:type="dxa"/>
            <w:tcBorders>
              <w:top w:val="single" w:sz="4" w:space="0" w:color="auto"/>
              <w:left w:val="single" w:sz="4" w:space="0" w:color="auto"/>
              <w:bottom w:val="single" w:sz="4" w:space="0" w:color="auto"/>
              <w:right w:val="single" w:sz="4" w:space="0" w:color="auto"/>
            </w:tcBorders>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Assess and address needs for psychological and social support.</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Refer to community-based psychosocial support networks or organizations where available.</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Encourage partners to undergo testing and counsel them on disclosure.</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Assess need to test other children in the family, even if they are asymptomatic.</w:t>
            </w:r>
          </w:p>
        </w:tc>
      </w:tr>
      <w:tr w:rsidR="0071027C" w:rsidRPr="00B179D4" w:rsidTr="0071027C">
        <w:tc>
          <w:tcPr>
            <w:tcW w:w="2448" w:type="dxa"/>
            <w:tcBorders>
              <w:top w:val="single" w:sz="4" w:space="0" w:color="auto"/>
              <w:left w:val="single" w:sz="4" w:space="0" w:color="auto"/>
              <w:bottom w:val="single" w:sz="4" w:space="0" w:color="auto"/>
              <w:right w:val="single" w:sz="4" w:space="0" w:color="auto"/>
            </w:tcBorders>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b/>
                <w:bCs/>
              </w:rPr>
            </w:pPr>
            <w:r w:rsidRPr="00B179D4">
              <w:rPr>
                <w:rFonts w:ascii="Arial" w:eastAsia="Times New Roman" w:hAnsi="Arial" w:cs="Arial"/>
                <w:b/>
                <w:bCs/>
              </w:rPr>
              <w:t>Effective</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b/>
                <w:bCs/>
              </w:rPr>
            </w:pPr>
            <w:r w:rsidRPr="00B179D4">
              <w:rPr>
                <w:rFonts w:ascii="Arial" w:eastAsia="Times New Roman" w:hAnsi="Arial" w:cs="Arial"/>
                <w:b/>
                <w:bCs/>
              </w:rPr>
              <w:t>family</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b/>
                <w:bCs/>
              </w:rPr>
            </w:pPr>
            <w:r w:rsidRPr="00B179D4">
              <w:rPr>
                <w:rFonts w:ascii="Arial" w:eastAsia="Times New Roman" w:hAnsi="Arial" w:cs="Arial"/>
                <w:b/>
                <w:bCs/>
              </w:rPr>
              <w:t>planning and</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b/>
                <w:bCs/>
              </w:rPr>
            </w:pPr>
            <w:r w:rsidRPr="00B179D4">
              <w:rPr>
                <w:rFonts w:ascii="Arial" w:eastAsia="Times New Roman" w:hAnsi="Arial" w:cs="Arial"/>
                <w:b/>
                <w:bCs/>
              </w:rPr>
              <w:t>safer sex</w:t>
            </w:r>
          </w:p>
        </w:tc>
        <w:tc>
          <w:tcPr>
            <w:tcW w:w="6768" w:type="dxa"/>
            <w:tcBorders>
              <w:top w:val="single" w:sz="4" w:space="0" w:color="auto"/>
              <w:left w:val="single" w:sz="4" w:space="0" w:color="auto"/>
              <w:bottom w:val="single" w:sz="4" w:space="0" w:color="auto"/>
              <w:right w:val="single" w:sz="4" w:space="0" w:color="auto"/>
            </w:tcBorders>
            <w:hideMark/>
          </w:tcPr>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Counsel about consistent use of condoms during pregnancy, as well as throughout the breastfeeding period to avoid new HIV infection, re</w:t>
            </w:r>
            <w:r>
              <w:rPr>
                <w:rFonts w:ascii="Arial" w:eastAsia="Times New Roman" w:hAnsi="Arial" w:cs="Arial"/>
              </w:rPr>
              <w:t>-</w:t>
            </w:r>
            <w:r w:rsidRPr="00B179D4">
              <w:rPr>
                <w:rFonts w:ascii="Arial" w:eastAsia="Times New Roman" w:hAnsi="Arial" w:cs="Arial"/>
              </w:rPr>
              <w:t>infection and further transmission.</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Include long-term family planning with partner involvement when possible. Discuss dual protection (dual protection refers to the use of</w:t>
            </w:r>
          </w:p>
          <w:p w:rsidR="0071027C" w:rsidRPr="00B179D4" w:rsidRDefault="0071027C" w:rsidP="00AA771C">
            <w:pPr>
              <w:autoSpaceDE w:val="0"/>
              <w:autoSpaceDN w:val="0"/>
              <w:adjustRightInd w:val="0"/>
              <w:spacing w:beforeLines="120" w:before="288" w:afterLines="120" w:after="288"/>
              <w:jc w:val="both"/>
              <w:rPr>
                <w:rFonts w:ascii="Arial" w:eastAsia="Times New Roman" w:hAnsi="Arial" w:cs="Arial"/>
              </w:rPr>
            </w:pPr>
            <w:r w:rsidRPr="00B179D4">
              <w:rPr>
                <w:rFonts w:ascii="Arial" w:eastAsia="Times New Roman" w:hAnsi="Arial" w:cs="Arial"/>
              </w:rPr>
              <w:t>condoms in addition to the chosen method of contraception).</w:t>
            </w:r>
          </w:p>
        </w:tc>
      </w:tr>
    </w:tbl>
    <w:p w:rsidR="0071027C" w:rsidRPr="00B179D4" w:rsidRDefault="0071027C" w:rsidP="00AA771C">
      <w:pPr>
        <w:spacing w:beforeLines="120" w:before="288" w:afterLines="120" w:after="288"/>
        <w:ind w:firstLine="720"/>
        <w:jc w:val="both"/>
        <w:rPr>
          <w:rFonts w:ascii="Arial" w:eastAsia="Batang" w:hAnsi="Arial" w:cs="Arial"/>
          <w:snapToGrid w:val="0"/>
        </w:rPr>
      </w:pPr>
      <w:r w:rsidRPr="00B179D4">
        <w:rPr>
          <w:rFonts w:ascii="Arial" w:eastAsia="Batang" w:hAnsi="Arial" w:cs="Arial"/>
          <w:lang w:val="en-GB"/>
        </w:rPr>
        <w:t xml:space="preserve">NB: </w:t>
      </w:r>
      <w:r w:rsidRPr="00B179D4">
        <w:rPr>
          <w:rFonts w:ascii="Arial" w:eastAsia="Batang" w:hAnsi="Arial" w:cs="Arial"/>
          <w:snapToGrid w:val="0"/>
        </w:rPr>
        <w:t>Plan the mode of and place for delivery in good time.</w:t>
      </w:r>
    </w:p>
    <w:p w:rsidR="0071027C" w:rsidRPr="00264A8E" w:rsidRDefault="0071027C" w:rsidP="0071027C">
      <w:pPr>
        <w:pStyle w:val="Heading3"/>
      </w:pPr>
      <w:bookmarkStart w:id="500" w:name="_Toc374979686"/>
      <w:bookmarkStart w:id="501" w:name="_Toc378258198"/>
      <w:bookmarkStart w:id="502" w:name="_Toc382214057"/>
      <w:r w:rsidRPr="00264A8E">
        <w:t>8</w:t>
      </w:r>
      <w:r w:rsidRPr="00B179D4">
        <w:t>.5.2. Cervical Cancer Screening</w:t>
      </w:r>
      <w:bookmarkEnd w:id="500"/>
      <w:bookmarkEnd w:id="501"/>
      <w:bookmarkEnd w:id="502"/>
    </w:p>
    <w:p w:rsidR="0071027C" w:rsidRPr="00B179D4" w:rsidRDefault="0071027C" w:rsidP="0071027C">
      <w:pPr>
        <w:spacing w:before="120" w:after="120" w:line="240" w:lineRule="auto"/>
        <w:jc w:val="both"/>
        <w:rPr>
          <w:rFonts w:ascii="Arial" w:eastAsia="Batang" w:hAnsi="Arial" w:cs="Arial"/>
          <w:snapToGrid w:val="0"/>
        </w:rPr>
      </w:pPr>
      <w:r w:rsidRPr="00B179D4">
        <w:rPr>
          <w:rFonts w:ascii="Arial" w:eastAsia="Batang" w:hAnsi="Arial" w:cs="Arial"/>
          <w:bCs/>
          <w:snapToGrid w:val="0"/>
        </w:rPr>
        <w:t>Women living with HIV are</w:t>
      </w:r>
      <w:r w:rsidRPr="00B179D4">
        <w:rPr>
          <w:rFonts w:ascii="Arial" w:eastAsia="Batang" w:hAnsi="Arial" w:cs="Arial"/>
          <w:snapToGrid w:val="0"/>
        </w:rPr>
        <w:t xml:space="preserve"> at greater risk for developing cervical cancer. Women living with HIV have higher rates of:</w:t>
      </w:r>
    </w:p>
    <w:p w:rsidR="0071027C" w:rsidRPr="00B179D4" w:rsidRDefault="0071027C" w:rsidP="00274941">
      <w:pPr>
        <w:pStyle w:val="TZHeading3"/>
        <w:numPr>
          <w:ilvl w:val="0"/>
          <w:numId w:val="57"/>
        </w:numPr>
        <w:spacing w:line="240" w:lineRule="auto"/>
        <w:jc w:val="both"/>
        <w:rPr>
          <w:rFonts w:ascii="Arial" w:eastAsia="Times New Roman" w:hAnsi="Arial"/>
          <w:b w:val="0"/>
          <w:noProof w:val="0"/>
          <w:sz w:val="22"/>
        </w:rPr>
      </w:pPr>
      <w:r w:rsidRPr="00B179D4">
        <w:rPr>
          <w:rFonts w:ascii="Arial" w:eastAsia="Times New Roman" w:hAnsi="Arial"/>
          <w:b w:val="0"/>
          <w:noProof w:val="0"/>
          <w:sz w:val="22"/>
        </w:rPr>
        <w:t>Co-infection with human papillomavirus (HPV)</w:t>
      </w:r>
    </w:p>
    <w:p w:rsidR="0071027C" w:rsidRPr="00B179D4" w:rsidRDefault="0071027C" w:rsidP="00274941">
      <w:pPr>
        <w:pStyle w:val="TZHeading3"/>
        <w:numPr>
          <w:ilvl w:val="0"/>
          <w:numId w:val="57"/>
        </w:numPr>
        <w:spacing w:line="240" w:lineRule="auto"/>
        <w:jc w:val="both"/>
        <w:rPr>
          <w:rFonts w:ascii="Arial" w:eastAsia="Times New Roman" w:hAnsi="Arial"/>
          <w:b w:val="0"/>
          <w:noProof w:val="0"/>
          <w:sz w:val="22"/>
        </w:rPr>
      </w:pPr>
      <w:r w:rsidRPr="00B179D4">
        <w:rPr>
          <w:rFonts w:ascii="Arial" w:eastAsia="Times New Roman" w:hAnsi="Arial"/>
          <w:b w:val="0"/>
          <w:noProof w:val="0"/>
          <w:sz w:val="22"/>
        </w:rPr>
        <w:t xml:space="preserve">Persistent HPV infection </w:t>
      </w:r>
    </w:p>
    <w:p w:rsidR="0071027C" w:rsidRPr="00B179D4" w:rsidRDefault="0071027C" w:rsidP="00274941">
      <w:pPr>
        <w:pStyle w:val="TZHeading3"/>
        <w:numPr>
          <w:ilvl w:val="0"/>
          <w:numId w:val="57"/>
        </w:numPr>
        <w:spacing w:line="240" w:lineRule="auto"/>
        <w:jc w:val="both"/>
        <w:rPr>
          <w:rFonts w:ascii="Arial" w:eastAsia="Times New Roman" w:hAnsi="Arial"/>
          <w:b w:val="0"/>
          <w:noProof w:val="0"/>
          <w:sz w:val="22"/>
        </w:rPr>
      </w:pPr>
      <w:r w:rsidRPr="00B179D4">
        <w:rPr>
          <w:rFonts w:ascii="Arial" w:eastAsia="Times New Roman" w:hAnsi="Arial"/>
          <w:b w:val="0"/>
          <w:noProof w:val="0"/>
          <w:sz w:val="22"/>
        </w:rPr>
        <w:t xml:space="preserve">Larger precancerous lesions that are more difficult to treat </w:t>
      </w:r>
    </w:p>
    <w:p w:rsidR="0071027C" w:rsidRPr="00B179D4" w:rsidRDefault="0071027C" w:rsidP="00274941">
      <w:pPr>
        <w:pStyle w:val="TZHeading3"/>
        <w:numPr>
          <w:ilvl w:val="0"/>
          <w:numId w:val="57"/>
        </w:numPr>
        <w:spacing w:line="240" w:lineRule="auto"/>
        <w:jc w:val="both"/>
        <w:rPr>
          <w:rFonts w:ascii="Arial" w:eastAsia="Times New Roman" w:hAnsi="Arial"/>
          <w:b w:val="0"/>
          <w:noProof w:val="0"/>
          <w:sz w:val="22"/>
        </w:rPr>
      </w:pPr>
      <w:r w:rsidRPr="00B179D4">
        <w:rPr>
          <w:rFonts w:ascii="Arial" w:eastAsia="Times New Roman" w:hAnsi="Arial"/>
          <w:b w:val="0"/>
          <w:noProof w:val="0"/>
          <w:sz w:val="22"/>
        </w:rPr>
        <w:t>Recurrence of precancerous lesions following treatment</w:t>
      </w:r>
    </w:p>
    <w:p w:rsidR="0071027C" w:rsidRPr="00B179D4" w:rsidRDefault="0071027C" w:rsidP="00274941">
      <w:pPr>
        <w:pStyle w:val="TZHeading3"/>
        <w:numPr>
          <w:ilvl w:val="0"/>
          <w:numId w:val="57"/>
        </w:numPr>
        <w:spacing w:line="240" w:lineRule="auto"/>
        <w:jc w:val="both"/>
        <w:rPr>
          <w:rFonts w:ascii="Arial" w:eastAsia="Times New Roman" w:hAnsi="Arial"/>
          <w:b w:val="0"/>
          <w:noProof w:val="0"/>
          <w:sz w:val="22"/>
        </w:rPr>
      </w:pPr>
      <w:r w:rsidRPr="00B179D4">
        <w:rPr>
          <w:rFonts w:ascii="Arial" w:eastAsia="Times New Roman" w:hAnsi="Arial"/>
          <w:b w:val="0"/>
          <w:noProof w:val="0"/>
          <w:sz w:val="22"/>
        </w:rPr>
        <w:t xml:space="preserve">Rapidly progressive cervical cancer </w:t>
      </w:r>
    </w:p>
    <w:p w:rsidR="0071027C" w:rsidRPr="00B179D4" w:rsidRDefault="0071027C" w:rsidP="0071027C">
      <w:pPr>
        <w:pStyle w:val="TZHeading3"/>
        <w:spacing w:before="120" w:after="120" w:line="240" w:lineRule="auto"/>
        <w:jc w:val="both"/>
        <w:rPr>
          <w:rFonts w:ascii="Arial" w:eastAsia="Times New Roman" w:hAnsi="Arial"/>
          <w:b w:val="0"/>
          <w:noProof w:val="0"/>
          <w:sz w:val="22"/>
        </w:rPr>
      </w:pPr>
      <w:r w:rsidRPr="00B179D4">
        <w:rPr>
          <w:rFonts w:ascii="Arial" w:eastAsia="Times New Roman" w:hAnsi="Arial"/>
          <w:b w:val="0"/>
          <w:noProof w:val="0"/>
          <w:sz w:val="22"/>
        </w:rPr>
        <w:t>Cervical cancer screening should therefore be integrated as part of routine care for HIV-positive women.  Annual screening using visual inspection with acetic acid (VIA) or rapid HPV testing is recommended.  Screening should be initiated at HIV diagnosis, regardless of age, once sexually exposed. For women who have just delivered, screening can be initiated post puerperal.  Refer to the Tanzania Service Delivery Guidelines for Cervical Cancer Prevention and Control for detailed information and guidance.</w:t>
      </w:r>
      <w:bookmarkStart w:id="503" w:name="_Toc185736207"/>
      <w:bookmarkStart w:id="504" w:name="_Toc185678235"/>
      <w:bookmarkStart w:id="505" w:name="_Toc185677849"/>
      <w:bookmarkStart w:id="506" w:name="_Toc185673510"/>
      <w:bookmarkStart w:id="507" w:name="_Toc185673332"/>
      <w:bookmarkStart w:id="508" w:name="_Toc185658496"/>
    </w:p>
    <w:p w:rsidR="0071027C" w:rsidRPr="00B179D4" w:rsidRDefault="0071027C" w:rsidP="0071027C">
      <w:pPr>
        <w:pStyle w:val="Heading3"/>
      </w:pPr>
      <w:bookmarkStart w:id="509" w:name="_Toc374979687"/>
      <w:bookmarkStart w:id="510" w:name="_Toc378258199"/>
      <w:bookmarkStart w:id="511" w:name="_Toc382214058"/>
      <w:r w:rsidRPr="00B179D4">
        <w:t>8.5.3 Care of HIV-infected women during labour and delivery</w:t>
      </w:r>
      <w:bookmarkEnd w:id="503"/>
      <w:bookmarkEnd w:id="504"/>
      <w:bookmarkEnd w:id="505"/>
      <w:bookmarkEnd w:id="506"/>
      <w:bookmarkEnd w:id="507"/>
      <w:bookmarkEnd w:id="508"/>
      <w:bookmarkEnd w:id="509"/>
      <w:bookmarkEnd w:id="510"/>
      <w:bookmarkEnd w:id="511"/>
    </w:p>
    <w:p w:rsidR="0071027C" w:rsidRPr="00B179D4" w:rsidRDefault="0071027C" w:rsidP="0071027C">
      <w:pPr>
        <w:pStyle w:val="TZHeading3"/>
        <w:spacing w:before="120" w:after="120" w:line="240" w:lineRule="auto"/>
        <w:jc w:val="both"/>
        <w:rPr>
          <w:rFonts w:ascii="Arial" w:eastAsia="Times New Roman" w:hAnsi="Arial"/>
          <w:b w:val="0"/>
          <w:noProof w:val="0"/>
          <w:sz w:val="22"/>
        </w:rPr>
      </w:pPr>
      <w:r w:rsidRPr="00B179D4">
        <w:rPr>
          <w:rFonts w:ascii="Arial" w:eastAsia="Times New Roman" w:hAnsi="Arial"/>
          <w:b w:val="0"/>
          <w:noProof w:val="0"/>
          <w:sz w:val="22"/>
        </w:rPr>
        <w:t>All labour and delivery services should include interventions to prevent MTCT. These include:</w:t>
      </w:r>
    </w:p>
    <w:p w:rsidR="0071027C" w:rsidRPr="00B179D4" w:rsidRDefault="0071027C" w:rsidP="00274941">
      <w:pPr>
        <w:pStyle w:val="TZHeading3"/>
        <w:numPr>
          <w:ilvl w:val="0"/>
          <w:numId w:val="57"/>
        </w:numPr>
        <w:spacing w:line="240" w:lineRule="auto"/>
        <w:jc w:val="both"/>
        <w:rPr>
          <w:rFonts w:ascii="Arial" w:eastAsia="Times New Roman" w:hAnsi="Arial"/>
          <w:b w:val="0"/>
          <w:noProof w:val="0"/>
          <w:sz w:val="22"/>
        </w:rPr>
      </w:pPr>
      <w:r w:rsidRPr="00B179D4">
        <w:rPr>
          <w:rFonts w:ascii="Arial" w:eastAsia="Times New Roman" w:hAnsi="Arial"/>
          <w:b w:val="0"/>
          <w:noProof w:val="0"/>
          <w:sz w:val="22"/>
        </w:rPr>
        <w:t>HIV testing for women whose HIV status is unknown and women with an initial negative test who were not retested after three months</w:t>
      </w:r>
    </w:p>
    <w:p w:rsidR="0071027C" w:rsidRPr="00B179D4" w:rsidRDefault="0071027C" w:rsidP="00274941">
      <w:pPr>
        <w:pStyle w:val="TZHeading3"/>
        <w:numPr>
          <w:ilvl w:val="0"/>
          <w:numId w:val="57"/>
        </w:numPr>
        <w:spacing w:line="240" w:lineRule="auto"/>
        <w:jc w:val="both"/>
        <w:rPr>
          <w:rFonts w:ascii="Arial" w:eastAsia="Times New Roman" w:hAnsi="Arial"/>
          <w:b w:val="0"/>
          <w:noProof w:val="0"/>
          <w:sz w:val="22"/>
        </w:rPr>
      </w:pPr>
      <w:r w:rsidRPr="00B179D4">
        <w:rPr>
          <w:rFonts w:ascii="Arial" w:eastAsia="Times New Roman" w:hAnsi="Arial"/>
          <w:b w:val="0"/>
          <w:noProof w:val="0"/>
          <w:sz w:val="22"/>
        </w:rPr>
        <w:t>Administration of ART to HIV positive pregnant women and ARV prophylaxis to infants</w:t>
      </w:r>
    </w:p>
    <w:p w:rsidR="0071027C" w:rsidRPr="00B179D4" w:rsidRDefault="0071027C" w:rsidP="00274941">
      <w:pPr>
        <w:pStyle w:val="TZHeading3"/>
        <w:numPr>
          <w:ilvl w:val="0"/>
          <w:numId w:val="57"/>
        </w:numPr>
        <w:spacing w:line="240" w:lineRule="auto"/>
        <w:jc w:val="both"/>
        <w:rPr>
          <w:rFonts w:ascii="Arial" w:eastAsia="Times New Roman" w:hAnsi="Arial"/>
          <w:b w:val="0"/>
          <w:noProof w:val="0"/>
          <w:sz w:val="22"/>
        </w:rPr>
      </w:pPr>
      <w:r w:rsidRPr="00B179D4">
        <w:rPr>
          <w:rFonts w:ascii="Arial" w:eastAsia="Times New Roman" w:hAnsi="Arial"/>
          <w:b w:val="0"/>
          <w:noProof w:val="0"/>
          <w:sz w:val="22"/>
        </w:rPr>
        <w:t>Implementation of safer obstetric practices</w:t>
      </w:r>
    </w:p>
    <w:p w:rsidR="0071027C" w:rsidRPr="00B179D4" w:rsidRDefault="0071027C" w:rsidP="00AA771C">
      <w:pPr>
        <w:spacing w:beforeLines="120" w:before="288" w:afterLines="120" w:after="288"/>
        <w:jc w:val="both"/>
        <w:rPr>
          <w:rFonts w:ascii="Arial" w:hAnsi="Arial" w:cs="Arial"/>
          <w:b/>
        </w:rPr>
      </w:pPr>
      <w:r w:rsidRPr="00B179D4">
        <w:rPr>
          <w:rFonts w:ascii="Arial" w:hAnsi="Arial" w:cs="Arial"/>
          <w:b/>
        </w:rPr>
        <w:t>Labour and delivery care</w:t>
      </w:r>
    </w:p>
    <w:p w:rsidR="0071027C" w:rsidRPr="00B179D4" w:rsidRDefault="0071027C" w:rsidP="0071027C">
      <w:pPr>
        <w:pStyle w:val="TZHeading3"/>
        <w:spacing w:before="120" w:after="120" w:line="240" w:lineRule="auto"/>
        <w:jc w:val="both"/>
        <w:rPr>
          <w:rFonts w:ascii="Arial" w:eastAsia="Times New Roman" w:hAnsi="Arial"/>
          <w:b w:val="0"/>
          <w:noProof w:val="0"/>
          <w:sz w:val="22"/>
        </w:rPr>
      </w:pPr>
      <w:r w:rsidRPr="00B179D4">
        <w:rPr>
          <w:rFonts w:ascii="Arial" w:eastAsia="Times New Roman" w:hAnsi="Arial"/>
          <w:b w:val="0"/>
          <w:noProof w:val="0"/>
          <w:sz w:val="22"/>
        </w:rPr>
        <w:t>Labour management should follow obstetric best practices and all HCWs must use Standard Precautions during labour and delivery as outlined in Table 8.3.</w:t>
      </w:r>
    </w:p>
    <w:tbl>
      <w:tblPr>
        <w:tblW w:w="9388"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7470"/>
      </w:tblGrid>
      <w:tr w:rsidR="0071027C" w:rsidRPr="003A1FAF" w:rsidTr="0071027C">
        <w:trPr>
          <w:trHeight w:val="429"/>
        </w:trPr>
        <w:tc>
          <w:tcPr>
            <w:tcW w:w="9388" w:type="dxa"/>
            <w:gridSpan w:val="2"/>
            <w:tcBorders>
              <w:top w:val="nil"/>
              <w:left w:val="nil"/>
              <w:bottom w:val="single" w:sz="4" w:space="0" w:color="auto"/>
              <w:right w:val="nil"/>
            </w:tcBorders>
            <w:hideMark/>
          </w:tcPr>
          <w:p w:rsidR="0071027C" w:rsidRPr="003A1FAF" w:rsidRDefault="0071027C" w:rsidP="00AA771C">
            <w:pPr>
              <w:pStyle w:val="SMBodyIndent"/>
              <w:spacing w:beforeLines="120" w:before="288" w:afterLines="120" w:after="288" w:line="276" w:lineRule="auto"/>
              <w:ind w:left="0"/>
              <w:jc w:val="both"/>
              <w:rPr>
                <w:rFonts w:cs="Arial"/>
                <w:b/>
                <w:bCs/>
                <w:szCs w:val="22"/>
              </w:rPr>
            </w:pPr>
            <w:r w:rsidRPr="003A1FAF">
              <w:rPr>
                <w:rFonts w:cs="Arial"/>
                <w:b/>
                <w:bCs/>
                <w:szCs w:val="22"/>
              </w:rPr>
              <w:t>Table 8.3 Safer obstetric practices to reduce MTCT</w:t>
            </w:r>
          </w:p>
        </w:tc>
      </w:tr>
      <w:tr w:rsidR="0071027C" w:rsidRPr="003A1FAF" w:rsidTr="0071027C">
        <w:trPr>
          <w:trHeight w:val="429"/>
        </w:trPr>
        <w:tc>
          <w:tcPr>
            <w:tcW w:w="9388" w:type="dxa"/>
            <w:gridSpan w:val="2"/>
            <w:tcBorders>
              <w:top w:val="single" w:sz="4" w:space="0" w:color="auto"/>
              <w:left w:val="single" w:sz="4" w:space="0" w:color="auto"/>
              <w:bottom w:val="single" w:sz="4" w:space="0" w:color="auto"/>
              <w:right w:val="single" w:sz="4" w:space="0" w:color="auto"/>
            </w:tcBorders>
            <w:shd w:val="clear" w:color="auto" w:fill="000000"/>
            <w:hideMark/>
          </w:tcPr>
          <w:p w:rsidR="0071027C" w:rsidRPr="003A1FAF" w:rsidRDefault="0071027C" w:rsidP="00AA771C">
            <w:pPr>
              <w:pStyle w:val="SMBodyIndent"/>
              <w:spacing w:beforeLines="120" w:before="288" w:afterLines="120" w:after="288" w:line="276" w:lineRule="auto"/>
              <w:ind w:left="0"/>
              <w:jc w:val="both"/>
              <w:rPr>
                <w:rFonts w:cs="Arial"/>
                <w:b/>
                <w:bCs/>
                <w:szCs w:val="22"/>
              </w:rPr>
            </w:pPr>
            <w:r w:rsidRPr="003A1FAF">
              <w:rPr>
                <w:rFonts w:cs="Arial"/>
                <w:b/>
                <w:bCs/>
                <w:szCs w:val="22"/>
              </w:rPr>
              <w:t>Safer Obstetrical Practice Description</w:t>
            </w:r>
          </w:p>
        </w:tc>
      </w:tr>
      <w:tr w:rsidR="0071027C" w:rsidRPr="003A1FAF" w:rsidTr="0071027C">
        <w:trPr>
          <w:trHeight w:val="1781"/>
        </w:trPr>
        <w:tc>
          <w:tcPr>
            <w:tcW w:w="191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3A1FAF" w:rsidRDefault="0071027C" w:rsidP="00AA771C">
            <w:pPr>
              <w:autoSpaceDE w:val="0"/>
              <w:autoSpaceDN w:val="0"/>
              <w:adjustRightInd w:val="0"/>
              <w:spacing w:beforeLines="120" w:before="288" w:afterLines="120" w:after="288"/>
              <w:rPr>
                <w:rFonts w:ascii="Arial" w:hAnsi="Arial" w:cs="Arial"/>
              </w:rPr>
            </w:pPr>
            <w:r w:rsidRPr="003A1FAF">
              <w:rPr>
                <w:rFonts w:ascii="Arial" w:hAnsi="Arial" w:cs="Arial"/>
              </w:rPr>
              <w:t>Use Standard Precautions (good infection prevention practices) for all patient care.</w:t>
            </w:r>
          </w:p>
        </w:tc>
        <w:tc>
          <w:tcPr>
            <w:tcW w:w="7470"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3A1FAF" w:rsidRDefault="0071027C" w:rsidP="00AA771C">
            <w:pPr>
              <w:autoSpaceDE w:val="0"/>
              <w:autoSpaceDN w:val="0"/>
              <w:adjustRightInd w:val="0"/>
              <w:spacing w:beforeLines="120" w:before="288" w:afterLines="120" w:after="288"/>
              <w:jc w:val="both"/>
              <w:rPr>
                <w:rFonts w:ascii="Arial" w:hAnsi="Arial" w:cs="Arial"/>
              </w:rPr>
            </w:pPr>
            <w:r w:rsidRPr="0051683D">
              <w:rPr>
                <w:rFonts w:ascii="Arial" w:hAnsi="Arial" w:cs="Arial"/>
              </w:rPr>
              <w:t xml:space="preserve">Use protective gear, safely use and dispose of sharps, sterilize equipment and safely dispose of contaminated materials. See </w:t>
            </w:r>
            <w:r w:rsidRPr="0051683D">
              <w:rPr>
                <w:rFonts w:ascii="Arial" w:hAnsi="Arial" w:cs="Arial"/>
                <w:i/>
                <w:iCs/>
              </w:rPr>
              <w:t>Chapter 8, PMTCT guideline: Safety and Supportive Care in the Work Setting for more details</w:t>
            </w:r>
            <w:r w:rsidRPr="0051683D">
              <w:rPr>
                <w:rFonts w:ascii="Arial" w:hAnsi="Arial" w:cs="Arial"/>
              </w:rPr>
              <w:t>.</w:t>
            </w:r>
          </w:p>
        </w:tc>
      </w:tr>
      <w:tr w:rsidR="0071027C" w:rsidRPr="003A1FAF" w:rsidTr="0071027C">
        <w:trPr>
          <w:trHeight w:val="1011"/>
        </w:trPr>
        <w:tc>
          <w:tcPr>
            <w:tcW w:w="1918" w:type="dxa"/>
            <w:tcBorders>
              <w:top w:val="single" w:sz="4" w:space="0" w:color="auto"/>
              <w:left w:val="single" w:sz="4" w:space="0" w:color="auto"/>
              <w:bottom w:val="single" w:sz="4" w:space="0" w:color="auto"/>
              <w:right w:val="single" w:sz="4" w:space="0" w:color="auto"/>
            </w:tcBorders>
            <w:hideMark/>
          </w:tcPr>
          <w:p w:rsidR="0071027C" w:rsidRPr="003A1FAF" w:rsidRDefault="0071027C" w:rsidP="00AA771C">
            <w:pPr>
              <w:autoSpaceDE w:val="0"/>
              <w:autoSpaceDN w:val="0"/>
              <w:adjustRightInd w:val="0"/>
              <w:spacing w:beforeLines="120" w:before="288" w:afterLines="120" w:after="288"/>
              <w:rPr>
                <w:rFonts w:ascii="Arial" w:hAnsi="Arial" w:cs="Arial"/>
              </w:rPr>
            </w:pPr>
            <w:r w:rsidRPr="003A1FAF">
              <w:rPr>
                <w:rFonts w:ascii="Arial" w:hAnsi="Arial" w:cs="Arial"/>
              </w:rPr>
              <w:t>Minimize vaginal examinations</w:t>
            </w:r>
          </w:p>
        </w:tc>
        <w:tc>
          <w:tcPr>
            <w:tcW w:w="7470" w:type="dxa"/>
            <w:tcBorders>
              <w:top w:val="single" w:sz="4" w:space="0" w:color="auto"/>
              <w:left w:val="single" w:sz="4" w:space="0" w:color="auto"/>
              <w:bottom w:val="single" w:sz="4" w:space="0" w:color="auto"/>
              <w:right w:val="single" w:sz="4" w:space="0" w:color="auto"/>
            </w:tcBorders>
            <w:hideMark/>
          </w:tcPr>
          <w:p w:rsidR="0071027C" w:rsidRPr="003A1FAF" w:rsidRDefault="0071027C" w:rsidP="00AA771C">
            <w:pPr>
              <w:autoSpaceDE w:val="0"/>
              <w:autoSpaceDN w:val="0"/>
              <w:adjustRightInd w:val="0"/>
              <w:spacing w:beforeLines="120" w:before="288" w:afterLines="120" w:after="288"/>
              <w:jc w:val="both"/>
              <w:rPr>
                <w:rFonts w:ascii="Arial" w:hAnsi="Arial" w:cs="Arial"/>
              </w:rPr>
            </w:pPr>
            <w:r w:rsidRPr="003A1FAF">
              <w:rPr>
                <w:rFonts w:ascii="Arial" w:hAnsi="Arial" w:cs="Arial"/>
              </w:rPr>
              <w:t>Perform vaginal examinations only when necessary, using sterile technique.</w:t>
            </w:r>
          </w:p>
        </w:tc>
      </w:tr>
      <w:tr w:rsidR="0071027C" w:rsidRPr="003A1FAF" w:rsidTr="0071027C">
        <w:trPr>
          <w:trHeight w:val="1011"/>
        </w:trPr>
        <w:tc>
          <w:tcPr>
            <w:tcW w:w="191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3A1FAF" w:rsidRDefault="0071027C" w:rsidP="00AA771C">
            <w:pPr>
              <w:pStyle w:val="SMBodyIndent"/>
              <w:spacing w:beforeLines="120" w:before="288" w:afterLines="120" w:after="288" w:line="276" w:lineRule="auto"/>
              <w:ind w:left="0"/>
              <w:rPr>
                <w:rFonts w:cs="Arial"/>
                <w:b/>
                <w:bCs/>
                <w:szCs w:val="22"/>
              </w:rPr>
            </w:pPr>
            <w:r w:rsidRPr="003A1FAF">
              <w:rPr>
                <w:rFonts w:cs="Arial"/>
                <w:szCs w:val="22"/>
              </w:rPr>
              <w:t>Avoid prolonged labour.</w:t>
            </w:r>
          </w:p>
        </w:tc>
        <w:tc>
          <w:tcPr>
            <w:tcW w:w="7470"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3A1FAF" w:rsidRDefault="0071027C" w:rsidP="00AA771C">
            <w:pPr>
              <w:autoSpaceDE w:val="0"/>
              <w:autoSpaceDN w:val="0"/>
              <w:adjustRightInd w:val="0"/>
              <w:spacing w:beforeLines="120" w:before="288" w:afterLines="120" w:after="288"/>
              <w:jc w:val="both"/>
              <w:rPr>
                <w:rFonts w:ascii="Arial" w:hAnsi="Arial" w:cs="Arial"/>
              </w:rPr>
            </w:pPr>
            <w:r w:rsidRPr="003A1FAF">
              <w:rPr>
                <w:rFonts w:ascii="Arial" w:hAnsi="Arial" w:cs="Arial"/>
              </w:rPr>
              <w:t>Consider use of oxytocic medications to shorten labour when appropriate.</w:t>
            </w:r>
          </w:p>
          <w:p w:rsidR="0071027C" w:rsidRPr="003A1FAF" w:rsidRDefault="0071027C" w:rsidP="00AA771C">
            <w:pPr>
              <w:autoSpaceDE w:val="0"/>
              <w:autoSpaceDN w:val="0"/>
              <w:adjustRightInd w:val="0"/>
              <w:spacing w:beforeLines="120" w:before="288" w:afterLines="120" w:after="288"/>
              <w:jc w:val="both"/>
              <w:rPr>
                <w:rFonts w:ascii="Arial" w:hAnsi="Arial" w:cs="Arial"/>
              </w:rPr>
            </w:pPr>
            <w:r w:rsidRPr="003A1FAF">
              <w:rPr>
                <w:rFonts w:ascii="Arial" w:hAnsi="Arial" w:cs="Arial"/>
              </w:rPr>
              <w:t xml:space="preserve">Use non-invasive foetal monitoring to assess need for early intervention. </w:t>
            </w:r>
          </w:p>
          <w:p w:rsidR="0071027C" w:rsidRPr="003A1FAF" w:rsidRDefault="0071027C" w:rsidP="00AA771C">
            <w:pPr>
              <w:autoSpaceDE w:val="0"/>
              <w:autoSpaceDN w:val="0"/>
              <w:adjustRightInd w:val="0"/>
              <w:spacing w:beforeLines="120" w:before="288" w:afterLines="120" w:after="288"/>
              <w:jc w:val="both"/>
              <w:rPr>
                <w:rFonts w:ascii="Arial" w:hAnsi="Arial" w:cs="Arial"/>
              </w:rPr>
            </w:pPr>
            <w:r w:rsidRPr="003A1FAF">
              <w:rPr>
                <w:rFonts w:ascii="Arial" w:hAnsi="Arial" w:cs="Arial"/>
              </w:rPr>
              <w:t>Use a partogram to monitor the progress of labour, and record all medications used during labour, including ART.</w:t>
            </w:r>
          </w:p>
        </w:tc>
      </w:tr>
      <w:tr w:rsidR="0071027C" w:rsidRPr="003A1FAF" w:rsidTr="0071027C">
        <w:trPr>
          <w:trHeight w:val="1011"/>
        </w:trPr>
        <w:tc>
          <w:tcPr>
            <w:tcW w:w="1918" w:type="dxa"/>
            <w:tcBorders>
              <w:top w:val="single" w:sz="4" w:space="0" w:color="auto"/>
              <w:left w:val="single" w:sz="4" w:space="0" w:color="auto"/>
              <w:bottom w:val="single" w:sz="4" w:space="0" w:color="auto"/>
              <w:right w:val="single" w:sz="4" w:space="0" w:color="auto"/>
            </w:tcBorders>
            <w:hideMark/>
          </w:tcPr>
          <w:p w:rsidR="0071027C" w:rsidRPr="003A1FAF" w:rsidRDefault="0071027C" w:rsidP="00AA771C">
            <w:pPr>
              <w:autoSpaceDE w:val="0"/>
              <w:autoSpaceDN w:val="0"/>
              <w:adjustRightInd w:val="0"/>
              <w:spacing w:beforeLines="120" w:before="288" w:afterLines="120" w:after="288"/>
              <w:rPr>
                <w:rFonts w:ascii="Arial" w:hAnsi="Arial" w:cs="Arial"/>
              </w:rPr>
            </w:pPr>
            <w:r w:rsidRPr="003A1FAF">
              <w:rPr>
                <w:rFonts w:ascii="Arial" w:hAnsi="Arial" w:cs="Arial"/>
              </w:rPr>
              <w:t>Avoid artificial rupture of membranes.</w:t>
            </w:r>
          </w:p>
        </w:tc>
        <w:tc>
          <w:tcPr>
            <w:tcW w:w="7470" w:type="dxa"/>
            <w:tcBorders>
              <w:top w:val="single" w:sz="4" w:space="0" w:color="auto"/>
              <w:left w:val="single" w:sz="4" w:space="0" w:color="auto"/>
              <w:bottom w:val="single" w:sz="4" w:space="0" w:color="auto"/>
              <w:right w:val="single" w:sz="4" w:space="0" w:color="auto"/>
            </w:tcBorders>
            <w:hideMark/>
          </w:tcPr>
          <w:p w:rsidR="0071027C" w:rsidRPr="003A1FAF" w:rsidRDefault="0071027C" w:rsidP="00AA771C">
            <w:pPr>
              <w:autoSpaceDE w:val="0"/>
              <w:autoSpaceDN w:val="0"/>
              <w:adjustRightInd w:val="0"/>
              <w:spacing w:beforeLines="120" w:before="288" w:afterLines="120" w:after="288"/>
              <w:jc w:val="both"/>
              <w:rPr>
                <w:rFonts w:ascii="Arial" w:hAnsi="Arial" w:cs="Arial"/>
              </w:rPr>
            </w:pPr>
            <w:r w:rsidRPr="003A1FAF">
              <w:rPr>
                <w:rFonts w:ascii="Arial" w:hAnsi="Arial" w:cs="Arial"/>
              </w:rPr>
              <w:t>Avoid early rupture of membranes (before 7 cm dilation) unless necessary.</w:t>
            </w:r>
          </w:p>
        </w:tc>
      </w:tr>
      <w:tr w:rsidR="0071027C" w:rsidRPr="003A1FAF" w:rsidTr="0071027C">
        <w:trPr>
          <w:trHeight w:val="1011"/>
        </w:trPr>
        <w:tc>
          <w:tcPr>
            <w:tcW w:w="191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3A1FAF" w:rsidRDefault="0071027C" w:rsidP="00AA771C">
            <w:pPr>
              <w:autoSpaceDE w:val="0"/>
              <w:autoSpaceDN w:val="0"/>
              <w:adjustRightInd w:val="0"/>
              <w:spacing w:beforeLines="120" w:before="288" w:afterLines="120" w:after="288"/>
              <w:rPr>
                <w:rFonts w:ascii="Arial" w:hAnsi="Arial" w:cs="Arial"/>
              </w:rPr>
            </w:pPr>
            <w:r w:rsidRPr="003A1FAF">
              <w:rPr>
                <w:rFonts w:ascii="Arial" w:hAnsi="Arial" w:cs="Arial"/>
              </w:rPr>
              <w:t>Avoid unnecessary trauma during delivery.</w:t>
            </w:r>
          </w:p>
        </w:tc>
        <w:tc>
          <w:tcPr>
            <w:tcW w:w="7470"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3A1FAF" w:rsidRDefault="0071027C" w:rsidP="00AA771C">
            <w:pPr>
              <w:autoSpaceDE w:val="0"/>
              <w:autoSpaceDN w:val="0"/>
              <w:adjustRightInd w:val="0"/>
              <w:spacing w:beforeLines="120" w:before="288" w:afterLines="120" w:after="288"/>
              <w:jc w:val="both"/>
              <w:rPr>
                <w:rFonts w:ascii="Arial" w:hAnsi="Arial" w:cs="Arial"/>
              </w:rPr>
            </w:pPr>
            <w:r w:rsidRPr="003A1FAF">
              <w:rPr>
                <w:rFonts w:ascii="Arial" w:hAnsi="Arial" w:cs="Arial"/>
              </w:rPr>
              <w:t xml:space="preserve">Avoid invasive procedures, including scalp electrodes or scalp sampling. </w:t>
            </w:r>
          </w:p>
          <w:p w:rsidR="0071027C" w:rsidRPr="003A1FAF" w:rsidRDefault="0071027C" w:rsidP="00AA771C">
            <w:pPr>
              <w:autoSpaceDE w:val="0"/>
              <w:autoSpaceDN w:val="0"/>
              <w:adjustRightInd w:val="0"/>
              <w:spacing w:beforeLines="120" w:before="288" w:afterLines="120" w:after="288"/>
              <w:jc w:val="both"/>
              <w:rPr>
                <w:rFonts w:ascii="Arial" w:hAnsi="Arial" w:cs="Arial"/>
              </w:rPr>
            </w:pPr>
            <w:r w:rsidRPr="003A1FAF">
              <w:rPr>
                <w:rFonts w:ascii="Arial" w:hAnsi="Arial" w:cs="Arial"/>
              </w:rPr>
              <w:t>Avoid routine episiotomy.</w:t>
            </w:r>
          </w:p>
          <w:p w:rsidR="0071027C" w:rsidRPr="003A1FAF" w:rsidRDefault="0071027C" w:rsidP="00AA771C">
            <w:pPr>
              <w:autoSpaceDE w:val="0"/>
              <w:autoSpaceDN w:val="0"/>
              <w:adjustRightInd w:val="0"/>
              <w:spacing w:beforeLines="120" w:before="288" w:afterLines="120" w:after="288"/>
              <w:jc w:val="both"/>
              <w:rPr>
                <w:rFonts w:ascii="Arial" w:hAnsi="Arial" w:cs="Arial"/>
              </w:rPr>
            </w:pPr>
            <w:r w:rsidRPr="003A1FAF">
              <w:rPr>
                <w:rFonts w:ascii="Arial" w:hAnsi="Arial" w:cs="Arial"/>
              </w:rPr>
              <w:t>Minimise the use of instrumental vaginal delivery such as forceps or vacuum delivery.</w:t>
            </w:r>
          </w:p>
        </w:tc>
      </w:tr>
      <w:tr w:rsidR="0071027C" w:rsidRPr="003A1FAF" w:rsidTr="0071027C">
        <w:trPr>
          <w:trHeight w:val="1011"/>
        </w:trPr>
        <w:tc>
          <w:tcPr>
            <w:tcW w:w="1918" w:type="dxa"/>
            <w:tcBorders>
              <w:top w:val="single" w:sz="4" w:space="0" w:color="auto"/>
              <w:left w:val="single" w:sz="4" w:space="0" w:color="auto"/>
              <w:bottom w:val="single" w:sz="4" w:space="0" w:color="auto"/>
              <w:right w:val="single" w:sz="4" w:space="0" w:color="auto"/>
            </w:tcBorders>
            <w:hideMark/>
          </w:tcPr>
          <w:p w:rsidR="0071027C" w:rsidRPr="003A1FAF" w:rsidRDefault="0071027C" w:rsidP="00AA771C">
            <w:pPr>
              <w:autoSpaceDE w:val="0"/>
              <w:autoSpaceDN w:val="0"/>
              <w:adjustRightInd w:val="0"/>
              <w:spacing w:beforeLines="120" w:before="288" w:afterLines="120" w:after="288"/>
              <w:rPr>
                <w:rFonts w:ascii="Arial" w:hAnsi="Arial" w:cs="Arial"/>
              </w:rPr>
            </w:pPr>
            <w:r w:rsidRPr="003A1FAF">
              <w:rPr>
                <w:rFonts w:ascii="Arial" w:hAnsi="Arial" w:cs="Arial"/>
              </w:rPr>
              <w:t>Minimize the risk of postpartum haemorrhage</w:t>
            </w:r>
          </w:p>
        </w:tc>
        <w:tc>
          <w:tcPr>
            <w:tcW w:w="7470" w:type="dxa"/>
            <w:tcBorders>
              <w:top w:val="single" w:sz="4" w:space="0" w:color="auto"/>
              <w:left w:val="single" w:sz="4" w:space="0" w:color="auto"/>
              <w:bottom w:val="single" w:sz="4" w:space="0" w:color="auto"/>
              <w:right w:val="single" w:sz="4" w:space="0" w:color="auto"/>
            </w:tcBorders>
            <w:hideMark/>
          </w:tcPr>
          <w:p w:rsidR="0071027C" w:rsidRPr="003A1FAF" w:rsidRDefault="0071027C" w:rsidP="00AA771C">
            <w:pPr>
              <w:autoSpaceDE w:val="0"/>
              <w:autoSpaceDN w:val="0"/>
              <w:adjustRightInd w:val="0"/>
              <w:spacing w:beforeLines="120" w:before="288" w:afterLines="120" w:after="288"/>
              <w:jc w:val="both"/>
              <w:rPr>
                <w:rFonts w:ascii="Arial" w:hAnsi="Arial" w:cs="Arial"/>
              </w:rPr>
            </w:pPr>
            <w:r w:rsidRPr="003A1FAF">
              <w:rPr>
                <w:rFonts w:ascii="Arial" w:hAnsi="Arial" w:cs="Arial"/>
              </w:rPr>
              <w:t>Carefully manage all stages of labour to prevent infection and avoid prolonged labour.</w:t>
            </w:r>
          </w:p>
          <w:p w:rsidR="0071027C" w:rsidRPr="003A1FAF" w:rsidRDefault="0071027C" w:rsidP="00AA771C">
            <w:pPr>
              <w:autoSpaceDE w:val="0"/>
              <w:autoSpaceDN w:val="0"/>
              <w:adjustRightInd w:val="0"/>
              <w:spacing w:beforeLines="120" w:before="288" w:afterLines="120" w:after="288"/>
              <w:jc w:val="both"/>
              <w:rPr>
                <w:rFonts w:ascii="Arial" w:hAnsi="Arial" w:cs="Arial"/>
              </w:rPr>
            </w:pPr>
            <w:r w:rsidRPr="003A1FAF">
              <w:rPr>
                <w:rFonts w:ascii="Arial" w:hAnsi="Arial" w:cs="Arial"/>
              </w:rPr>
              <w:t>Actively manage the third stage of labour by using oxytocin, ergometrine or misoprostal medications and controlled cord traction.</w:t>
            </w:r>
          </w:p>
          <w:p w:rsidR="0071027C" w:rsidRPr="003A1FAF" w:rsidRDefault="0071027C" w:rsidP="00AA771C">
            <w:pPr>
              <w:spacing w:beforeLines="120" w:before="288" w:afterLines="120" w:after="288"/>
              <w:jc w:val="both"/>
              <w:rPr>
                <w:rFonts w:ascii="Arial" w:hAnsi="Arial" w:cs="Arial"/>
              </w:rPr>
            </w:pPr>
            <w:r w:rsidRPr="003A1FAF">
              <w:rPr>
                <w:rFonts w:ascii="Arial" w:hAnsi="Arial" w:cs="Arial"/>
              </w:rPr>
              <w:t>Perform uterine massage.</w:t>
            </w:r>
          </w:p>
          <w:p w:rsidR="0071027C" w:rsidRPr="003A1FAF" w:rsidRDefault="0071027C" w:rsidP="00AA771C">
            <w:pPr>
              <w:autoSpaceDE w:val="0"/>
              <w:autoSpaceDN w:val="0"/>
              <w:adjustRightInd w:val="0"/>
              <w:spacing w:beforeLines="120" w:before="288" w:afterLines="120" w:after="288"/>
              <w:jc w:val="both"/>
              <w:rPr>
                <w:rFonts w:ascii="Arial" w:hAnsi="Arial" w:cs="Arial"/>
              </w:rPr>
            </w:pPr>
            <w:r w:rsidRPr="003A1FAF">
              <w:rPr>
                <w:rFonts w:ascii="Arial" w:hAnsi="Arial" w:cs="Arial"/>
              </w:rPr>
              <w:t>Repair genital tract lacerations.</w:t>
            </w:r>
          </w:p>
          <w:p w:rsidR="0071027C" w:rsidRPr="003A1FAF" w:rsidRDefault="0071027C" w:rsidP="00AA771C">
            <w:pPr>
              <w:spacing w:beforeLines="120" w:before="288" w:afterLines="120" w:after="288"/>
              <w:jc w:val="both"/>
              <w:rPr>
                <w:rFonts w:ascii="Arial" w:hAnsi="Arial" w:cs="Arial"/>
                <w:b/>
                <w:bCs/>
              </w:rPr>
            </w:pPr>
            <w:r w:rsidRPr="003A1FAF">
              <w:rPr>
                <w:rFonts w:ascii="Arial" w:hAnsi="Arial" w:cs="Arial"/>
              </w:rPr>
              <w:t>Carefully remove all products of conception.</w:t>
            </w:r>
          </w:p>
        </w:tc>
      </w:tr>
      <w:tr w:rsidR="0071027C" w:rsidRPr="003A1FAF" w:rsidTr="0071027C">
        <w:trPr>
          <w:trHeight w:val="1011"/>
        </w:trPr>
        <w:tc>
          <w:tcPr>
            <w:tcW w:w="1918"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3A1FAF" w:rsidRDefault="0071027C" w:rsidP="00AA771C">
            <w:pPr>
              <w:autoSpaceDE w:val="0"/>
              <w:autoSpaceDN w:val="0"/>
              <w:adjustRightInd w:val="0"/>
              <w:spacing w:beforeLines="120" w:before="288" w:afterLines="120" w:after="288"/>
              <w:rPr>
                <w:rFonts w:ascii="Arial" w:hAnsi="Arial" w:cs="Arial"/>
              </w:rPr>
            </w:pPr>
            <w:r w:rsidRPr="003A1FAF">
              <w:rPr>
                <w:rFonts w:ascii="Arial" w:hAnsi="Arial" w:cs="Arial"/>
              </w:rPr>
              <w:t>Use safe transfusion practices.</w:t>
            </w:r>
          </w:p>
        </w:tc>
        <w:tc>
          <w:tcPr>
            <w:tcW w:w="7470" w:type="dxa"/>
            <w:tcBorders>
              <w:top w:val="single" w:sz="4" w:space="0" w:color="auto"/>
              <w:left w:val="single" w:sz="4" w:space="0" w:color="auto"/>
              <w:bottom w:val="single" w:sz="4" w:space="0" w:color="auto"/>
              <w:right w:val="single" w:sz="4" w:space="0" w:color="auto"/>
            </w:tcBorders>
            <w:shd w:val="clear" w:color="auto" w:fill="D9D9D9"/>
            <w:hideMark/>
          </w:tcPr>
          <w:p w:rsidR="0071027C" w:rsidRPr="003A1FAF" w:rsidRDefault="0071027C" w:rsidP="00AA771C">
            <w:pPr>
              <w:autoSpaceDE w:val="0"/>
              <w:autoSpaceDN w:val="0"/>
              <w:adjustRightInd w:val="0"/>
              <w:spacing w:beforeLines="120" w:before="288" w:afterLines="120" w:after="288"/>
              <w:jc w:val="both"/>
              <w:rPr>
                <w:rFonts w:ascii="Arial" w:hAnsi="Arial" w:cs="Arial"/>
              </w:rPr>
            </w:pPr>
            <w:r w:rsidRPr="003A1FAF">
              <w:rPr>
                <w:rFonts w:ascii="Arial" w:hAnsi="Arial" w:cs="Arial"/>
              </w:rPr>
              <w:t>Minimize the use of blood transfusions.</w:t>
            </w:r>
          </w:p>
          <w:p w:rsidR="0071027C" w:rsidRPr="003A1FAF" w:rsidRDefault="0071027C" w:rsidP="00AA771C">
            <w:pPr>
              <w:autoSpaceDE w:val="0"/>
              <w:autoSpaceDN w:val="0"/>
              <w:adjustRightInd w:val="0"/>
              <w:spacing w:beforeLines="120" w:before="288" w:afterLines="120" w:after="288"/>
              <w:jc w:val="both"/>
              <w:rPr>
                <w:rFonts w:ascii="Arial" w:hAnsi="Arial" w:cs="Arial"/>
              </w:rPr>
            </w:pPr>
            <w:r w:rsidRPr="003A1FAF">
              <w:rPr>
                <w:rFonts w:ascii="Arial" w:hAnsi="Arial" w:cs="Arial"/>
              </w:rPr>
              <w:t>Use only blood screened for HIV, hepatitis B and C and, when available, syphilis and malaria.</w:t>
            </w:r>
          </w:p>
        </w:tc>
      </w:tr>
      <w:tr w:rsidR="0071027C" w:rsidRPr="003A1FAF" w:rsidTr="0071027C">
        <w:trPr>
          <w:trHeight w:val="1493"/>
        </w:trPr>
        <w:tc>
          <w:tcPr>
            <w:tcW w:w="1918" w:type="dxa"/>
            <w:tcBorders>
              <w:top w:val="single" w:sz="4" w:space="0" w:color="auto"/>
              <w:left w:val="single" w:sz="4" w:space="0" w:color="auto"/>
              <w:bottom w:val="single" w:sz="4" w:space="0" w:color="auto"/>
              <w:right w:val="single" w:sz="4" w:space="0" w:color="auto"/>
            </w:tcBorders>
            <w:hideMark/>
          </w:tcPr>
          <w:p w:rsidR="0071027C" w:rsidRPr="003A1FAF" w:rsidRDefault="0071027C" w:rsidP="00AA771C">
            <w:pPr>
              <w:autoSpaceDE w:val="0"/>
              <w:autoSpaceDN w:val="0"/>
              <w:adjustRightInd w:val="0"/>
              <w:spacing w:beforeLines="120" w:before="288" w:afterLines="120" w:after="288"/>
              <w:rPr>
                <w:rFonts w:ascii="Arial" w:hAnsi="Arial" w:cs="Arial"/>
              </w:rPr>
            </w:pPr>
            <w:r w:rsidRPr="003A1FAF">
              <w:rPr>
                <w:rFonts w:ascii="Arial" w:hAnsi="Arial" w:cs="Arial"/>
              </w:rPr>
              <w:t>Provide support and reassurance.</w:t>
            </w:r>
          </w:p>
        </w:tc>
        <w:tc>
          <w:tcPr>
            <w:tcW w:w="7470" w:type="dxa"/>
            <w:tcBorders>
              <w:top w:val="single" w:sz="4" w:space="0" w:color="auto"/>
              <w:left w:val="single" w:sz="4" w:space="0" w:color="auto"/>
              <w:bottom w:val="single" w:sz="4" w:space="0" w:color="auto"/>
              <w:right w:val="single" w:sz="4" w:space="0" w:color="auto"/>
            </w:tcBorders>
            <w:hideMark/>
          </w:tcPr>
          <w:p w:rsidR="0071027C" w:rsidRPr="003A1FAF" w:rsidRDefault="0071027C" w:rsidP="00AA771C">
            <w:pPr>
              <w:autoSpaceDE w:val="0"/>
              <w:autoSpaceDN w:val="0"/>
              <w:adjustRightInd w:val="0"/>
              <w:spacing w:beforeLines="120" w:before="288" w:afterLines="120" w:after="288"/>
              <w:jc w:val="both"/>
              <w:rPr>
                <w:rFonts w:ascii="Arial" w:hAnsi="Arial" w:cs="Arial"/>
              </w:rPr>
            </w:pPr>
            <w:r w:rsidRPr="003A1FAF">
              <w:rPr>
                <w:rFonts w:ascii="Arial" w:hAnsi="Arial" w:cs="Arial"/>
              </w:rPr>
              <w:t>Emotional support during labour is important particularly for women living with HIV. Whenever possible, women living with HIV should have a companion of their choice present during labour (preferably companions aware of their HIV status).</w:t>
            </w:r>
          </w:p>
        </w:tc>
      </w:tr>
    </w:tbl>
    <w:p w:rsidR="0071027C" w:rsidRDefault="0071027C" w:rsidP="0071027C">
      <w:pPr>
        <w:pStyle w:val="Heading3"/>
      </w:pPr>
      <w:bookmarkStart w:id="512" w:name="_Toc374979688"/>
      <w:bookmarkStart w:id="513" w:name="_Toc378258200"/>
    </w:p>
    <w:p w:rsidR="0071027C" w:rsidRPr="003A1FAF" w:rsidRDefault="0071027C" w:rsidP="0071027C">
      <w:pPr>
        <w:pStyle w:val="Heading3"/>
      </w:pPr>
      <w:bookmarkStart w:id="514" w:name="_Toc382214059"/>
      <w:r w:rsidRPr="003A1FAF">
        <w:t>8.5.4 Special labour and delivery considerations</w:t>
      </w:r>
      <w:bookmarkEnd w:id="512"/>
      <w:bookmarkEnd w:id="513"/>
      <w:bookmarkEnd w:id="514"/>
    </w:p>
    <w:p w:rsidR="0071027C" w:rsidRPr="003A1FAF" w:rsidRDefault="0071027C" w:rsidP="0071027C">
      <w:pPr>
        <w:spacing w:before="120" w:after="120" w:line="240" w:lineRule="auto"/>
        <w:jc w:val="both"/>
        <w:rPr>
          <w:rFonts w:ascii="Arial" w:hAnsi="Arial" w:cs="Arial"/>
          <w:b/>
        </w:rPr>
      </w:pPr>
      <w:r w:rsidRPr="003A1FAF">
        <w:rPr>
          <w:rFonts w:ascii="Arial" w:hAnsi="Arial" w:cs="Arial"/>
          <w:b/>
        </w:rPr>
        <w:t>Obstetric care in the home delivery setting</w:t>
      </w:r>
    </w:p>
    <w:p w:rsidR="0071027C" w:rsidRPr="003A1FAF" w:rsidRDefault="0071027C" w:rsidP="0071027C">
      <w:pPr>
        <w:pStyle w:val="TZHeading3"/>
        <w:spacing w:before="120" w:after="120" w:line="240" w:lineRule="auto"/>
        <w:jc w:val="both"/>
        <w:rPr>
          <w:rFonts w:ascii="Arial" w:eastAsia="Times New Roman" w:hAnsi="Arial"/>
          <w:b w:val="0"/>
          <w:noProof w:val="0"/>
          <w:sz w:val="22"/>
        </w:rPr>
      </w:pPr>
      <w:r w:rsidRPr="003A1FAF">
        <w:rPr>
          <w:rFonts w:ascii="Arial" w:eastAsia="Times New Roman" w:hAnsi="Arial"/>
          <w:b w:val="0"/>
          <w:noProof w:val="0"/>
          <w:sz w:val="22"/>
        </w:rPr>
        <w:t>Healthcare workers should strongly encourage all women to give birth at facilities where skilled HCWs can address potential complications and provide specialized care to reduce the risk of MTCT. In the interest of women who choose to give birth at home, pregnant women and home birth attendants should be trained to deliver basic PMTCT interventions. All pregnant women benefit when home birth attendants are knowledgeable about the signs and symptoms of complications during birth and know when and how to refer women to healthcare facilities. Home birth attendants should receive information on:</w:t>
      </w:r>
    </w:p>
    <w:p w:rsidR="0071027C" w:rsidRPr="003A1FAF" w:rsidRDefault="0071027C" w:rsidP="00274941">
      <w:pPr>
        <w:pStyle w:val="TZHeading3"/>
        <w:numPr>
          <w:ilvl w:val="0"/>
          <w:numId w:val="57"/>
        </w:numPr>
        <w:spacing w:line="240" w:lineRule="auto"/>
        <w:jc w:val="both"/>
        <w:rPr>
          <w:rFonts w:ascii="Arial" w:eastAsia="Times New Roman" w:hAnsi="Arial"/>
          <w:b w:val="0"/>
          <w:noProof w:val="0"/>
          <w:sz w:val="22"/>
        </w:rPr>
      </w:pPr>
      <w:r w:rsidRPr="003A1FAF">
        <w:rPr>
          <w:rFonts w:ascii="Arial" w:eastAsia="Times New Roman" w:hAnsi="Arial"/>
          <w:b w:val="0"/>
          <w:noProof w:val="0"/>
          <w:sz w:val="22"/>
        </w:rPr>
        <w:t>How HIV is transmitted from mother to child</w:t>
      </w:r>
    </w:p>
    <w:p w:rsidR="0071027C" w:rsidRPr="003A1FAF" w:rsidRDefault="0071027C" w:rsidP="00274941">
      <w:pPr>
        <w:pStyle w:val="TZHeading3"/>
        <w:numPr>
          <w:ilvl w:val="0"/>
          <w:numId w:val="57"/>
        </w:numPr>
        <w:spacing w:line="240" w:lineRule="auto"/>
        <w:jc w:val="both"/>
        <w:rPr>
          <w:rFonts w:ascii="Arial" w:eastAsia="Times New Roman" w:hAnsi="Arial"/>
          <w:b w:val="0"/>
          <w:noProof w:val="0"/>
          <w:sz w:val="22"/>
        </w:rPr>
      </w:pPr>
      <w:r w:rsidRPr="003A1FAF">
        <w:rPr>
          <w:rFonts w:ascii="Arial" w:eastAsia="Times New Roman" w:hAnsi="Arial"/>
          <w:b w:val="0"/>
          <w:noProof w:val="0"/>
          <w:sz w:val="22"/>
        </w:rPr>
        <w:t>Risk factors for MTCT</w:t>
      </w:r>
    </w:p>
    <w:p w:rsidR="0071027C" w:rsidRPr="003A1FAF" w:rsidRDefault="0071027C" w:rsidP="00274941">
      <w:pPr>
        <w:pStyle w:val="TZHeading3"/>
        <w:numPr>
          <w:ilvl w:val="0"/>
          <w:numId w:val="57"/>
        </w:numPr>
        <w:spacing w:line="240" w:lineRule="auto"/>
        <w:jc w:val="both"/>
        <w:rPr>
          <w:rFonts w:ascii="Arial" w:eastAsia="Times New Roman" w:hAnsi="Arial"/>
          <w:b w:val="0"/>
          <w:noProof w:val="0"/>
          <w:sz w:val="22"/>
        </w:rPr>
      </w:pPr>
      <w:r w:rsidRPr="003A1FAF">
        <w:rPr>
          <w:rFonts w:ascii="Arial" w:eastAsia="Times New Roman" w:hAnsi="Arial"/>
          <w:b w:val="0"/>
          <w:noProof w:val="0"/>
          <w:sz w:val="22"/>
        </w:rPr>
        <w:t>Safer delivery practices to reduce the risk of MTCT</w:t>
      </w:r>
    </w:p>
    <w:p w:rsidR="0071027C" w:rsidRPr="003A1FAF" w:rsidRDefault="0071027C" w:rsidP="00274941">
      <w:pPr>
        <w:pStyle w:val="TZHeading3"/>
        <w:numPr>
          <w:ilvl w:val="0"/>
          <w:numId w:val="57"/>
        </w:numPr>
        <w:spacing w:line="240" w:lineRule="auto"/>
        <w:jc w:val="both"/>
        <w:rPr>
          <w:rFonts w:ascii="Arial" w:eastAsia="Times New Roman" w:hAnsi="Arial"/>
          <w:b w:val="0"/>
          <w:noProof w:val="0"/>
          <w:sz w:val="22"/>
        </w:rPr>
      </w:pPr>
      <w:r w:rsidRPr="003A1FAF">
        <w:rPr>
          <w:rFonts w:ascii="Arial" w:eastAsia="Times New Roman" w:hAnsi="Arial"/>
          <w:b w:val="0"/>
          <w:noProof w:val="0"/>
          <w:sz w:val="22"/>
        </w:rPr>
        <w:t>Standard Precautions</w:t>
      </w:r>
    </w:p>
    <w:p w:rsidR="0071027C" w:rsidRPr="00C203F3" w:rsidRDefault="0071027C" w:rsidP="0071027C">
      <w:pPr>
        <w:pStyle w:val="ListParagraph"/>
        <w:contextualSpacing w:val="0"/>
        <w:jc w:val="both"/>
        <w:rPr>
          <w:rFonts w:ascii="Arial Narrow" w:hAnsi="Arial Narrow" w:cs="Helvetica"/>
        </w:rPr>
      </w:pPr>
    </w:p>
    <w:p w:rsidR="0071027C" w:rsidRPr="00C203F3" w:rsidRDefault="00AA771C" w:rsidP="00AA771C">
      <w:pPr>
        <w:spacing w:beforeLines="120" w:before="288" w:afterLines="120" w:after="288"/>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95104" behindDoc="0" locked="0" layoutInCell="1" allowOverlap="1">
                <wp:simplePos x="0" y="0"/>
                <wp:positionH relativeFrom="column">
                  <wp:posOffset>70485</wp:posOffset>
                </wp:positionH>
                <wp:positionV relativeFrom="paragraph">
                  <wp:posOffset>80010</wp:posOffset>
                </wp:positionV>
                <wp:extent cx="5734685" cy="694055"/>
                <wp:effectExtent l="13335" t="13335" r="14605" b="16510"/>
                <wp:wrapNone/>
                <wp:docPr id="952"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694055"/>
                        </a:xfrm>
                        <a:prstGeom prst="rect">
                          <a:avLst/>
                        </a:prstGeom>
                        <a:solidFill>
                          <a:srgbClr val="FFFFFF"/>
                        </a:solidFill>
                        <a:ln w="15875">
                          <a:solidFill>
                            <a:srgbClr val="000000"/>
                          </a:solidFill>
                          <a:miter lim="800000"/>
                          <a:headEnd/>
                          <a:tailEnd/>
                        </a:ln>
                      </wps:spPr>
                      <wps:txbx>
                        <w:txbxContent>
                          <w:p w:rsidR="00B247C9" w:rsidRPr="003A1FAF" w:rsidRDefault="00B247C9" w:rsidP="0071027C">
                            <w:pPr>
                              <w:autoSpaceDE w:val="0"/>
                              <w:autoSpaceDN w:val="0"/>
                              <w:adjustRightInd w:val="0"/>
                              <w:spacing w:after="0" w:line="240" w:lineRule="auto"/>
                              <w:jc w:val="center"/>
                              <w:rPr>
                                <w:rFonts w:ascii="Arial" w:hAnsi="Arial" w:cs="Arial"/>
                                <w:b/>
                                <w:bCs/>
                              </w:rPr>
                            </w:pPr>
                            <w:r w:rsidRPr="003A1FAF">
                              <w:rPr>
                                <w:rFonts w:ascii="Arial" w:hAnsi="Arial" w:cs="Arial"/>
                                <w:b/>
                                <w:bCs/>
                              </w:rPr>
                              <w:t>Practice Point</w:t>
                            </w:r>
                          </w:p>
                          <w:p w:rsidR="00B247C9" w:rsidRPr="003A1FAF" w:rsidRDefault="00B247C9" w:rsidP="0071027C">
                            <w:pPr>
                              <w:autoSpaceDE w:val="0"/>
                              <w:autoSpaceDN w:val="0"/>
                              <w:adjustRightInd w:val="0"/>
                              <w:spacing w:after="0" w:line="240" w:lineRule="auto"/>
                              <w:rPr>
                                <w:rFonts w:ascii="Arial" w:hAnsi="Arial" w:cs="Arial"/>
                              </w:rPr>
                            </w:pPr>
                            <w:r w:rsidRPr="003A1FAF">
                              <w:rPr>
                                <w:rFonts w:ascii="Arial" w:hAnsi="Arial" w:cs="Arial"/>
                              </w:rPr>
                              <w:t>All infants delivered at home should be brought to the health facility as soon as possible after delivery for the infant prophylaxis regimen.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403" type="#_x0000_t202" style="position:absolute;left:0;text-align:left;margin-left:5.55pt;margin-top:6.3pt;width:451.55pt;height:5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" strokeweight="1.25pt">
                <v:textbox>
                  <w:txbxContent>
                    <w:p w:rsidR="00B247C9" w:rsidRPr="003A1FAF" w:rsidRDefault="00B247C9" w:rsidP="0071027C">
                      <w:pPr>
                        <w:autoSpaceDE w:val="0"/>
                        <w:autoSpaceDN w:val="0"/>
                        <w:adjustRightInd w:val="0"/>
                        <w:spacing w:after="0" w:line="240" w:lineRule="auto"/>
                        <w:jc w:val="center"/>
                        <w:rPr>
                          <w:rFonts w:ascii="Arial" w:hAnsi="Arial" w:cs="Arial"/>
                          <w:b/>
                          <w:bCs/>
                        </w:rPr>
                      </w:pPr>
                      <w:r w:rsidRPr="003A1FAF">
                        <w:rPr>
                          <w:rFonts w:ascii="Arial" w:hAnsi="Arial" w:cs="Arial"/>
                          <w:b/>
                          <w:bCs/>
                        </w:rPr>
                        <w:t>Practice Point</w:t>
                      </w:r>
                    </w:p>
                    <w:p w:rsidR="00B247C9" w:rsidRPr="003A1FAF" w:rsidRDefault="00B247C9" w:rsidP="0071027C">
                      <w:pPr>
                        <w:autoSpaceDE w:val="0"/>
                        <w:autoSpaceDN w:val="0"/>
                        <w:adjustRightInd w:val="0"/>
                        <w:spacing w:after="0" w:line="240" w:lineRule="auto"/>
                        <w:rPr>
                          <w:rFonts w:ascii="Arial" w:hAnsi="Arial" w:cs="Arial"/>
                        </w:rPr>
                      </w:pPr>
                      <w:r w:rsidRPr="003A1FAF">
                        <w:rPr>
                          <w:rFonts w:ascii="Arial" w:hAnsi="Arial" w:cs="Arial"/>
                        </w:rPr>
                        <w:t>All infants delivered at home should be brought to the health facility as soon as possible after delivery for the infant prophylaxis regimen.</w:t>
                      </w:r>
                    </w:p>
                  </w:txbxContent>
                </v:textbox>
              </v:shape>
            </w:pict>
          </mc:Fallback>
        </mc:AlternateContent>
      </w:r>
    </w:p>
    <w:p w:rsidR="0071027C" w:rsidRPr="00C203F3" w:rsidRDefault="0071027C" w:rsidP="00AA771C">
      <w:pPr>
        <w:spacing w:beforeLines="120" w:before="288" w:afterLines="120" w:after="288"/>
        <w:jc w:val="both"/>
        <w:rPr>
          <w:rFonts w:ascii="Arial Narrow" w:hAnsi="Arial Narrow"/>
          <w:sz w:val="24"/>
          <w:szCs w:val="24"/>
        </w:rPr>
      </w:pPr>
    </w:p>
    <w:p w:rsidR="0071027C" w:rsidRPr="003A1FAF" w:rsidRDefault="0071027C" w:rsidP="0071027C">
      <w:pPr>
        <w:spacing w:after="0" w:line="240" w:lineRule="auto"/>
        <w:jc w:val="both"/>
        <w:rPr>
          <w:rFonts w:ascii="Arial" w:hAnsi="Arial" w:cs="Arial"/>
          <w:b/>
        </w:rPr>
      </w:pPr>
      <w:r w:rsidRPr="003A1FAF">
        <w:rPr>
          <w:rFonts w:ascii="Arial" w:hAnsi="Arial" w:cs="Arial"/>
          <w:b/>
        </w:rPr>
        <w:t>Mode of delivery</w:t>
      </w:r>
    </w:p>
    <w:p w:rsidR="0071027C" w:rsidRPr="003A1FAF" w:rsidRDefault="0071027C" w:rsidP="0071027C">
      <w:pPr>
        <w:pStyle w:val="TZHeading3"/>
        <w:spacing w:before="120" w:after="120" w:line="240" w:lineRule="auto"/>
        <w:jc w:val="both"/>
        <w:rPr>
          <w:rFonts w:ascii="Arial" w:eastAsia="Times New Roman" w:hAnsi="Arial"/>
          <w:b w:val="0"/>
          <w:noProof w:val="0"/>
          <w:sz w:val="22"/>
        </w:rPr>
      </w:pPr>
      <w:r w:rsidRPr="003A1FAF">
        <w:rPr>
          <w:rFonts w:ascii="Arial" w:eastAsia="Times New Roman" w:hAnsi="Arial"/>
          <w:b w:val="0"/>
          <w:noProof w:val="0"/>
          <w:sz w:val="22"/>
        </w:rPr>
        <w:t>Caesarean section performed before the onset of labour or membrane rupture has been associated with reduced MTCT in circumstances where maternal viral load is high. However, in Tanzania, the capacity to perform caesarean sections to reduce MTCT is low; therefore this operation is not regularly performed. With effective use of ART, Caesarean section is not indicated.</w:t>
      </w:r>
    </w:p>
    <w:p w:rsidR="0071027C" w:rsidRPr="00C203F3" w:rsidRDefault="00AA771C" w:rsidP="00AA771C">
      <w:pPr>
        <w:spacing w:beforeLines="120" w:before="288" w:afterLines="120" w:after="288"/>
        <w:jc w:val="both"/>
        <w:rPr>
          <w:rFonts w:ascii="Arial Narrow" w:hAnsi="Arial Narrow" w:cs="Helvetica"/>
          <w:sz w:val="24"/>
          <w:szCs w:val="24"/>
        </w:rPr>
      </w:pPr>
      <w:r>
        <w:rPr>
          <w:rFonts w:ascii="Arial Narrow" w:hAnsi="Arial Narrow"/>
          <w:noProof/>
          <w:sz w:val="24"/>
          <w:szCs w:val="24"/>
        </w:rPr>
        <mc:AlternateContent>
          <mc:Choice Requires="wps">
            <w:drawing>
              <wp:anchor distT="0" distB="0" distL="114300" distR="114300" simplePos="0" relativeHeight="251696128" behindDoc="0" locked="0" layoutInCell="1" allowOverlap="1">
                <wp:simplePos x="0" y="0"/>
                <wp:positionH relativeFrom="column">
                  <wp:posOffset>70485</wp:posOffset>
                </wp:positionH>
                <wp:positionV relativeFrom="paragraph">
                  <wp:posOffset>150495</wp:posOffset>
                </wp:positionV>
                <wp:extent cx="5671185" cy="720725"/>
                <wp:effectExtent l="13335" t="17145" r="11430" b="14605"/>
                <wp:wrapNone/>
                <wp:docPr id="951"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185" cy="720725"/>
                        </a:xfrm>
                        <a:prstGeom prst="rect">
                          <a:avLst/>
                        </a:prstGeom>
                        <a:solidFill>
                          <a:srgbClr val="FFFFFF"/>
                        </a:solidFill>
                        <a:ln w="15875">
                          <a:solidFill>
                            <a:srgbClr val="000000"/>
                          </a:solidFill>
                          <a:miter lim="800000"/>
                          <a:headEnd/>
                          <a:tailEnd/>
                        </a:ln>
                      </wps:spPr>
                      <wps:txbx>
                        <w:txbxContent>
                          <w:p w:rsidR="00B247C9" w:rsidRPr="003A1FAF" w:rsidRDefault="00B247C9" w:rsidP="0071027C">
                            <w:pPr>
                              <w:autoSpaceDE w:val="0"/>
                              <w:autoSpaceDN w:val="0"/>
                              <w:adjustRightInd w:val="0"/>
                              <w:spacing w:after="0" w:line="240" w:lineRule="auto"/>
                              <w:jc w:val="center"/>
                              <w:rPr>
                                <w:rFonts w:ascii="Arial" w:hAnsi="Arial" w:cs="Arial"/>
                                <w:b/>
                                <w:bCs/>
                              </w:rPr>
                            </w:pPr>
                            <w:r w:rsidRPr="003A1FAF">
                              <w:rPr>
                                <w:rFonts w:ascii="Arial" w:hAnsi="Arial" w:cs="Arial"/>
                                <w:b/>
                                <w:bCs/>
                              </w:rPr>
                              <w:t>Practice Point</w:t>
                            </w:r>
                          </w:p>
                          <w:p w:rsidR="00B247C9" w:rsidRPr="003A1FAF" w:rsidRDefault="00B247C9" w:rsidP="0071027C">
                            <w:pPr>
                              <w:autoSpaceDE w:val="0"/>
                              <w:autoSpaceDN w:val="0"/>
                              <w:adjustRightInd w:val="0"/>
                              <w:spacing w:after="0" w:line="240" w:lineRule="auto"/>
                              <w:rPr>
                                <w:rFonts w:ascii="Arial" w:hAnsi="Arial" w:cs="Arial"/>
                              </w:rPr>
                            </w:pPr>
                            <w:r w:rsidRPr="003A1FAF">
                              <w:rPr>
                                <w:rFonts w:ascii="Arial" w:hAnsi="Arial" w:cs="Arial"/>
                              </w:rPr>
                              <w:t>Caesarean section is indicated only for obstetric reasons; it is not recommended for the purpose of reducing MTCT in Tanzania.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404" type="#_x0000_t202" style="position:absolute;left:0;text-align:left;margin-left:5.55pt;margin-top:11.85pt;width:446.55pt;height:5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" strokeweight="1.25pt">
                <v:textbox>
                  <w:txbxContent>
                    <w:p w:rsidR="00B247C9" w:rsidRPr="003A1FAF" w:rsidRDefault="00B247C9" w:rsidP="0071027C">
                      <w:pPr>
                        <w:autoSpaceDE w:val="0"/>
                        <w:autoSpaceDN w:val="0"/>
                        <w:adjustRightInd w:val="0"/>
                        <w:spacing w:after="0" w:line="240" w:lineRule="auto"/>
                        <w:jc w:val="center"/>
                        <w:rPr>
                          <w:rFonts w:ascii="Arial" w:hAnsi="Arial" w:cs="Arial"/>
                          <w:b/>
                          <w:bCs/>
                        </w:rPr>
                      </w:pPr>
                      <w:r w:rsidRPr="003A1FAF">
                        <w:rPr>
                          <w:rFonts w:ascii="Arial" w:hAnsi="Arial" w:cs="Arial"/>
                          <w:b/>
                          <w:bCs/>
                        </w:rPr>
                        <w:t>Practice Point</w:t>
                      </w:r>
                    </w:p>
                    <w:p w:rsidR="00B247C9" w:rsidRPr="003A1FAF" w:rsidRDefault="00B247C9" w:rsidP="0071027C">
                      <w:pPr>
                        <w:autoSpaceDE w:val="0"/>
                        <w:autoSpaceDN w:val="0"/>
                        <w:adjustRightInd w:val="0"/>
                        <w:spacing w:after="0" w:line="240" w:lineRule="auto"/>
                        <w:rPr>
                          <w:rFonts w:ascii="Arial" w:hAnsi="Arial" w:cs="Arial"/>
                        </w:rPr>
                      </w:pPr>
                      <w:r w:rsidRPr="003A1FAF">
                        <w:rPr>
                          <w:rFonts w:ascii="Arial" w:hAnsi="Arial" w:cs="Arial"/>
                        </w:rPr>
                        <w:t>Caesarean section is indicated only for obstetric reasons; it is not recommended for the purpose of reducing MTCT in Tanzania.</w:t>
                      </w:r>
                    </w:p>
                  </w:txbxContent>
                </v:textbox>
              </v:shape>
            </w:pict>
          </mc:Fallback>
        </mc:AlternateContent>
      </w:r>
    </w:p>
    <w:p w:rsidR="0071027C" w:rsidRPr="00C203F3" w:rsidRDefault="0071027C" w:rsidP="00AA771C">
      <w:pPr>
        <w:spacing w:beforeLines="120" w:before="288" w:afterLines="120" w:after="288"/>
        <w:jc w:val="both"/>
        <w:rPr>
          <w:rFonts w:ascii="Arial Narrow" w:hAnsi="Arial Narrow"/>
          <w:sz w:val="24"/>
          <w:szCs w:val="24"/>
        </w:rPr>
      </w:pPr>
    </w:p>
    <w:p w:rsidR="0071027C" w:rsidRPr="00C203F3" w:rsidRDefault="0071027C" w:rsidP="00AA771C">
      <w:pPr>
        <w:spacing w:beforeLines="120" w:before="288" w:afterLines="120" w:after="288"/>
        <w:jc w:val="both"/>
        <w:rPr>
          <w:rFonts w:ascii="Arial Narrow" w:hAnsi="Arial Narrow"/>
          <w:sz w:val="24"/>
          <w:szCs w:val="24"/>
        </w:rPr>
      </w:pPr>
    </w:p>
    <w:p w:rsidR="0071027C" w:rsidRPr="003A1FAF" w:rsidRDefault="0071027C" w:rsidP="0071027C">
      <w:pPr>
        <w:pStyle w:val="Heading3"/>
      </w:pPr>
      <w:bookmarkStart w:id="515" w:name="_Toc374979689"/>
      <w:bookmarkStart w:id="516" w:name="_Toc378258201"/>
      <w:bookmarkStart w:id="517" w:name="_Toc382214060"/>
      <w:r w:rsidRPr="003A1FAF">
        <w:t>8.5.5. Care after a spontaneous abortion (miscarriage)</w:t>
      </w:r>
      <w:bookmarkEnd w:id="515"/>
      <w:bookmarkEnd w:id="516"/>
      <w:bookmarkEnd w:id="517"/>
    </w:p>
    <w:p w:rsidR="0071027C" w:rsidRPr="003A1FAF" w:rsidRDefault="0071027C" w:rsidP="00AA771C">
      <w:pPr>
        <w:autoSpaceDE w:val="0"/>
        <w:autoSpaceDN w:val="0"/>
        <w:adjustRightInd w:val="0"/>
        <w:spacing w:beforeLines="120" w:before="288" w:afterLines="120" w:after="288"/>
        <w:jc w:val="both"/>
        <w:rPr>
          <w:rFonts w:ascii="Arial" w:eastAsia="Times New Roman" w:hAnsi="Arial" w:cs="Arial"/>
          <w:lang w:val="en-GB"/>
        </w:rPr>
      </w:pPr>
      <w:r w:rsidRPr="003A1FAF">
        <w:rPr>
          <w:rFonts w:ascii="Arial" w:eastAsia="Times New Roman" w:hAnsi="Arial" w:cs="Arial"/>
          <w:lang w:val="en-GB"/>
        </w:rPr>
        <w:t>Women living with HIV who are symptomatic may be at higher risk of spontaneous abortion (miscarriage). In some cases, the HIV status of the woman may be unknown. For women who have a spontaneous abortion, HCWs should:</w:t>
      </w:r>
    </w:p>
    <w:p w:rsidR="0071027C" w:rsidRPr="003A1FAF" w:rsidRDefault="0071027C" w:rsidP="00274941">
      <w:pPr>
        <w:pStyle w:val="TZHeading3"/>
        <w:numPr>
          <w:ilvl w:val="0"/>
          <w:numId w:val="57"/>
        </w:numPr>
        <w:spacing w:line="240" w:lineRule="auto"/>
        <w:jc w:val="both"/>
        <w:rPr>
          <w:rFonts w:ascii="Arial" w:eastAsia="Times New Roman" w:hAnsi="Arial"/>
          <w:b w:val="0"/>
          <w:noProof w:val="0"/>
          <w:sz w:val="22"/>
        </w:rPr>
      </w:pPr>
      <w:r w:rsidRPr="003A1FAF">
        <w:rPr>
          <w:rFonts w:ascii="Arial" w:eastAsia="Times New Roman" w:hAnsi="Arial"/>
          <w:b w:val="0"/>
          <w:noProof w:val="0"/>
          <w:sz w:val="22"/>
        </w:rPr>
        <w:t>Provide HIV testing and counselling, if not tested.</w:t>
      </w:r>
    </w:p>
    <w:p w:rsidR="0071027C" w:rsidRPr="003A1FAF" w:rsidRDefault="0071027C" w:rsidP="00274941">
      <w:pPr>
        <w:pStyle w:val="TZHeading3"/>
        <w:numPr>
          <w:ilvl w:val="0"/>
          <w:numId w:val="57"/>
        </w:numPr>
        <w:spacing w:line="240" w:lineRule="auto"/>
        <w:jc w:val="both"/>
        <w:rPr>
          <w:rFonts w:ascii="Arial" w:eastAsia="Times New Roman" w:hAnsi="Arial"/>
          <w:b w:val="0"/>
          <w:noProof w:val="0"/>
          <w:sz w:val="22"/>
        </w:rPr>
      </w:pPr>
      <w:r w:rsidRPr="003A1FAF">
        <w:rPr>
          <w:rFonts w:ascii="Arial" w:eastAsia="Times New Roman" w:hAnsi="Arial"/>
          <w:b w:val="0"/>
          <w:noProof w:val="0"/>
          <w:sz w:val="22"/>
        </w:rPr>
        <w:t>Assess for signs and symptoms of HIV infection</w:t>
      </w:r>
    </w:p>
    <w:p w:rsidR="0071027C" w:rsidRPr="003A1FAF" w:rsidRDefault="0071027C" w:rsidP="00274941">
      <w:pPr>
        <w:pStyle w:val="TZHeading3"/>
        <w:numPr>
          <w:ilvl w:val="0"/>
          <w:numId w:val="57"/>
        </w:numPr>
        <w:spacing w:line="240" w:lineRule="auto"/>
        <w:jc w:val="both"/>
        <w:rPr>
          <w:rFonts w:ascii="Arial" w:eastAsia="Times New Roman" w:hAnsi="Arial"/>
          <w:b w:val="0"/>
          <w:noProof w:val="0"/>
          <w:sz w:val="22"/>
        </w:rPr>
      </w:pPr>
      <w:r w:rsidRPr="003A1FAF">
        <w:rPr>
          <w:rFonts w:ascii="Arial" w:eastAsia="Times New Roman" w:hAnsi="Arial"/>
          <w:b w:val="0"/>
          <w:noProof w:val="0"/>
          <w:sz w:val="22"/>
        </w:rPr>
        <w:t>Consider the use of antibiotics after uterine evacuation</w:t>
      </w:r>
    </w:p>
    <w:p w:rsidR="0071027C" w:rsidRPr="003A1FAF" w:rsidRDefault="0071027C" w:rsidP="00274941">
      <w:pPr>
        <w:pStyle w:val="TZHeading3"/>
        <w:numPr>
          <w:ilvl w:val="0"/>
          <w:numId w:val="57"/>
        </w:numPr>
        <w:spacing w:line="240" w:lineRule="auto"/>
        <w:jc w:val="both"/>
        <w:rPr>
          <w:rFonts w:ascii="Arial" w:eastAsia="Times New Roman" w:hAnsi="Arial"/>
          <w:b w:val="0"/>
          <w:noProof w:val="0"/>
          <w:sz w:val="22"/>
        </w:rPr>
      </w:pPr>
      <w:r w:rsidRPr="003A1FAF">
        <w:rPr>
          <w:rFonts w:ascii="Arial" w:eastAsia="Times New Roman" w:hAnsi="Arial"/>
          <w:b w:val="0"/>
          <w:noProof w:val="0"/>
          <w:sz w:val="22"/>
        </w:rPr>
        <w:t>Conduct family planning counselling</w:t>
      </w:r>
    </w:p>
    <w:p w:rsidR="0071027C" w:rsidRPr="003A1FAF" w:rsidRDefault="0071027C" w:rsidP="0071027C">
      <w:pPr>
        <w:pStyle w:val="Heading3"/>
      </w:pPr>
      <w:bookmarkStart w:id="518" w:name="_Toc374979690"/>
      <w:bookmarkStart w:id="519" w:name="_Toc378258202"/>
      <w:bookmarkStart w:id="520" w:name="_Toc382214061"/>
      <w:r w:rsidRPr="003A1FAF">
        <w:t>8.5.6. Immediate post-delivery care of HIV-exposed infants</w:t>
      </w:r>
      <w:bookmarkEnd w:id="518"/>
      <w:bookmarkEnd w:id="519"/>
      <w:bookmarkEnd w:id="520"/>
    </w:p>
    <w:p w:rsidR="0071027C" w:rsidRPr="003A1FAF" w:rsidRDefault="0071027C" w:rsidP="00AA771C">
      <w:pPr>
        <w:autoSpaceDE w:val="0"/>
        <w:autoSpaceDN w:val="0"/>
        <w:adjustRightInd w:val="0"/>
        <w:spacing w:beforeLines="120" w:before="288" w:afterLines="120" w:after="288"/>
        <w:jc w:val="both"/>
        <w:rPr>
          <w:rFonts w:ascii="Arial" w:eastAsia="Times New Roman" w:hAnsi="Arial" w:cs="Arial"/>
          <w:lang w:val="en-GB"/>
        </w:rPr>
      </w:pPr>
      <w:r w:rsidRPr="003A1FAF">
        <w:rPr>
          <w:rFonts w:ascii="Arial" w:eastAsia="Times New Roman" w:hAnsi="Arial" w:cs="Arial"/>
          <w:lang w:val="en-GB"/>
        </w:rPr>
        <w:t>Regardless of the mother’s HIV status, all infants should be kept warm after birth and dried carefully. Infants should be handled with gloved hands until maternal blood and secretions have been washed off. In caring for new-borns, HCWs should observe Standard Precautions.</w:t>
      </w:r>
    </w:p>
    <w:p w:rsidR="0071027C" w:rsidRPr="003A1FAF" w:rsidRDefault="0071027C" w:rsidP="00AA771C">
      <w:pPr>
        <w:spacing w:beforeLines="120" w:before="288" w:afterLines="120" w:after="288"/>
        <w:jc w:val="both"/>
        <w:rPr>
          <w:rFonts w:ascii="Arial" w:hAnsi="Arial" w:cs="Arial"/>
          <w:b/>
        </w:rPr>
      </w:pPr>
      <w:r w:rsidRPr="003A1FAF">
        <w:rPr>
          <w:rFonts w:ascii="Arial" w:hAnsi="Arial" w:cs="Arial"/>
          <w:b/>
        </w:rPr>
        <w:t>Exposed infant discovered post delivery</w:t>
      </w:r>
    </w:p>
    <w:p w:rsidR="0071027C" w:rsidRPr="003A1FAF" w:rsidRDefault="0071027C" w:rsidP="00AA771C">
      <w:pPr>
        <w:autoSpaceDE w:val="0"/>
        <w:autoSpaceDN w:val="0"/>
        <w:adjustRightInd w:val="0"/>
        <w:spacing w:beforeLines="120" w:before="288" w:afterLines="120" w:after="288"/>
        <w:jc w:val="both"/>
        <w:rPr>
          <w:rFonts w:ascii="Arial" w:eastAsia="Times New Roman" w:hAnsi="Arial" w:cs="Arial"/>
          <w:lang w:val="en-GB"/>
        </w:rPr>
      </w:pPr>
      <w:r w:rsidRPr="003A1FAF">
        <w:rPr>
          <w:rFonts w:ascii="Arial" w:eastAsia="Times New Roman" w:hAnsi="Arial" w:cs="Arial"/>
          <w:lang w:val="en-GB"/>
        </w:rPr>
        <w:t>Administer NVP syrup immediately after birth and continue at appropriate dose until six weeks of age.</w:t>
      </w:r>
    </w:p>
    <w:p w:rsidR="0071027C" w:rsidRPr="003A1FAF" w:rsidRDefault="0071027C" w:rsidP="00274941">
      <w:pPr>
        <w:pStyle w:val="TZHeading3"/>
        <w:numPr>
          <w:ilvl w:val="0"/>
          <w:numId w:val="57"/>
        </w:numPr>
        <w:spacing w:line="240" w:lineRule="auto"/>
        <w:jc w:val="both"/>
        <w:rPr>
          <w:rFonts w:ascii="Arial" w:eastAsia="Times New Roman" w:hAnsi="Arial"/>
          <w:b w:val="0"/>
          <w:noProof w:val="0"/>
          <w:sz w:val="22"/>
        </w:rPr>
      </w:pPr>
      <w:r w:rsidRPr="003A1FAF">
        <w:rPr>
          <w:rFonts w:ascii="Arial" w:eastAsia="Times New Roman" w:hAnsi="Arial"/>
          <w:b w:val="0"/>
          <w:noProof w:val="0"/>
          <w:sz w:val="22"/>
        </w:rPr>
        <w:t>Infant prophylaxis is most effective when given as soon as possible after birth –preferably within 6 to 12 hours.</w:t>
      </w:r>
    </w:p>
    <w:p w:rsidR="0071027C" w:rsidRDefault="0071027C" w:rsidP="00274941">
      <w:pPr>
        <w:pStyle w:val="TZHeading3"/>
        <w:numPr>
          <w:ilvl w:val="0"/>
          <w:numId w:val="57"/>
        </w:numPr>
        <w:spacing w:line="240" w:lineRule="auto"/>
        <w:jc w:val="both"/>
        <w:rPr>
          <w:rFonts w:ascii="Arial" w:eastAsia="Times New Roman" w:hAnsi="Arial"/>
          <w:b w:val="0"/>
          <w:noProof w:val="0"/>
          <w:sz w:val="22"/>
        </w:rPr>
      </w:pPr>
      <w:r w:rsidRPr="003A1FAF">
        <w:rPr>
          <w:rFonts w:ascii="Arial" w:eastAsia="Times New Roman" w:hAnsi="Arial"/>
          <w:b w:val="0"/>
          <w:noProof w:val="0"/>
          <w:sz w:val="22"/>
        </w:rPr>
        <w:t>However, NVP syrup may be started between birth and four weeks of age for infants who present late. NVP prophylaxis should stop when the infant is six weeks of age, even if started late.</w:t>
      </w:r>
    </w:p>
    <w:p w:rsidR="0071027C" w:rsidRPr="003A1FAF" w:rsidRDefault="0071027C" w:rsidP="0071027C">
      <w:pPr>
        <w:pStyle w:val="TZHeading3"/>
        <w:spacing w:line="240" w:lineRule="auto"/>
        <w:ind w:left="720"/>
        <w:jc w:val="both"/>
        <w:rPr>
          <w:rFonts w:ascii="Arial" w:eastAsia="Times New Roman" w:hAnsi="Arial"/>
          <w:b w:val="0"/>
          <w:noProof w:val="0"/>
          <w:sz w:val="22"/>
        </w:rPr>
      </w:pPr>
    </w:p>
    <w:p w:rsidR="0071027C" w:rsidRDefault="00AA771C" w:rsidP="00AA771C">
      <w:pPr>
        <w:spacing w:beforeLines="120" w:before="288" w:afterLines="120" w:after="288"/>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97152" behindDoc="0" locked="0" layoutInCell="1" allowOverlap="1">
                <wp:simplePos x="0" y="0"/>
                <wp:positionH relativeFrom="column">
                  <wp:posOffset>34925</wp:posOffset>
                </wp:positionH>
                <wp:positionV relativeFrom="paragraph">
                  <wp:posOffset>56515</wp:posOffset>
                </wp:positionV>
                <wp:extent cx="5205095" cy="896620"/>
                <wp:effectExtent l="15875" t="8890" r="8255" b="8890"/>
                <wp:wrapNone/>
                <wp:docPr id="95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095" cy="896620"/>
                        </a:xfrm>
                        <a:prstGeom prst="rect">
                          <a:avLst/>
                        </a:prstGeom>
                        <a:solidFill>
                          <a:srgbClr val="FFFFFF"/>
                        </a:solidFill>
                        <a:ln w="15875">
                          <a:solidFill>
                            <a:srgbClr val="000000"/>
                          </a:solidFill>
                          <a:miter lim="800000"/>
                          <a:headEnd/>
                          <a:tailEnd/>
                        </a:ln>
                      </wps:spPr>
                      <wps:txbx>
                        <w:txbxContent>
                          <w:p w:rsidR="00B247C9" w:rsidRPr="003A1FAF" w:rsidRDefault="00B247C9" w:rsidP="0071027C">
                            <w:pPr>
                              <w:autoSpaceDE w:val="0"/>
                              <w:autoSpaceDN w:val="0"/>
                              <w:adjustRightInd w:val="0"/>
                              <w:spacing w:after="0" w:line="240" w:lineRule="auto"/>
                              <w:jc w:val="center"/>
                              <w:rPr>
                                <w:rFonts w:ascii="Arial" w:hAnsi="Arial" w:cs="Arial"/>
                                <w:b/>
                                <w:bCs/>
                              </w:rPr>
                            </w:pPr>
                            <w:r w:rsidRPr="003A1FAF">
                              <w:rPr>
                                <w:rFonts w:ascii="Arial" w:hAnsi="Arial" w:cs="Arial"/>
                                <w:b/>
                                <w:bCs/>
                              </w:rPr>
                              <w:t>Practice Point</w:t>
                            </w:r>
                          </w:p>
                          <w:p w:rsidR="00B247C9" w:rsidRPr="003A1FAF" w:rsidRDefault="00B247C9" w:rsidP="0071027C">
                            <w:pPr>
                              <w:autoSpaceDE w:val="0"/>
                              <w:autoSpaceDN w:val="0"/>
                              <w:adjustRightInd w:val="0"/>
                              <w:spacing w:after="0" w:line="240" w:lineRule="auto"/>
                              <w:rPr>
                                <w:rFonts w:ascii="Arial" w:hAnsi="Arial" w:cs="Arial"/>
                              </w:rPr>
                            </w:pPr>
                            <w:r w:rsidRPr="003A1FAF">
                              <w:rPr>
                                <w:rFonts w:ascii="Arial" w:hAnsi="Arial" w:cs="Arial"/>
                              </w:rPr>
                              <w:t xml:space="preserve">Infants who are diagnosed with HIV infection should initiate ART by a trained clinician at CTC or RCH. See </w:t>
                            </w:r>
                            <w:r w:rsidRPr="003A1FAF">
                              <w:rPr>
                                <w:rFonts w:ascii="Arial" w:hAnsi="Arial" w:cs="Arial"/>
                                <w:i/>
                                <w:iCs/>
                              </w:rPr>
                              <w:t xml:space="preserve">Chapter 7: Care and support of HIV-exposed and HIV infected infants and children </w:t>
                            </w:r>
                            <w:r w:rsidRPr="003A1FAF">
                              <w:rPr>
                                <w:rFonts w:ascii="Arial" w:hAnsi="Arial" w:cs="Arial"/>
                              </w:rPr>
                              <w:t>for additional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405" type="#_x0000_t202" style="position:absolute;left:0;text-align:left;margin-left:2.75pt;margin-top:4.45pt;width:409.85pt;height:70.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" strokeweight="1.25pt">
                <v:textbox>
                  <w:txbxContent>
                    <w:p w:rsidR="00B247C9" w:rsidRPr="003A1FAF" w:rsidRDefault="00B247C9" w:rsidP="0071027C">
                      <w:pPr>
                        <w:autoSpaceDE w:val="0"/>
                        <w:autoSpaceDN w:val="0"/>
                        <w:adjustRightInd w:val="0"/>
                        <w:spacing w:after="0" w:line="240" w:lineRule="auto"/>
                        <w:jc w:val="center"/>
                        <w:rPr>
                          <w:rFonts w:ascii="Arial" w:hAnsi="Arial" w:cs="Arial"/>
                          <w:b/>
                          <w:bCs/>
                        </w:rPr>
                      </w:pPr>
                      <w:r w:rsidRPr="003A1FAF">
                        <w:rPr>
                          <w:rFonts w:ascii="Arial" w:hAnsi="Arial" w:cs="Arial"/>
                          <w:b/>
                          <w:bCs/>
                        </w:rPr>
                        <w:t>Practice Point</w:t>
                      </w:r>
                    </w:p>
                    <w:p w:rsidR="00B247C9" w:rsidRPr="003A1FAF" w:rsidRDefault="00B247C9" w:rsidP="0071027C">
                      <w:pPr>
                        <w:autoSpaceDE w:val="0"/>
                        <w:autoSpaceDN w:val="0"/>
                        <w:adjustRightInd w:val="0"/>
                        <w:spacing w:after="0" w:line="240" w:lineRule="auto"/>
                        <w:rPr>
                          <w:rFonts w:ascii="Arial" w:hAnsi="Arial" w:cs="Arial"/>
                        </w:rPr>
                      </w:pPr>
                      <w:r w:rsidRPr="003A1FAF">
                        <w:rPr>
                          <w:rFonts w:ascii="Arial" w:hAnsi="Arial" w:cs="Arial"/>
                        </w:rPr>
                        <w:t xml:space="preserve">Infants who are diagnosed with HIV infection should initiate ART by a trained clinician at CTC or RCH. See </w:t>
                      </w:r>
                      <w:r w:rsidRPr="003A1FAF">
                        <w:rPr>
                          <w:rFonts w:ascii="Arial" w:hAnsi="Arial" w:cs="Arial"/>
                          <w:i/>
                          <w:iCs/>
                        </w:rPr>
                        <w:t xml:space="preserve">Chapter 7: Care and support of HIV-exposed and HIV infected infants and children </w:t>
                      </w:r>
                      <w:r w:rsidRPr="003A1FAF">
                        <w:rPr>
                          <w:rFonts w:ascii="Arial" w:hAnsi="Arial" w:cs="Arial"/>
                        </w:rPr>
                        <w:t>for additional information.</w:t>
                      </w:r>
                    </w:p>
                  </w:txbxContent>
                </v:textbox>
              </v:shape>
            </w:pict>
          </mc:Fallback>
        </mc:AlternateContent>
      </w:r>
    </w:p>
    <w:p w:rsidR="0071027C" w:rsidRDefault="0071027C" w:rsidP="00AA771C">
      <w:pPr>
        <w:spacing w:beforeLines="120" w:before="288" w:afterLines="120" w:after="288"/>
        <w:jc w:val="both"/>
        <w:rPr>
          <w:rFonts w:ascii="Arial Narrow" w:hAnsi="Arial Narrow"/>
          <w:b/>
          <w:sz w:val="24"/>
          <w:szCs w:val="24"/>
        </w:rPr>
      </w:pPr>
    </w:p>
    <w:p w:rsidR="0071027C" w:rsidRDefault="0071027C" w:rsidP="00AA771C">
      <w:pPr>
        <w:spacing w:beforeLines="120" w:before="288" w:afterLines="120" w:after="288"/>
        <w:jc w:val="both"/>
        <w:rPr>
          <w:rFonts w:ascii="Arial Narrow" w:hAnsi="Arial Narrow"/>
          <w:b/>
          <w:sz w:val="24"/>
          <w:szCs w:val="24"/>
        </w:rPr>
      </w:pPr>
    </w:p>
    <w:p w:rsidR="0071027C" w:rsidRPr="003A1FAF" w:rsidRDefault="0071027C" w:rsidP="00AA771C">
      <w:pPr>
        <w:spacing w:beforeLines="120" w:before="288" w:afterLines="120" w:after="288"/>
        <w:jc w:val="both"/>
        <w:rPr>
          <w:rFonts w:ascii="Arial" w:hAnsi="Arial" w:cs="Arial"/>
          <w:b/>
        </w:rPr>
      </w:pPr>
      <w:r w:rsidRPr="003A1FAF">
        <w:rPr>
          <w:rFonts w:ascii="Arial" w:hAnsi="Arial" w:cs="Arial"/>
          <w:b/>
        </w:rPr>
        <w:t>Safer delivery practices for infants</w:t>
      </w:r>
    </w:p>
    <w:p w:rsidR="0071027C" w:rsidRPr="003A1FAF" w:rsidRDefault="0071027C" w:rsidP="00AA771C">
      <w:pPr>
        <w:autoSpaceDE w:val="0"/>
        <w:autoSpaceDN w:val="0"/>
        <w:adjustRightInd w:val="0"/>
        <w:spacing w:beforeLines="120" w:before="288" w:afterLines="120" w:after="288"/>
        <w:jc w:val="both"/>
        <w:rPr>
          <w:rFonts w:ascii="Arial" w:eastAsia="Times New Roman" w:hAnsi="Arial" w:cs="Arial"/>
          <w:lang w:val="en-GB"/>
        </w:rPr>
      </w:pPr>
      <w:r w:rsidRPr="003A1FAF">
        <w:rPr>
          <w:rFonts w:ascii="Arial" w:eastAsia="Times New Roman" w:hAnsi="Arial" w:cs="Arial"/>
          <w:lang w:val="en-GB"/>
        </w:rPr>
        <w:t>The goal of safer delivery practices for HIV-exposed infants is to minimize trauma to the newborn and reduce the time that the newborn is exposed to the mother’s blood and body secretions.</w:t>
      </w:r>
    </w:p>
    <w:p w:rsidR="0071027C" w:rsidRPr="00C203F3" w:rsidRDefault="00AA771C" w:rsidP="00AA771C">
      <w:pPr>
        <w:spacing w:beforeLines="120" w:before="288" w:afterLines="120" w:after="288"/>
        <w:jc w:val="both"/>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98176" behindDoc="0" locked="0" layoutInCell="1" allowOverlap="1">
                <wp:simplePos x="0" y="0"/>
                <wp:positionH relativeFrom="column">
                  <wp:posOffset>81280</wp:posOffset>
                </wp:positionH>
                <wp:positionV relativeFrom="paragraph">
                  <wp:posOffset>151130</wp:posOffset>
                </wp:positionV>
                <wp:extent cx="5794375" cy="3398520"/>
                <wp:effectExtent l="14605" t="8255" r="10795" b="12700"/>
                <wp:wrapNone/>
                <wp:docPr id="949"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3398520"/>
                        </a:xfrm>
                        <a:prstGeom prst="rect">
                          <a:avLst/>
                        </a:prstGeom>
                        <a:solidFill>
                          <a:srgbClr val="FFFFFF"/>
                        </a:solidFill>
                        <a:ln w="15875">
                          <a:solidFill>
                            <a:srgbClr val="000000"/>
                          </a:solidFill>
                          <a:miter lim="800000"/>
                          <a:headEnd/>
                          <a:tailEnd/>
                        </a:ln>
                      </wps:spPr>
                      <wps:txbx>
                        <w:txbxContent>
                          <w:p w:rsidR="00B247C9" w:rsidRPr="003A1FAF" w:rsidRDefault="00B247C9" w:rsidP="0071027C">
                            <w:pPr>
                              <w:autoSpaceDE w:val="0"/>
                              <w:autoSpaceDN w:val="0"/>
                              <w:adjustRightInd w:val="0"/>
                              <w:spacing w:after="0" w:line="240" w:lineRule="auto"/>
                              <w:jc w:val="center"/>
                              <w:rPr>
                                <w:rFonts w:ascii="Arial" w:hAnsi="Arial" w:cs="Arial"/>
                                <w:b/>
                                <w:bCs/>
                              </w:rPr>
                            </w:pPr>
                            <w:r w:rsidRPr="003A1FAF">
                              <w:rPr>
                                <w:rFonts w:ascii="Arial" w:hAnsi="Arial" w:cs="Arial"/>
                                <w:b/>
                                <w:bCs/>
                              </w:rPr>
                              <w:t>Practice Point</w:t>
                            </w:r>
                          </w:p>
                          <w:p w:rsidR="00B247C9" w:rsidRPr="003A1FAF" w:rsidRDefault="00B247C9" w:rsidP="00274941">
                            <w:pPr>
                              <w:numPr>
                                <w:ilvl w:val="0"/>
                                <w:numId w:val="70"/>
                              </w:numPr>
                              <w:autoSpaceDE w:val="0"/>
                              <w:autoSpaceDN w:val="0"/>
                              <w:adjustRightInd w:val="0"/>
                              <w:spacing w:before="120" w:after="120" w:line="240" w:lineRule="auto"/>
                              <w:rPr>
                                <w:rFonts w:ascii="Arial" w:hAnsi="Arial" w:cs="Arial"/>
                              </w:rPr>
                            </w:pPr>
                            <w:r w:rsidRPr="003A1FAF">
                              <w:rPr>
                                <w:rFonts w:ascii="Arial" w:hAnsi="Arial" w:cs="Arial"/>
                              </w:rPr>
                              <w:t>Clamp the cord immediately after birth, and avoid milking the cord (avoid squeezing it towards the infant). Cover the cord with gloved hand or gauze before cutting to avoid splash of cord blood.</w:t>
                            </w:r>
                          </w:p>
                          <w:p w:rsidR="00B247C9" w:rsidRPr="003A1FAF" w:rsidRDefault="00B247C9" w:rsidP="00274941">
                            <w:pPr>
                              <w:numPr>
                                <w:ilvl w:val="0"/>
                                <w:numId w:val="70"/>
                              </w:numPr>
                              <w:autoSpaceDE w:val="0"/>
                              <w:autoSpaceDN w:val="0"/>
                              <w:adjustRightInd w:val="0"/>
                              <w:spacing w:before="120" w:after="120" w:line="240" w:lineRule="auto"/>
                              <w:rPr>
                                <w:rFonts w:ascii="Arial" w:hAnsi="Arial" w:cs="Arial"/>
                              </w:rPr>
                            </w:pPr>
                            <w:r w:rsidRPr="003A1FAF">
                              <w:rPr>
                                <w:rFonts w:ascii="Arial" w:hAnsi="Arial" w:cs="Arial"/>
                              </w:rPr>
                              <w:t>Use suction only when the infant shows signs of distress or aspiration. Use either mechanical suction at less than 100 mm Hg pressure or bulb suction, rather than mouth-operation suction.</w:t>
                            </w:r>
                          </w:p>
                          <w:p w:rsidR="00B247C9" w:rsidRPr="003A1FAF" w:rsidRDefault="00B247C9" w:rsidP="00274941">
                            <w:pPr>
                              <w:numPr>
                                <w:ilvl w:val="0"/>
                                <w:numId w:val="70"/>
                              </w:numPr>
                              <w:autoSpaceDE w:val="0"/>
                              <w:autoSpaceDN w:val="0"/>
                              <w:adjustRightInd w:val="0"/>
                              <w:spacing w:before="120" w:after="120" w:line="240" w:lineRule="auto"/>
                              <w:rPr>
                                <w:rFonts w:ascii="Arial" w:hAnsi="Arial" w:cs="Arial"/>
                              </w:rPr>
                            </w:pPr>
                            <w:r>
                              <w:rPr>
                                <w:rFonts w:ascii="Arial" w:hAnsi="Arial" w:cs="Arial"/>
                              </w:rPr>
                              <w:t>Place the infant on the mother’s breast if she is going to breastfeed. If she is using</w:t>
                            </w:r>
                            <w:r w:rsidRPr="003A1FAF">
                              <w:rPr>
                                <w:rFonts w:ascii="Arial" w:hAnsi="Arial" w:cs="Arial"/>
                              </w:rPr>
                              <w:t xml:space="preserve"> replacement feeding, place the infant on her body for skin-to-skin contact and provide help with the first feed.</w:t>
                            </w:r>
                          </w:p>
                          <w:p w:rsidR="00B247C9" w:rsidRPr="003A1FAF" w:rsidRDefault="00B247C9" w:rsidP="00274941">
                            <w:pPr>
                              <w:numPr>
                                <w:ilvl w:val="0"/>
                                <w:numId w:val="70"/>
                              </w:numPr>
                              <w:autoSpaceDE w:val="0"/>
                              <w:autoSpaceDN w:val="0"/>
                              <w:adjustRightInd w:val="0"/>
                              <w:spacing w:before="120" w:after="120" w:line="240" w:lineRule="auto"/>
                              <w:rPr>
                                <w:rFonts w:ascii="Arial" w:hAnsi="Arial" w:cs="Arial"/>
                              </w:rPr>
                            </w:pPr>
                            <w:r w:rsidRPr="003A1FAF">
                              <w:rPr>
                                <w:rFonts w:ascii="Arial" w:hAnsi="Arial" w:cs="Arial"/>
                              </w:rPr>
                              <w:t>Administer ARV prophylaxis as soon as possible following birth.</w:t>
                            </w:r>
                          </w:p>
                          <w:p w:rsidR="00B247C9" w:rsidRPr="003A1FAF" w:rsidRDefault="00B247C9" w:rsidP="00274941">
                            <w:pPr>
                              <w:numPr>
                                <w:ilvl w:val="0"/>
                                <w:numId w:val="70"/>
                              </w:numPr>
                              <w:autoSpaceDE w:val="0"/>
                              <w:autoSpaceDN w:val="0"/>
                              <w:adjustRightInd w:val="0"/>
                              <w:spacing w:before="120" w:after="120" w:line="240" w:lineRule="auto"/>
                              <w:rPr>
                                <w:rFonts w:ascii="Arial" w:hAnsi="Arial" w:cs="Arial"/>
                              </w:rPr>
                            </w:pPr>
                            <w:r w:rsidRPr="003A1FAF">
                              <w:rPr>
                                <w:rFonts w:ascii="Arial" w:hAnsi="Arial" w:cs="Arial"/>
                              </w:rPr>
                              <w:t>Administer Bacillus Calmette-Guérin (BCG) and polio vaccines according to national</w:t>
                            </w:r>
                            <w:r>
                              <w:rPr>
                                <w:rFonts w:ascii="Arial" w:hAnsi="Arial" w:cs="Arial"/>
                              </w:rPr>
                              <w:t xml:space="preserve"> </w:t>
                            </w:r>
                            <w:r w:rsidRPr="003A1FAF">
                              <w:rPr>
                                <w:rFonts w:ascii="Arial" w:hAnsi="Arial" w:cs="Arial"/>
                              </w:rPr>
                              <w:t>guidelines.</w:t>
                            </w:r>
                          </w:p>
                          <w:p w:rsidR="00B247C9" w:rsidRPr="003A1FAF" w:rsidRDefault="00B247C9" w:rsidP="00274941">
                            <w:pPr>
                              <w:numPr>
                                <w:ilvl w:val="0"/>
                                <w:numId w:val="70"/>
                              </w:numPr>
                              <w:autoSpaceDE w:val="0"/>
                              <w:autoSpaceDN w:val="0"/>
                              <w:adjustRightInd w:val="0"/>
                              <w:spacing w:before="120" w:after="120" w:line="240" w:lineRule="auto"/>
                              <w:rPr>
                                <w:rFonts w:ascii="Arial" w:hAnsi="Arial" w:cs="Arial"/>
                              </w:rPr>
                            </w:pPr>
                            <w:r>
                              <w:rPr>
                                <w:rFonts w:ascii="Wingdings" w:hAnsi="Wingdings" w:cs="Wingdings"/>
                              </w:rPr>
                              <w:t>􀂃</w:t>
                            </w:r>
                            <w:r>
                              <w:rPr>
                                <w:rFonts w:ascii="Wingdings" w:hAnsi="Wingdings" w:cs="Wingdings"/>
                              </w:rPr>
                              <w:t></w:t>
                            </w:r>
                            <w:r w:rsidRPr="003A1FAF">
                              <w:rPr>
                                <w:rFonts w:ascii="Arial" w:hAnsi="Arial" w:cs="Arial"/>
                              </w:rPr>
                              <w:t>For non-breastfed infants, administer vitamin A 50,000 IUs at birth or within 6 months.</w:t>
                            </w:r>
                          </w:p>
                          <w:p w:rsidR="00B247C9" w:rsidRDefault="00B247C9" w:rsidP="00274941">
                            <w:pPr>
                              <w:numPr>
                                <w:ilvl w:val="0"/>
                                <w:numId w:val="70"/>
                              </w:numPr>
                              <w:autoSpaceDE w:val="0"/>
                              <w:autoSpaceDN w:val="0"/>
                              <w:adjustRightInd w:val="0"/>
                              <w:spacing w:before="120" w:after="120" w:line="240" w:lineRule="auto"/>
                            </w:pPr>
                            <w:r w:rsidRPr="003A1FAF">
                              <w:rPr>
                                <w:rFonts w:ascii="Arial" w:hAnsi="Arial" w:cs="Arial"/>
                              </w:rPr>
                              <w:t xml:space="preserve">See </w:t>
                            </w:r>
                            <w:r w:rsidRPr="003A1FAF">
                              <w:rPr>
                                <w:rFonts w:ascii="Arial" w:hAnsi="Arial" w:cs="Arial"/>
                                <w:i/>
                                <w:iCs/>
                              </w:rPr>
                              <w:t xml:space="preserve">Appendix 7-C: Vitamin A Supplementation </w:t>
                            </w:r>
                            <w:r w:rsidRPr="003A1FAF">
                              <w:rPr>
                                <w:rFonts w:ascii="Arial" w:hAnsi="Arial" w:cs="Arial"/>
                              </w:rPr>
                              <w:t>for the complete schedule of vitamin A</w:t>
                            </w:r>
                            <w:r>
                              <w:rPr>
                                <w:rFonts w:ascii="Arial" w:hAnsi="Arial" w:cs="Arial"/>
                              </w:rPr>
                              <w:t xml:space="preserve"> </w:t>
                            </w:r>
                            <w:r w:rsidRPr="003A1FAF">
                              <w:rPr>
                                <w:rFonts w:ascii="Arial" w:hAnsi="Arial" w:cs="Arial"/>
                              </w:rPr>
                              <w:t>administration</w:t>
                            </w:r>
                            <w:r>
                              <w:rPr>
                                <w:rFonts w:ascii="Helvetica" w:hAnsi="Helvetica" w:cs="Helvetic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406" type="#_x0000_t202" style="position:absolute;left:0;text-align:left;margin-left:6.4pt;margin-top:11.9pt;width:456.25pt;height:26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" strokeweight="1.25pt">
                <v:textbox>
                  <w:txbxContent>
                    <w:p w:rsidR="00B247C9" w:rsidRPr="003A1FAF" w:rsidRDefault="00B247C9" w:rsidP="0071027C">
                      <w:pPr>
                        <w:autoSpaceDE w:val="0"/>
                        <w:autoSpaceDN w:val="0"/>
                        <w:adjustRightInd w:val="0"/>
                        <w:spacing w:after="0" w:line="240" w:lineRule="auto"/>
                        <w:jc w:val="center"/>
                        <w:rPr>
                          <w:rFonts w:ascii="Arial" w:hAnsi="Arial" w:cs="Arial"/>
                          <w:b/>
                          <w:bCs/>
                        </w:rPr>
                      </w:pPr>
                      <w:r w:rsidRPr="003A1FAF">
                        <w:rPr>
                          <w:rFonts w:ascii="Arial" w:hAnsi="Arial" w:cs="Arial"/>
                          <w:b/>
                          <w:bCs/>
                        </w:rPr>
                        <w:t>Practice Point</w:t>
                      </w:r>
                    </w:p>
                    <w:p w:rsidR="00B247C9" w:rsidRPr="003A1FAF" w:rsidRDefault="00B247C9" w:rsidP="00274941">
                      <w:pPr>
                        <w:numPr>
                          <w:ilvl w:val="0"/>
                          <w:numId w:val="70"/>
                        </w:numPr>
                        <w:autoSpaceDE w:val="0"/>
                        <w:autoSpaceDN w:val="0"/>
                        <w:adjustRightInd w:val="0"/>
                        <w:spacing w:before="120" w:after="120" w:line="240" w:lineRule="auto"/>
                        <w:rPr>
                          <w:rFonts w:ascii="Arial" w:hAnsi="Arial" w:cs="Arial"/>
                        </w:rPr>
                      </w:pPr>
                      <w:r w:rsidRPr="003A1FAF">
                        <w:rPr>
                          <w:rFonts w:ascii="Arial" w:hAnsi="Arial" w:cs="Arial"/>
                        </w:rPr>
                        <w:t>Clamp the cord immediately after birth, and avoid milking the cord (avoid squeezing it towards the infant). Cover the cord with gloved hand or gauze before cutting to avoid splash of cord blood.</w:t>
                      </w:r>
                    </w:p>
                    <w:p w:rsidR="00B247C9" w:rsidRPr="003A1FAF" w:rsidRDefault="00B247C9" w:rsidP="00274941">
                      <w:pPr>
                        <w:numPr>
                          <w:ilvl w:val="0"/>
                          <w:numId w:val="70"/>
                        </w:numPr>
                        <w:autoSpaceDE w:val="0"/>
                        <w:autoSpaceDN w:val="0"/>
                        <w:adjustRightInd w:val="0"/>
                        <w:spacing w:before="120" w:after="120" w:line="240" w:lineRule="auto"/>
                        <w:rPr>
                          <w:rFonts w:ascii="Arial" w:hAnsi="Arial" w:cs="Arial"/>
                        </w:rPr>
                      </w:pPr>
                      <w:r w:rsidRPr="003A1FAF">
                        <w:rPr>
                          <w:rFonts w:ascii="Arial" w:hAnsi="Arial" w:cs="Arial"/>
                        </w:rPr>
                        <w:t>Use suction only when the infant shows signs of distress or aspiration. Use either mechanical suction at less than 100 mm Hg pressure or bulb suction, rather than mouth-operation suction.</w:t>
                      </w:r>
                    </w:p>
                    <w:p w:rsidR="00B247C9" w:rsidRPr="003A1FAF" w:rsidRDefault="00B247C9" w:rsidP="00274941">
                      <w:pPr>
                        <w:numPr>
                          <w:ilvl w:val="0"/>
                          <w:numId w:val="70"/>
                        </w:numPr>
                        <w:autoSpaceDE w:val="0"/>
                        <w:autoSpaceDN w:val="0"/>
                        <w:adjustRightInd w:val="0"/>
                        <w:spacing w:before="120" w:after="120" w:line="240" w:lineRule="auto"/>
                        <w:rPr>
                          <w:rFonts w:ascii="Arial" w:hAnsi="Arial" w:cs="Arial"/>
                        </w:rPr>
                      </w:pPr>
                      <w:r>
                        <w:rPr>
                          <w:rFonts w:ascii="Arial" w:hAnsi="Arial" w:cs="Arial"/>
                        </w:rPr>
                        <w:t>Place the infant on the mother’s breast if she is going to breastfeed. If she is using</w:t>
                      </w:r>
                      <w:r w:rsidRPr="003A1FAF">
                        <w:rPr>
                          <w:rFonts w:ascii="Arial" w:hAnsi="Arial" w:cs="Arial"/>
                        </w:rPr>
                        <w:t xml:space="preserve"> replacement feeding, place the infant on her body for skin-to-skin contact and provide help with the first feed.</w:t>
                      </w:r>
                    </w:p>
                    <w:p w:rsidR="00B247C9" w:rsidRPr="003A1FAF" w:rsidRDefault="00B247C9" w:rsidP="00274941">
                      <w:pPr>
                        <w:numPr>
                          <w:ilvl w:val="0"/>
                          <w:numId w:val="70"/>
                        </w:numPr>
                        <w:autoSpaceDE w:val="0"/>
                        <w:autoSpaceDN w:val="0"/>
                        <w:adjustRightInd w:val="0"/>
                        <w:spacing w:before="120" w:after="120" w:line="240" w:lineRule="auto"/>
                        <w:rPr>
                          <w:rFonts w:ascii="Arial" w:hAnsi="Arial" w:cs="Arial"/>
                        </w:rPr>
                      </w:pPr>
                      <w:r w:rsidRPr="003A1FAF">
                        <w:rPr>
                          <w:rFonts w:ascii="Arial" w:hAnsi="Arial" w:cs="Arial"/>
                        </w:rPr>
                        <w:t>Administer ARV prophylaxis as soon as possible following birth.</w:t>
                      </w:r>
                    </w:p>
                    <w:p w:rsidR="00B247C9" w:rsidRPr="003A1FAF" w:rsidRDefault="00B247C9" w:rsidP="00274941">
                      <w:pPr>
                        <w:numPr>
                          <w:ilvl w:val="0"/>
                          <w:numId w:val="70"/>
                        </w:numPr>
                        <w:autoSpaceDE w:val="0"/>
                        <w:autoSpaceDN w:val="0"/>
                        <w:adjustRightInd w:val="0"/>
                        <w:spacing w:before="120" w:after="120" w:line="240" w:lineRule="auto"/>
                        <w:rPr>
                          <w:rFonts w:ascii="Arial" w:hAnsi="Arial" w:cs="Arial"/>
                        </w:rPr>
                      </w:pPr>
                      <w:r w:rsidRPr="003A1FAF">
                        <w:rPr>
                          <w:rFonts w:ascii="Arial" w:hAnsi="Arial" w:cs="Arial"/>
                        </w:rPr>
                        <w:t>Administer Bacillus Calmette-Guérin (BCG) and polio vaccines according to national</w:t>
                      </w:r>
                      <w:r>
                        <w:rPr>
                          <w:rFonts w:ascii="Arial" w:hAnsi="Arial" w:cs="Arial"/>
                        </w:rPr>
                        <w:t xml:space="preserve"> </w:t>
                      </w:r>
                      <w:r w:rsidRPr="003A1FAF">
                        <w:rPr>
                          <w:rFonts w:ascii="Arial" w:hAnsi="Arial" w:cs="Arial"/>
                        </w:rPr>
                        <w:t>guidelines.</w:t>
                      </w:r>
                    </w:p>
                    <w:p w:rsidR="00B247C9" w:rsidRPr="003A1FAF" w:rsidRDefault="00B247C9" w:rsidP="00274941">
                      <w:pPr>
                        <w:numPr>
                          <w:ilvl w:val="0"/>
                          <w:numId w:val="70"/>
                        </w:numPr>
                        <w:autoSpaceDE w:val="0"/>
                        <w:autoSpaceDN w:val="0"/>
                        <w:adjustRightInd w:val="0"/>
                        <w:spacing w:before="120" w:after="120" w:line="240" w:lineRule="auto"/>
                        <w:rPr>
                          <w:rFonts w:ascii="Arial" w:hAnsi="Arial" w:cs="Arial"/>
                        </w:rPr>
                      </w:pPr>
                      <w:r>
                        <w:rPr>
                          <w:rFonts w:ascii="Wingdings" w:hAnsi="Wingdings" w:cs="Wingdings"/>
                        </w:rPr>
                        <w:t>􀂃</w:t>
                      </w:r>
                      <w:r>
                        <w:rPr>
                          <w:rFonts w:ascii="Wingdings" w:hAnsi="Wingdings" w:cs="Wingdings"/>
                        </w:rPr>
                        <w:t></w:t>
                      </w:r>
                      <w:r w:rsidRPr="003A1FAF">
                        <w:rPr>
                          <w:rFonts w:ascii="Arial" w:hAnsi="Arial" w:cs="Arial"/>
                        </w:rPr>
                        <w:t>For non-breastfed infants, administer vitamin A 50,000 IUs at birth or within 6 months.</w:t>
                      </w:r>
                    </w:p>
                    <w:p w:rsidR="00B247C9" w:rsidRDefault="00B247C9" w:rsidP="00274941">
                      <w:pPr>
                        <w:numPr>
                          <w:ilvl w:val="0"/>
                          <w:numId w:val="70"/>
                        </w:numPr>
                        <w:autoSpaceDE w:val="0"/>
                        <w:autoSpaceDN w:val="0"/>
                        <w:adjustRightInd w:val="0"/>
                        <w:spacing w:before="120" w:after="120" w:line="240" w:lineRule="auto"/>
                      </w:pPr>
                      <w:r w:rsidRPr="003A1FAF">
                        <w:rPr>
                          <w:rFonts w:ascii="Arial" w:hAnsi="Arial" w:cs="Arial"/>
                        </w:rPr>
                        <w:t xml:space="preserve">See </w:t>
                      </w:r>
                      <w:r w:rsidRPr="003A1FAF">
                        <w:rPr>
                          <w:rFonts w:ascii="Arial" w:hAnsi="Arial" w:cs="Arial"/>
                          <w:i/>
                          <w:iCs/>
                        </w:rPr>
                        <w:t xml:space="preserve">Appendix 7-C: Vitamin A Supplementation </w:t>
                      </w:r>
                      <w:r w:rsidRPr="003A1FAF">
                        <w:rPr>
                          <w:rFonts w:ascii="Arial" w:hAnsi="Arial" w:cs="Arial"/>
                        </w:rPr>
                        <w:t>for the complete schedule of vitamin A</w:t>
                      </w:r>
                      <w:r>
                        <w:rPr>
                          <w:rFonts w:ascii="Arial" w:hAnsi="Arial" w:cs="Arial"/>
                        </w:rPr>
                        <w:t xml:space="preserve"> </w:t>
                      </w:r>
                      <w:r w:rsidRPr="003A1FAF">
                        <w:rPr>
                          <w:rFonts w:ascii="Arial" w:hAnsi="Arial" w:cs="Arial"/>
                        </w:rPr>
                        <w:t>administration</w:t>
                      </w:r>
                      <w:r>
                        <w:rPr>
                          <w:rFonts w:ascii="Helvetica" w:hAnsi="Helvetica" w:cs="Helvetica"/>
                        </w:rPr>
                        <w:t>.</w:t>
                      </w:r>
                    </w:p>
                  </w:txbxContent>
                </v:textbox>
              </v:shape>
            </w:pict>
          </mc:Fallback>
        </mc:AlternateContent>
      </w:r>
    </w:p>
    <w:p w:rsidR="0071027C" w:rsidRPr="00C203F3" w:rsidRDefault="0071027C" w:rsidP="00AA771C">
      <w:pPr>
        <w:spacing w:beforeLines="120" w:before="288" w:afterLines="120" w:after="288"/>
        <w:jc w:val="both"/>
        <w:rPr>
          <w:rFonts w:ascii="Arial Narrow" w:hAnsi="Arial Narrow"/>
          <w:sz w:val="24"/>
          <w:szCs w:val="24"/>
        </w:rPr>
      </w:pPr>
    </w:p>
    <w:p w:rsidR="0071027C" w:rsidRPr="00C203F3" w:rsidRDefault="0071027C" w:rsidP="00AA771C">
      <w:pPr>
        <w:spacing w:beforeLines="120" w:before="288" w:afterLines="120" w:after="288"/>
        <w:jc w:val="both"/>
        <w:rPr>
          <w:rFonts w:ascii="Arial Narrow" w:hAnsi="Arial Narrow"/>
          <w:sz w:val="24"/>
          <w:szCs w:val="24"/>
        </w:rPr>
      </w:pPr>
    </w:p>
    <w:p w:rsidR="0071027C" w:rsidRPr="00C203F3" w:rsidRDefault="0071027C" w:rsidP="00AA771C">
      <w:pPr>
        <w:spacing w:beforeLines="120" w:before="288" w:afterLines="120" w:after="288"/>
        <w:jc w:val="both"/>
        <w:rPr>
          <w:rFonts w:ascii="Arial Narrow" w:hAnsi="Arial Narrow"/>
          <w:sz w:val="24"/>
          <w:szCs w:val="24"/>
        </w:rPr>
      </w:pPr>
    </w:p>
    <w:p w:rsidR="0071027C" w:rsidRPr="00C203F3" w:rsidRDefault="0071027C" w:rsidP="00AA771C">
      <w:pPr>
        <w:spacing w:beforeLines="120" w:before="288" w:afterLines="120" w:after="288"/>
        <w:jc w:val="both"/>
        <w:rPr>
          <w:rFonts w:ascii="Arial Narrow" w:hAnsi="Arial Narrow"/>
          <w:sz w:val="24"/>
          <w:szCs w:val="24"/>
        </w:rPr>
      </w:pPr>
    </w:p>
    <w:p w:rsidR="0071027C" w:rsidRPr="00C203F3" w:rsidRDefault="0071027C" w:rsidP="00AA771C">
      <w:pPr>
        <w:spacing w:beforeLines="120" w:before="288" w:afterLines="120" w:after="288"/>
        <w:jc w:val="both"/>
        <w:rPr>
          <w:rFonts w:ascii="Arial Narrow" w:hAnsi="Arial Narrow"/>
          <w:sz w:val="24"/>
          <w:szCs w:val="24"/>
        </w:rPr>
      </w:pPr>
    </w:p>
    <w:p w:rsidR="0071027C" w:rsidRPr="00C203F3" w:rsidRDefault="0071027C" w:rsidP="00AA771C">
      <w:pPr>
        <w:spacing w:beforeLines="120" w:before="288" w:afterLines="120" w:after="288"/>
        <w:jc w:val="both"/>
        <w:rPr>
          <w:rFonts w:ascii="Arial Narrow" w:hAnsi="Arial Narrow"/>
          <w:sz w:val="24"/>
          <w:szCs w:val="24"/>
        </w:rPr>
      </w:pPr>
    </w:p>
    <w:p w:rsidR="0071027C" w:rsidRDefault="0071027C" w:rsidP="00AA771C">
      <w:pPr>
        <w:pStyle w:val="Heading3"/>
        <w:spacing w:beforeLines="120" w:before="288" w:afterLines="120" w:after="288"/>
        <w:jc w:val="both"/>
        <w:rPr>
          <w:rFonts w:ascii="Arial Narrow" w:hAnsi="Arial Narrow"/>
          <w:sz w:val="24"/>
          <w:szCs w:val="24"/>
        </w:rPr>
      </w:pPr>
    </w:p>
    <w:p w:rsidR="0071027C" w:rsidRDefault="0071027C" w:rsidP="00AA771C">
      <w:pPr>
        <w:pStyle w:val="Heading3"/>
        <w:spacing w:beforeLines="120" w:before="288" w:afterLines="120" w:after="288"/>
        <w:jc w:val="both"/>
        <w:rPr>
          <w:rFonts w:ascii="Arial Narrow" w:hAnsi="Arial Narrow"/>
          <w:sz w:val="24"/>
          <w:szCs w:val="24"/>
        </w:rPr>
      </w:pPr>
    </w:p>
    <w:p w:rsidR="0071027C" w:rsidRPr="00264A8E" w:rsidRDefault="0071027C" w:rsidP="0071027C"/>
    <w:p w:rsidR="0071027C" w:rsidRDefault="0071027C" w:rsidP="00AA771C">
      <w:pPr>
        <w:pStyle w:val="Heading3"/>
        <w:spacing w:beforeLines="120" w:before="288" w:afterLines="120" w:after="288"/>
        <w:jc w:val="both"/>
        <w:rPr>
          <w:rFonts w:ascii="Arial Narrow" w:hAnsi="Arial Narrow"/>
          <w:sz w:val="24"/>
          <w:szCs w:val="24"/>
        </w:rPr>
        <w:sectPr w:rsidR="0071027C" w:rsidSect="0027452F">
          <w:pgSz w:w="12240" w:h="15840"/>
          <w:pgMar w:top="1440" w:right="1440" w:bottom="1440" w:left="1440" w:header="720" w:footer="720" w:gutter="0"/>
          <w:cols w:space="720"/>
          <w:docGrid w:linePitch="360"/>
        </w:sectPr>
      </w:pPr>
      <w:bookmarkStart w:id="521" w:name="_Toc374979691"/>
      <w:bookmarkStart w:id="522" w:name="_Toc378258203"/>
    </w:p>
    <w:p w:rsidR="0071027C" w:rsidRPr="00C203F3" w:rsidRDefault="0071027C" w:rsidP="00AA771C">
      <w:pPr>
        <w:pStyle w:val="Heading3"/>
        <w:spacing w:beforeLines="120" w:before="288" w:afterLines="120" w:after="288"/>
        <w:jc w:val="both"/>
        <w:rPr>
          <w:rFonts w:ascii="Arial Narrow" w:hAnsi="Arial Narrow"/>
          <w:sz w:val="24"/>
          <w:szCs w:val="24"/>
        </w:rPr>
      </w:pPr>
      <w:bookmarkStart w:id="523" w:name="_Toc382214062"/>
      <w:r w:rsidRPr="00C203F3">
        <w:rPr>
          <w:rFonts w:ascii="Arial Narrow" w:hAnsi="Arial Narrow"/>
          <w:sz w:val="24"/>
          <w:szCs w:val="24"/>
        </w:rPr>
        <w:t>8.5.7. Management of HIV-infected women and their infants in the immediate postpartum period:</w:t>
      </w:r>
      <w:bookmarkEnd w:id="521"/>
      <w:bookmarkEnd w:id="522"/>
      <w:bookmarkEnd w:id="523"/>
    </w:p>
    <w:p w:rsidR="0071027C" w:rsidRPr="003A1FAF" w:rsidRDefault="00AA771C" w:rsidP="0071027C">
      <w:pPr>
        <w:autoSpaceDE w:val="0"/>
        <w:autoSpaceDN w:val="0"/>
        <w:adjustRightInd w:val="0"/>
        <w:spacing w:before="120" w:after="120" w:line="240" w:lineRule="auto"/>
        <w:jc w:val="both"/>
        <w:rPr>
          <w:rFonts w:ascii="Arial" w:hAnsi="Arial" w:cs="Arial"/>
          <w:b/>
          <w:bCs/>
        </w:rPr>
      </w:pPr>
      <w:r>
        <w:rPr>
          <w:rFonts w:ascii="Arial" w:hAnsi="Arial" w:cs="Arial"/>
          <w:noProof/>
        </w:rPr>
        <mc:AlternateContent>
          <mc:Choice Requires="wps">
            <w:drawing>
              <wp:anchor distT="0" distB="0" distL="114300" distR="114300" simplePos="0" relativeHeight="251699200" behindDoc="0" locked="0" layoutInCell="1" allowOverlap="1">
                <wp:simplePos x="0" y="0"/>
                <wp:positionH relativeFrom="column">
                  <wp:posOffset>3179445</wp:posOffset>
                </wp:positionH>
                <wp:positionV relativeFrom="paragraph">
                  <wp:posOffset>189230</wp:posOffset>
                </wp:positionV>
                <wp:extent cx="2580640" cy="1871980"/>
                <wp:effectExtent l="17145" t="8255" r="12065" b="15240"/>
                <wp:wrapNone/>
                <wp:docPr id="944"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1871980"/>
                        </a:xfrm>
                        <a:prstGeom prst="rect">
                          <a:avLst/>
                        </a:prstGeom>
                        <a:solidFill>
                          <a:srgbClr val="FFFFFF"/>
                        </a:solidFill>
                        <a:ln w="15875">
                          <a:solidFill>
                            <a:srgbClr val="000000"/>
                          </a:solidFill>
                          <a:miter lim="800000"/>
                          <a:headEnd/>
                          <a:tailEnd/>
                        </a:ln>
                      </wps:spPr>
                      <wps:txbx>
                        <w:txbxContent>
                          <w:p w:rsidR="00B247C9" w:rsidRDefault="00B247C9" w:rsidP="0071027C">
                            <w:pPr>
                              <w:autoSpaceDE w:val="0"/>
                              <w:autoSpaceDN w:val="0"/>
                              <w:adjustRightInd w:val="0"/>
                              <w:spacing w:after="0" w:line="240" w:lineRule="auto"/>
                              <w:rPr>
                                <w:rFonts w:ascii="Helvetica-Bold" w:hAnsi="Helvetica-Bold" w:cs="Helvetica-Bold"/>
                                <w:b/>
                                <w:bCs/>
                              </w:rPr>
                            </w:pPr>
                            <w:r>
                              <w:rPr>
                                <w:rFonts w:ascii="Helvetica-Bold" w:hAnsi="Helvetica-Bold" w:cs="Helvetica-Bold"/>
                                <w:b/>
                                <w:bCs/>
                              </w:rPr>
                              <w:t>Postpartum care for women with</w:t>
                            </w:r>
                          </w:p>
                          <w:p w:rsidR="00B247C9" w:rsidRDefault="00B247C9" w:rsidP="0071027C">
                            <w:pPr>
                              <w:autoSpaceDE w:val="0"/>
                              <w:autoSpaceDN w:val="0"/>
                              <w:adjustRightInd w:val="0"/>
                              <w:spacing w:after="0" w:line="240" w:lineRule="auto"/>
                              <w:rPr>
                                <w:rFonts w:ascii="Helvetica-Bold" w:hAnsi="Helvetica-Bold" w:cs="Helvetica-Bold"/>
                                <w:b/>
                                <w:bCs/>
                              </w:rPr>
                            </w:pPr>
                            <w:r>
                              <w:rPr>
                                <w:rFonts w:ascii="Helvetica-Bold" w:hAnsi="Helvetica-Bold" w:cs="Helvetica-Bold"/>
                                <w:b/>
                                <w:bCs/>
                              </w:rPr>
                              <w:t>unknown HIV status</w:t>
                            </w:r>
                          </w:p>
                          <w:p w:rsidR="00B247C9" w:rsidRPr="00532772" w:rsidRDefault="00B247C9" w:rsidP="0071027C">
                            <w:pPr>
                              <w:autoSpaceDE w:val="0"/>
                              <w:autoSpaceDN w:val="0"/>
                              <w:adjustRightInd w:val="0"/>
                              <w:spacing w:after="0" w:line="240" w:lineRule="auto"/>
                              <w:rPr>
                                <w:rFonts w:ascii="Helvetica" w:hAnsi="Helvetica" w:cs="Helvetica"/>
                              </w:rPr>
                            </w:pPr>
                            <w:r>
                              <w:rPr>
                                <w:rFonts w:ascii="Helvetica" w:hAnsi="Helvetica" w:cs="Helvetica"/>
                              </w:rPr>
                              <w:t>Women whose status is unknown should receive the same postpartum care as with HIV infection. They should be strongly encouraged to be tested for HIV and to follow the national recommendation to breastfeed exclusively.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407" type="#_x0000_t202" style="position:absolute;left:0;text-align:left;margin-left:250.35pt;margin-top:14.9pt;width:203.2pt;height:147.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" strokeweight="1.25pt">
                <v:textbox>
                  <w:txbxContent>
                    <w:p w:rsidR="00B247C9" w:rsidRDefault="00B247C9" w:rsidP="0071027C">
                      <w:pPr>
                        <w:autoSpaceDE w:val="0"/>
                        <w:autoSpaceDN w:val="0"/>
                        <w:adjustRightInd w:val="0"/>
                        <w:spacing w:after="0" w:line="240" w:lineRule="auto"/>
                        <w:rPr>
                          <w:rFonts w:ascii="Helvetica-Bold" w:hAnsi="Helvetica-Bold" w:cs="Helvetica-Bold"/>
                          <w:b/>
                          <w:bCs/>
                        </w:rPr>
                      </w:pPr>
                      <w:r>
                        <w:rPr>
                          <w:rFonts w:ascii="Helvetica-Bold" w:hAnsi="Helvetica-Bold" w:cs="Helvetica-Bold"/>
                          <w:b/>
                          <w:bCs/>
                        </w:rPr>
                        <w:t>Postpartum care for women with</w:t>
                      </w:r>
                    </w:p>
                    <w:p w:rsidR="00B247C9" w:rsidRDefault="00B247C9" w:rsidP="0071027C">
                      <w:pPr>
                        <w:autoSpaceDE w:val="0"/>
                        <w:autoSpaceDN w:val="0"/>
                        <w:adjustRightInd w:val="0"/>
                        <w:spacing w:after="0" w:line="240" w:lineRule="auto"/>
                        <w:rPr>
                          <w:rFonts w:ascii="Helvetica-Bold" w:hAnsi="Helvetica-Bold" w:cs="Helvetica-Bold"/>
                          <w:b/>
                          <w:bCs/>
                        </w:rPr>
                      </w:pPr>
                      <w:r>
                        <w:rPr>
                          <w:rFonts w:ascii="Helvetica-Bold" w:hAnsi="Helvetica-Bold" w:cs="Helvetica-Bold"/>
                          <w:b/>
                          <w:bCs/>
                        </w:rPr>
                        <w:t>unknown HIV status</w:t>
                      </w:r>
                    </w:p>
                    <w:p w:rsidR="00B247C9" w:rsidRPr="00532772" w:rsidRDefault="00B247C9" w:rsidP="0071027C">
                      <w:pPr>
                        <w:autoSpaceDE w:val="0"/>
                        <w:autoSpaceDN w:val="0"/>
                        <w:adjustRightInd w:val="0"/>
                        <w:spacing w:after="0" w:line="240" w:lineRule="auto"/>
                        <w:rPr>
                          <w:rFonts w:ascii="Helvetica" w:hAnsi="Helvetica" w:cs="Helvetica"/>
                        </w:rPr>
                      </w:pPr>
                      <w:r>
                        <w:rPr>
                          <w:rFonts w:ascii="Helvetica" w:hAnsi="Helvetica" w:cs="Helvetica"/>
                        </w:rPr>
                        <w:t>Women whose status is unknown should receive the same postpartum care as with HIV infection. They should be strongly encouraged to be tested for HIV and to follow the national recommendation to breastfeed exclusively.</w:t>
                      </w:r>
                    </w:p>
                  </w:txbxContent>
                </v:textbox>
              </v:shape>
            </w:pict>
          </mc:Fallback>
        </mc:AlternateContent>
      </w:r>
      <w:r w:rsidR="0071027C" w:rsidRPr="003A1FAF">
        <w:rPr>
          <w:rFonts w:ascii="Arial" w:hAnsi="Arial" w:cs="Arial"/>
          <w:b/>
          <w:bCs/>
        </w:rPr>
        <w:t xml:space="preserve">Immediate post-delivery care:  </w:t>
      </w:r>
    </w:p>
    <w:p w:rsidR="0071027C" w:rsidRPr="003A1FAF" w:rsidRDefault="0071027C" w:rsidP="0071027C">
      <w:pPr>
        <w:autoSpaceDE w:val="0"/>
        <w:autoSpaceDN w:val="0"/>
        <w:adjustRightInd w:val="0"/>
        <w:spacing w:before="120" w:after="120" w:line="240" w:lineRule="auto"/>
        <w:jc w:val="both"/>
        <w:rPr>
          <w:rFonts w:ascii="Arial" w:hAnsi="Arial" w:cs="Arial"/>
          <w:b/>
          <w:bCs/>
        </w:rPr>
      </w:pPr>
      <w:r w:rsidRPr="003A1FAF">
        <w:rPr>
          <w:rFonts w:ascii="Arial" w:hAnsi="Arial" w:cs="Arial"/>
        </w:rPr>
        <w:t xml:space="preserve">Healthcare workers should use Standard </w:t>
      </w:r>
    </w:p>
    <w:p w:rsidR="0071027C" w:rsidRPr="003A1FAF" w:rsidRDefault="0071027C" w:rsidP="0071027C">
      <w:pPr>
        <w:autoSpaceDE w:val="0"/>
        <w:autoSpaceDN w:val="0"/>
        <w:adjustRightInd w:val="0"/>
        <w:spacing w:before="120" w:after="120" w:line="240" w:lineRule="auto"/>
        <w:jc w:val="both"/>
        <w:rPr>
          <w:rFonts w:ascii="Arial" w:hAnsi="Arial" w:cs="Arial"/>
        </w:rPr>
      </w:pPr>
      <w:r w:rsidRPr="003A1FAF">
        <w:rPr>
          <w:rFonts w:ascii="Arial" w:hAnsi="Arial" w:cs="Arial"/>
        </w:rPr>
        <w:t xml:space="preserve">Precautions when assessing vaginal bleeding </w:t>
      </w:r>
    </w:p>
    <w:p w:rsidR="0071027C" w:rsidRPr="003A1FAF" w:rsidRDefault="0071027C" w:rsidP="0071027C">
      <w:pPr>
        <w:autoSpaceDE w:val="0"/>
        <w:autoSpaceDN w:val="0"/>
        <w:adjustRightInd w:val="0"/>
        <w:spacing w:before="120" w:after="120" w:line="240" w:lineRule="auto"/>
        <w:jc w:val="both"/>
        <w:rPr>
          <w:rFonts w:ascii="Arial" w:hAnsi="Arial" w:cs="Arial"/>
        </w:rPr>
      </w:pPr>
      <w:r w:rsidRPr="003A1FAF">
        <w:rPr>
          <w:rFonts w:ascii="Arial" w:hAnsi="Arial" w:cs="Arial"/>
        </w:rPr>
        <w:t>and should dispose of blood-stained linens and</w:t>
      </w:r>
    </w:p>
    <w:p w:rsidR="0071027C" w:rsidRPr="003A1FAF" w:rsidRDefault="0071027C" w:rsidP="0071027C">
      <w:pPr>
        <w:autoSpaceDE w:val="0"/>
        <w:autoSpaceDN w:val="0"/>
        <w:adjustRightInd w:val="0"/>
        <w:spacing w:before="120" w:after="120" w:line="240" w:lineRule="auto"/>
        <w:jc w:val="both"/>
        <w:rPr>
          <w:rFonts w:ascii="Arial" w:hAnsi="Arial" w:cs="Arial"/>
        </w:rPr>
      </w:pPr>
      <w:r w:rsidRPr="003A1FAF">
        <w:rPr>
          <w:rFonts w:ascii="Arial" w:hAnsi="Arial" w:cs="Arial"/>
        </w:rPr>
        <w:t>pads safely.</w:t>
      </w:r>
    </w:p>
    <w:p w:rsidR="0071027C" w:rsidRDefault="0071027C" w:rsidP="0071027C">
      <w:pPr>
        <w:autoSpaceDE w:val="0"/>
        <w:autoSpaceDN w:val="0"/>
        <w:adjustRightInd w:val="0"/>
        <w:spacing w:before="120" w:after="120" w:line="240" w:lineRule="auto"/>
        <w:jc w:val="both"/>
        <w:rPr>
          <w:rFonts w:ascii="Arial" w:hAnsi="Arial" w:cs="Arial"/>
        </w:rPr>
      </w:pPr>
    </w:p>
    <w:p w:rsidR="0051683D" w:rsidRDefault="0051683D" w:rsidP="0071027C">
      <w:pPr>
        <w:autoSpaceDE w:val="0"/>
        <w:autoSpaceDN w:val="0"/>
        <w:adjustRightInd w:val="0"/>
        <w:spacing w:before="120" w:after="120" w:line="240" w:lineRule="auto"/>
        <w:jc w:val="both"/>
        <w:rPr>
          <w:rFonts w:ascii="Arial" w:hAnsi="Arial" w:cs="Arial"/>
        </w:rPr>
      </w:pPr>
    </w:p>
    <w:p w:rsidR="0051683D" w:rsidRDefault="0051683D" w:rsidP="0071027C">
      <w:pPr>
        <w:autoSpaceDE w:val="0"/>
        <w:autoSpaceDN w:val="0"/>
        <w:adjustRightInd w:val="0"/>
        <w:spacing w:before="120" w:after="120" w:line="240" w:lineRule="auto"/>
        <w:jc w:val="both"/>
        <w:rPr>
          <w:rFonts w:ascii="Arial" w:hAnsi="Arial" w:cs="Arial"/>
        </w:rPr>
      </w:pPr>
    </w:p>
    <w:p w:rsidR="0051683D" w:rsidRPr="003A1FAF" w:rsidRDefault="0051683D" w:rsidP="0071027C">
      <w:pPr>
        <w:autoSpaceDE w:val="0"/>
        <w:autoSpaceDN w:val="0"/>
        <w:adjustRightInd w:val="0"/>
        <w:spacing w:before="120" w:after="120" w:line="240" w:lineRule="auto"/>
        <w:jc w:val="both"/>
        <w:rPr>
          <w:rFonts w:ascii="Arial" w:hAnsi="Arial" w:cs="Arial"/>
        </w:rPr>
      </w:pPr>
    </w:p>
    <w:p w:rsidR="0071027C" w:rsidRPr="003A1FAF" w:rsidRDefault="0071027C" w:rsidP="0071027C">
      <w:pPr>
        <w:autoSpaceDE w:val="0"/>
        <w:autoSpaceDN w:val="0"/>
        <w:adjustRightInd w:val="0"/>
        <w:spacing w:before="120" w:after="120" w:line="240" w:lineRule="auto"/>
        <w:jc w:val="both"/>
        <w:rPr>
          <w:rFonts w:ascii="Arial" w:hAnsi="Arial" w:cs="Arial"/>
          <w:b/>
          <w:bCs/>
        </w:rPr>
      </w:pPr>
      <w:r w:rsidRPr="003A1FAF">
        <w:rPr>
          <w:rFonts w:ascii="Arial" w:hAnsi="Arial" w:cs="Arial"/>
          <w:b/>
          <w:bCs/>
        </w:rPr>
        <w:t xml:space="preserve">HIV testing and counseling: </w:t>
      </w:r>
    </w:p>
    <w:p w:rsidR="0071027C" w:rsidRPr="003A1FAF" w:rsidRDefault="0071027C" w:rsidP="0071027C">
      <w:pPr>
        <w:autoSpaceDE w:val="0"/>
        <w:autoSpaceDN w:val="0"/>
        <w:adjustRightInd w:val="0"/>
        <w:spacing w:before="120" w:after="120" w:line="240" w:lineRule="auto"/>
        <w:jc w:val="both"/>
        <w:rPr>
          <w:rFonts w:ascii="Arial" w:hAnsi="Arial" w:cs="Arial"/>
        </w:rPr>
      </w:pPr>
      <w:r w:rsidRPr="003A1FAF">
        <w:rPr>
          <w:rFonts w:ascii="Arial" w:hAnsi="Arial" w:cs="Arial"/>
        </w:rPr>
        <w:t>Women who received HIV testing during labour and delivery should receive additional HIV Post test counseling postpartum. Women of unknown HIV status should receive pre-test information, counseling and HIV testing, unless they decline, so that their infants can receive ARV prophylaxis if needed. Partners and other siblings of HIV-infected women should be encouraged to receive pre-test information, counseling and HIV testing.</w:t>
      </w:r>
    </w:p>
    <w:p w:rsidR="0071027C" w:rsidRPr="003A1FAF" w:rsidRDefault="0071027C" w:rsidP="0071027C">
      <w:pPr>
        <w:autoSpaceDE w:val="0"/>
        <w:autoSpaceDN w:val="0"/>
        <w:adjustRightInd w:val="0"/>
        <w:spacing w:before="120" w:after="120" w:line="240" w:lineRule="auto"/>
        <w:jc w:val="both"/>
        <w:rPr>
          <w:rFonts w:ascii="Arial" w:hAnsi="Arial" w:cs="Arial"/>
          <w:b/>
          <w:bCs/>
        </w:rPr>
      </w:pPr>
      <w:r w:rsidRPr="003A1FAF">
        <w:rPr>
          <w:rFonts w:ascii="Arial" w:hAnsi="Arial" w:cs="Arial"/>
          <w:b/>
          <w:bCs/>
        </w:rPr>
        <w:t>Counselling about safer infant feeding:</w:t>
      </w:r>
    </w:p>
    <w:p w:rsidR="0071027C" w:rsidRPr="003A1FAF" w:rsidRDefault="0071027C" w:rsidP="0071027C">
      <w:pPr>
        <w:autoSpaceDE w:val="0"/>
        <w:autoSpaceDN w:val="0"/>
        <w:adjustRightInd w:val="0"/>
        <w:spacing w:before="120" w:after="120" w:line="240" w:lineRule="auto"/>
        <w:jc w:val="both"/>
        <w:rPr>
          <w:rFonts w:ascii="Arial" w:hAnsi="Arial" w:cs="Arial"/>
          <w:b/>
          <w:bCs/>
        </w:rPr>
      </w:pPr>
      <w:r w:rsidRPr="003A1FAF">
        <w:rPr>
          <w:rFonts w:ascii="Arial" w:hAnsi="Arial" w:cs="Arial"/>
        </w:rPr>
        <w:t xml:space="preserve">All women, regardless of HIV status, should receive infant feeding counseling during postpartum care according to the national guidelines and as outlined in </w:t>
      </w:r>
      <w:r w:rsidRPr="003A1FAF">
        <w:rPr>
          <w:rFonts w:ascii="Arial" w:hAnsi="Arial" w:cs="Arial"/>
          <w:i/>
          <w:iCs/>
        </w:rPr>
        <w:t>Chapter 6 in PMTCT guideline: Infant Feeding in the Context of HIV Infection</w:t>
      </w:r>
      <w:r w:rsidRPr="003A1FAF">
        <w:rPr>
          <w:rFonts w:ascii="Arial" w:hAnsi="Arial" w:cs="Arial"/>
        </w:rPr>
        <w:t>.</w:t>
      </w:r>
    </w:p>
    <w:p w:rsidR="0071027C" w:rsidRPr="003A1FAF" w:rsidRDefault="0071027C" w:rsidP="0071027C">
      <w:pPr>
        <w:autoSpaceDE w:val="0"/>
        <w:autoSpaceDN w:val="0"/>
        <w:adjustRightInd w:val="0"/>
        <w:spacing w:before="120" w:after="120" w:line="240" w:lineRule="auto"/>
        <w:jc w:val="both"/>
        <w:rPr>
          <w:rFonts w:ascii="Arial" w:hAnsi="Arial" w:cs="Arial"/>
        </w:rPr>
      </w:pPr>
      <w:r w:rsidRPr="003A1FAF">
        <w:rPr>
          <w:rFonts w:ascii="Arial" w:hAnsi="Arial" w:cs="Arial"/>
        </w:rPr>
        <w:t>Mothers should receive support to exclusively breastfeed.</w:t>
      </w:r>
    </w:p>
    <w:p w:rsidR="0071027C" w:rsidRPr="003A1FAF" w:rsidRDefault="0071027C" w:rsidP="00274941">
      <w:pPr>
        <w:pStyle w:val="ListParagraph"/>
        <w:numPr>
          <w:ilvl w:val="0"/>
          <w:numId w:val="65"/>
        </w:numPr>
        <w:autoSpaceDE w:val="0"/>
        <w:autoSpaceDN w:val="0"/>
        <w:adjustRightInd w:val="0"/>
        <w:spacing w:before="120" w:after="120"/>
        <w:jc w:val="both"/>
        <w:rPr>
          <w:rFonts w:ascii="Arial" w:hAnsi="Arial" w:cs="Arial"/>
          <w:sz w:val="22"/>
          <w:szCs w:val="22"/>
        </w:rPr>
      </w:pPr>
      <w:r w:rsidRPr="003A1FAF">
        <w:rPr>
          <w:rFonts w:ascii="Arial" w:hAnsi="Arial" w:cs="Arial"/>
          <w:sz w:val="22"/>
          <w:szCs w:val="22"/>
        </w:rPr>
        <w:t>Healthcare workers should encourage and provide counseling about exclusive breastfeeding or provide counselling on replacement feeding for women who choose to do so, before the women and their infants leave the facility or hospital.</w:t>
      </w:r>
    </w:p>
    <w:p w:rsidR="0071027C" w:rsidRPr="003A1FAF" w:rsidRDefault="0071027C" w:rsidP="00274941">
      <w:pPr>
        <w:pStyle w:val="ListParagraph"/>
        <w:numPr>
          <w:ilvl w:val="0"/>
          <w:numId w:val="65"/>
        </w:numPr>
        <w:autoSpaceDE w:val="0"/>
        <w:autoSpaceDN w:val="0"/>
        <w:adjustRightInd w:val="0"/>
        <w:spacing w:before="120" w:after="120"/>
        <w:jc w:val="both"/>
        <w:rPr>
          <w:rFonts w:ascii="Arial" w:hAnsi="Arial" w:cs="Arial"/>
          <w:sz w:val="22"/>
          <w:szCs w:val="22"/>
        </w:rPr>
      </w:pPr>
      <w:r w:rsidRPr="003A1FAF">
        <w:rPr>
          <w:rFonts w:ascii="Arial" w:hAnsi="Arial" w:cs="Arial"/>
          <w:sz w:val="22"/>
          <w:szCs w:val="22"/>
        </w:rPr>
        <w:t>Mothers should demonstrate chosen infant feeding method and HCWs should observe the mother implementing proper feeding technique before discharge.</w:t>
      </w:r>
    </w:p>
    <w:p w:rsidR="0071027C" w:rsidRPr="003A1FAF" w:rsidRDefault="0071027C" w:rsidP="00274941">
      <w:pPr>
        <w:pStyle w:val="ListParagraph"/>
        <w:numPr>
          <w:ilvl w:val="0"/>
          <w:numId w:val="65"/>
        </w:numPr>
        <w:autoSpaceDE w:val="0"/>
        <w:autoSpaceDN w:val="0"/>
        <w:adjustRightInd w:val="0"/>
        <w:spacing w:before="120" w:after="120"/>
        <w:jc w:val="both"/>
        <w:rPr>
          <w:rFonts w:ascii="Arial" w:hAnsi="Arial" w:cs="Arial"/>
          <w:sz w:val="22"/>
          <w:szCs w:val="22"/>
        </w:rPr>
      </w:pPr>
      <w:r w:rsidRPr="003A1FAF">
        <w:rPr>
          <w:rFonts w:ascii="Arial" w:hAnsi="Arial" w:cs="Arial"/>
          <w:sz w:val="22"/>
          <w:szCs w:val="22"/>
        </w:rPr>
        <w:t>Healthcare workers should discuss with the mother how she will cope with possible stigmatisation if she chooses not to breastfeed and advise her on the  suppression of lactation.</w:t>
      </w:r>
    </w:p>
    <w:p w:rsidR="0071027C" w:rsidRPr="003A1FAF" w:rsidRDefault="0071027C" w:rsidP="0071027C">
      <w:pPr>
        <w:autoSpaceDE w:val="0"/>
        <w:autoSpaceDN w:val="0"/>
        <w:adjustRightInd w:val="0"/>
        <w:spacing w:before="120" w:after="120" w:line="240" w:lineRule="auto"/>
        <w:jc w:val="both"/>
        <w:rPr>
          <w:rFonts w:ascii="Arial" w:hAnsi="Arial" w:cs="Arial"/>
          <w:b/>
          <w:bCs/>
        </w:rPr>
      </w:pPr>
      <w:r w:rsidRPr="003A1FAF">
        <w:rPr>
          <w:rFonts w:ascii="Arial" w:hAnsi="Arial" w:cs="Arial"/>
          <w:b/>
          <w:bCs/>
        </w:rPr>
        <w:t xml:space="preserve">ARV treatment for mother and ARV prophylaxis for the infant: </w:t>
      </w:r>
    </w:p>
    <w:p w:rsidR="0071027C" w:rsidRPr="003A1FAF" w:rsidRDefault="0071027C" w:rsidP="0071027C">
      <w:pPr>
        <w:autoSpaceDE w:val="0"/>
        <w:autoSpaceDN w:val="0"/>
        <w:adjustRightInd w:val="0"/>
        <w:spacing w:before="120" w:after="120" w:line="240" w:lineRule="auto"/>
        <w:jc w:val="both"/>
        <w:rPr>
          <w:rFonts w:ascii="Arial" w:hAnsi="Arial" w:cs="Arial"/>
        </w:rPr>
      </w:pPr>
      <w:r w:rsidRPr="003A1FAF">
        <w:rPr>
          <w:rFonts w:ascii="Arial" w:hAnsi="Arial" w:cs="Arial"/>
        </w:rPr>
        <w:t>All mothers living with HIV need to be informed of the importance of adherence and the correct way to take their ART and how to administer ARV prophylaxis to their infants.</w:t>
      </w:r>
    </w:p>
    <w:p w:rsidR="0071027C" w:rsidRPr="003A1FAF" w:rsidRDefault="0071027C" w:rsidP="0071027C">
      <w:pPr>
        <w:autoSpaceDE w:val="0"/>
        <w:autoSpaceDN w:val="0"/>
        <w:adjustRightInd w:val="0"/>
        <w:spacing w:before="120" w:after="120" w:line="240" w:lineRule="auto"/>
        <w:jc w:val="both"/>
        <w:rPr>
          <w:rFonts w:ascii="Arial" w:hAnsi="Arial" w:cs="Arial"/>
        </w:rPr>
      </w:pPr>
      <w:r w:rsidRPr="003A1FAF">
        <w:rPr>
          <w:rFonts w:ascii="Arial" w:hAnsi="Arial" w:cs="Arial"/>
          <w:b/>
          <w:bCs/>
        </w:rPr>
        <w:t xml:space="preserve">Vitamin A supplementation: </w:t>
      </w:r>
    </w:p>
    <w:p w:rsidR="0071027C" w:rsidRPr="003A1FAF" w:rsidRDefault="0071027C" w:rsidP="0071027C">
      <w:pPr>
        <w:autoSpaceDE w:val="0"/>
        <w:autoSpaceDN w:val="0"/>
        <w:adjustRightInd w:val="0"/>
        <w:spacing w:before="120" w:after="120" w:line="240" w:lineRule="auto"/>
        <w:jc w:val="both"/>
        <w:rPr>
          <w:rFonts w:ascii="Arial" w:hAnsi="Arial" w:cs="Arial"/>
          <w:b/>
          <w:bCs/>
        </w:rPr>
      </w:pPr>
      <w:r w:rsidRPr="003A1FAF">
        <w:rPr>
          <w:rFonts w:ascii="Arial" w:hAnsi="Arial" w:cs="Arial"/>
        </w:rPr>
        <w:t>Before discharge, HCWs should administer vitamin A 200,000 IUs to the mother.</w:t>
      </w:r>
    </w:p>
    <w:p w:rsidR="0071027C" w:rsidRPr="003A1FAF" w:rsidRDefault="0071027C" w:rsidP="0071027C">
      <w:pPr>
        <w:autoSpaceDE w:val="0"/>
        <w:autoSpaceDN w:val="0"/>
        <w:adjustRightInd w:val="0"/>
        <w:spacing w:before="120" w:after="120" w:line="240" w:lineRule="auto"/>
        <w:jc w:val="both"/>
        <w:rPr>
          <w:rFonts w:ascii="Arial" w:hAnsi="Arial" w:cs="Arial"/>
        </w:rPr>
      </w:pPr>
    </w:p>
    <w:p w:rsidR="0071027C" w:rsidRPr="003A1FAF" w:rsidRDefault="0071027C" w:rsidP="0071027C">
      <w:pPr>
        <w:autoSpaceDE w:val="0"/>
        <w:autoSpaceDN w:val="0"/>
        <w:adjustRightInd w:val="0"/>
        <w:spacing w:before="120" w:after="120" w:line="240" w:lineRule="auto"/>
        <w:jc w:val="both"/>
        <w:rPr>
          <w:rFonts w:ascii="Arial" w:hAnsi="Arial" w:cs="Arial"/>
          <w:b/>
          <w:bCs/>
        </w:rPr>
      </w:pPr>
      <w:r w:rsidRPr="003A1FAF">
        <w:rPr>
          <w:rFonts w:ascii="Arial" w:hAnsi="Arial" w:cs="Arial"/>
          <w:b/>
          <w:bCs/>
        </w:rPr>
        <w:t>Counseling about infant HIV testing and CPT:</w:t>
      </w:r>
    </w:p>
    <w:p w:rsidR="0071027C" w:rsidRPr="003A1FAF" w:rsidRDefault="0071027C" w:rsidP="0071027C">
      <w:pPr>
        <w:autoSpaceDE w:val="0"/>
        <w:autoSpaceDN w:val="0"/>
        <w:adjustRightInd w:val="0"/>
        <w:spacing w:before="120" w:after="120" w:line="240" w:lineRule="auto"/>
        <w:jc w:val="both"/>
        <w:rPr>
          <w:rFonts w:ascii="Arial" w:hAnsi="Arial" w:cs="Arial"/>
          <w:i/>
          <w:iCs/>
        </w:rPr>
      </w:pPr>
      <w:r w:rsidRPr="003A1FAF">
        <w:rPr>
          <w:rFonts w:ascii="Arial" w:hAnsi="Arial" w:cs="Arial"/>
        </w:rPr>
        <w:t xml:space="preserve">Women with HIV must be provided with counseling about the importance of infant testing and the schedule for testing prior to discharge. HIV-exposed infants should have an initial HIV test at the age of 4 to 6 weeks. Infants who test HIV-negative will need repeat HIV testing six weeks after complete cessation of breastfeeding. In addition, all HIV-exposed infants should begin CPT at the age of 4 to 6 weeks. These essential follow-up services are discussed in </w:t>
      </w:r>
      <w:r w:rsidRPr="003A1FAF">
        <w:rPr>
          <w:rFonts w:ascii="Arial" w:hAnsi="Arial" w:cs="Arial"/>
          <w:i/>
          <w:iCs/>
        </w:rPr>
        <w:t>Chapter 7: Comprehensive Care and Support for Mothers and Families with HIV Infection.</w:t>
      </w:r>
    </w:p>
    <w:p w:rsidR="0071027C" w:rsidRPr="003A1FAF" w:rsidRDefault="0071027C" w:rsidP="0071027C">
      <w:pPr>
        <w:autoSpaceDE w:val="0"/>
        <w:autoSpaceDN w:val="0"/>
        <w:adjustRightInd w:val="0"/>
        <w:spacing w:before="120" w:after="120" w:line="240" w:lineRule="auto"/>
        <w:jc w:val="both"/>
        <w:rPr>
          <w:rFonts w:ascii="Arial" w:hAnsi="Arial" w:cs="Arial"/>
          <w:b/>
          <w:bCs/>
        </w:rPr>
      </w:pPr>
      <w:r w:rsidRPr="003A1FAF">
        <w:rPr>
          <w:rFonts w:ascii="Arial" w:hAnsi="Arial" w:cs="Arial"/>
          <w:b/>
          <w:bCs/>
        </w:rPr>
        <w:t xml:space="preserve">Counseling about postpartum family planning: </w:t>
      </w:r>
    </w:p>
    <w:p w:rsidR="0071027C" w:rsidRPr="003A1FAF" w:rsidRDefault="0071027C" w:rsidP="0071027C">
      <w:pPr>
        <w:autoSpaceDE w:val="0"/>
        <w:autoSpaceDN w:val="0"/>
        <w:adjustRightInd w:val="0"/>
        <w:spacing w:before="120" w:after="120" w:line="240" w:lineRule="auto"/>
        <w:jc w:val="both"/>
        <w:rPr>
          <w:rFonts w:ascii="Arial" w:hAnsi="Arial" w:cs="Arial"/>
          <w:i/>
          <w:iCs/>
        </w:rPr>
      </w:pPr>
      <w:r w:rsidRPr="003A1FAF">
        <w:rPr>
          <w:rFonts w:ascii="Arial" w:hAnsi="Arial" w:cs="Arial"/>
        </w:rPr>
        <w:t xml:space="preserve">Women living with HIV should receive counseling on preventing unintended pregnancy. Use of condom as dual protection should be discussed in order to prevent HIV re-infection. For more information see </w:t>
      </w:r>
      <w:r w:rsidRPr="003A1FAF">
        <w:rPr>
          <w:rFonts w:ascii="Arial" w:hAnsi="Arial" w:cs="Arial"/>
          <w:i/>
          <w:iCs/>
        </w:rPr>
        <w:t>Chapter 7: Comprehensive Care and Support for Mothers, Babies and Family Members living with HIV.</w:t>
      </w:r>
    </w:p>
    <w:p w:rsidR="0071027C" w:rsidRPr="003A1FAF" w:rsidRDefault="0071027C" w:rsidP="0071027C">
      <w:pPr>
        <w:autoSpaceDE w:val="0"/>
        <w:autoSpaceDN w:val="0"/>
        <w:adjustRightInd w:val="0"/>
        <w:spacing w:before="120" w:after="120" w:line="240" w:lineRule="auto"/>
        <w:jc w:val="both"/>
        <w:rPr>
          <w:rFonts w:ascii="Arial" w:hAnsi="Arial" w:cs="Arial"/>
          <w:b/>
          <w:bCs/>
        </w:rPr>
      </w:pPr>
      <w:r w:rsidRPr="003A1FAF">
        <w:rPr>
          <w:rFonts w:ascii="Arial" w:hAnsi="Arial" w:cs="Arial"/>
          <w:b/>
          <w:bCs/>
        </w:rPr>
        <w:t>General postpartum education</w:t>
      </w:r>
    </w:p>
    <w:p w:rsidR="0071027C" w:rsidRPr="003A1FAF" w:rsidRDefault="0071027C" w:rsidP="0071027C">
      <w:pPr>
        <w:autoSpaceDE w:val="0"/>
        <w:autoSpaceDN w:val="0"/>
        <w:adjustRightInd w:val="0"/>
        <w:spacing w:before="120" w:after="120" w:line="240" w:lineRule="auto"/>
        <w:jc w:val="both"/>
        <w:rPr>
          <w:rFonts w:ascii="Arial" w:hAnsi="Arial" w:cs="Arial"/>
        </w:rPr>
      </w:pPr>
      <w:r w:rsidRPr="003A1FAF">
        <w:rPr>
          <w:rFonts w:ascii="Arial" w:hAnsi="Arial" w:cs="Arial"/>
        </w:rPr>
        <w:t>Regardless of HIV status, the mother will need to be educated before discharge about:</w:t>
      </w:r>
    </w:p>
    <w:p w:rsidR="0071027C" w:rsidRPr="003A1FAF" w:rsidRDefault="0071027C" w:rsidP="00274941">
      <w:pPr>
        <w:pStyle w:val="ListParagraph"/>
        <w:numPr>
          <w:ilvl w:val="0"/>
          <w:numId w:val="66"/>
        </w:numPr>
        <w:autoSpaceDE w:val="0"/>
        <w:autoSpaceDN w:val="0"/>
        <w:adjustRightInd w:val="0"/>
        <w:spacing w:before="120" w:after="120"/>
        <w:jc w:val="both"/>
        <w:rPr>
          <w:rFonts w:ascii="Arial" w:hAnsi="Arial" w:cs="Arial"/>
          <w:sz w:val="22"/>
          <w:szCs w:val="22"/>
        </w:rPr>
      </w:pPr>
      <w:r w:rsidRPr="003A1FAF">
        <w:rPr>
          <w:rFonts w:ascii="Arial" w:hAnsi="Arial" w:cs="Arial"/>
          <w:sz w:val="22"/>
          <w:szCs w:val="22"/>
        </w:rPr>
        <w:t>Accessing help in the event of postpartum haemorrhage and other complications</w:t>
      </w:r>
    </w:p>
    <w:p w:rsidR="0071027C" w:rsidRPr="003A1FAF" w:rsidRDefault="0071027C" w:rsidP="00274941">
      <w:pPr>
        <w:pStyle w:val="ListParagraph"/>
        <w:numPr>
          <w:ilvl w:val="0"/>
          <w:numId w:val="66"/>
        </w:numPr>
        <w:autoSpaceDE w:val="0"/>
        <w:autoSpaceDN w:val="0"/>
        <w:adjustRightInd w:val="0"/>
        <w:spacing w:before="120" w:after="120"/>
        <w:jc w:val="both"/>
        <w:rPr>
          <w:rFonts w:ascii="Arial" w:hAnsi="Arial" w:cs="Arial"/>
          <w:sz w:val="22"/>
          <w:szCs w:val="22"/>
        </w:rPr>
      </w:pPr>
      <w:r w:rsidRPr="003A1FAF">
        <w:rPr>
          <w:rFonts w:ascii="Arial" w:hAnsi="Arial" w:cs="Arial"/>
          <w:sz w:val="22"/>
          <w:szCs w:val="22"/>
        </w:rPr>
        <w:t>How to dispose of potentially infectious materials, such as lochia and blood-stained sanitary pads</w:t>
      </w:r>
    </w:p>
    <w:p w:rsidR="0071027C" w:rsidRPr="003A1FAF" w:rsidRDefault="0071027C" w:rsidP="00274941">
      <w:pPr>
        <w:pStyle w:val="ListParagraph"/>
        <w:numPr>
          <w:ilvl w:val="0"/>
          <w:numId w:val="66"/>
        </w:numPr>
        <w:autoSpaceDE w:val="0"/>
        <w:autoSpaceDN w:val="0"/>
        <w:adjustRightInd w:val="0"/>
        <w:spacing w:before="120" w:after="120"/>
        <w:jc w:val="both"/>
        <w:rPr>
          <w:rFonts w:ascii="Arial" w:hAnsi="Arial" w:cs="Arial"/>
          <w:sz w:val="22"/>
          <w:szCs w:val="22"/>
        </w:rPr>
      </w:pPr>
      <w:r w:rsidRPr="003A1FAF">
        <w:rPr>
          <w:rFonts w:ascii="Arial" w:hAnsi="Arial" w:cs="Arial"/>
          <w:sz w:val="22"/>
          <w:szCs w:val="22"/>
        </w:rPr>
        <w:t>Perineal and breast care</w:t>
      </w:r>
    </w:p>
    <w:p w:rsidR="0071027C" w:rsidRPr="003A1FAF" w:rsidRDefault="0071027C" w:rsidP="00274941">
      <w:pPr>
        <w:pStyle w:val="ListParagraph"/>
        <w:numPr>
          <w:ilvl w:val="0"/>
          <w:numId w:val="66"/>
        </w:numPr>
        <w:autoSpaceDE w:val="0"/>
        <w:autoSpaceDN w:val="0"/>
        <w:adjustRightInd w:val="0"/>
        <w:spacing w:before="120" w:after="120"/>
        <w:jc w:val="both"/>
        <w:rPr>
          <w:rFonts w:ascii="Arial" w:hAnsi="Arial" w:cs="Arial"/>
          <w:sz w:val="22"/>
          <w:szCs w:val="22"/>
        </w:rPr>
      </w:pPr>
      <w:r w:rsidRPr="003A1FAF">
        <w:rPr>
          <w:rFonts w:ascii="Arial" w:hAnsi="Arial" w:cs="Arial"/>
          <w:sz w:val="22"/>
          <w:szCs w:val="22"/>
        </w:rPr>
        <w:t>Care of the infant’s umbilicus</w:t>
      </w:r>
    </w:p>
    <w:p w:rsidR="0071027C" w:rsidRPr="003A1FAF" w:rsidRDefault="0071027C" w:rsidP="00274941">
      <w:pPr>
        <w:pStyle w:val="ListParagraph"/>
        <w:numPr>
          <w:ilvl w:val="0"/>
          <w:numId w:val="66"/>
        </w:numPr>
        <w:autoSpaceDE w:val="0"/>
        <w:autoSpaceDN w:val="0"/>
        <w:adjustRightInd w:val="0"/>
        <w:spacing w:before="120" w:after="120"/>
        <w:jc w:val="both"/>
        <w:rPr>
          <w:rFonts w:ascii="Arial" w:hAnsi="Arial" w:cs="Arial"/>
          <w:sz w:val="22"/>
          <w:szCs w:val="22"/>
        </w:rPr>
      </w:pPr>
      <w:r w:rsidRPr="003A1FAF">
        <w:rPr>
          <w:rFonts w:ascii="Arial" w:hAnsi="Arial" w:cs="Arial"/>
          <w:sz w:val="22"/>
          <w:szCs w:val="22"/>
        </w:rPr>
        <w:t>Proper hygiene, including changing diapers and washing the infant</w:t>
      </w:r>
    </w:p>
    <w:p w:rsidR="0071027C" w:rsidRPr="003A1FAF" w:rsidRDefault="0071027C" w:rsidP="00274941">
      <w:pPr>
        <w:pStyle w:val="ListParagraph"/>
        <w:numPr>
          <w:ilvl w:val="0"/>
          <w:numId w:val="66"/>
        </w:numPr>
        <w:autoSpaceDE w:val="0"/>
        <w:autoSpaceDN w:val="0"/>
        <w:adjustRightInd w:val="0"/>
        <w:spacing w:before="120" w:after="120"/>
        <w:jc w:val="both"/>
        <w:rPr>
          <w:rFonts w:ascii="Arial" w:hAnsi="Arial" w:cs="Arial"/>
          <w:i/>
          <w:iCs/>
          <w:sz w:val="22"/>
          <w:szCs w:val="22"/>
        </w:rPr>
      </w:pPr>
      <w:r w:rsidRPr="003A1FAF">
        <w:rPr>
          <w:rFonts w:ascii="Arial" w:hAnsi="Arial" w:cs="Arial"/>
          <w:sz w:val="22"/>
          <w:szCs w:val="22"/>
        </w:rPr>
        <w:t xml:space="preserve">Recognising signs and symptoms of infant illness and HIV infection (See </w:t>
      </w:r>
      <w:r w:rsidRPr="003A1FAF">
        <w:rPr>
          <w:rFonts w:ascii="Arial" w:hAnsi="Arial" w:cs="Arial"/>
          <w:i/>
          <w:iCs/>
          <w:sz w:val="22"/>
          <w:szCs w:val="22"/>
        </w:rPr>
        <w:t>Chapter 7 PMTCT guideline :Comprehensive Care and Support for Mothers and Families with HIV Infection)</w:t>
      </w:r>
    </w:p>
    <w:p w:rsidR="0071027C" w:rsidRPr="003A1FAF" w:rsidRDefault="0071027C" w:rsidP="00274941">
      <w:pPr>
        <w:pStyle w:val="ListParagraph"/>
        <w:numPr>
          <w:ilvl w:val="0"/>
          <w:numId w:val="66"/>
        </w:numPr>
        <w:autoSpaceDE w:val="0"/>
        <w:autoSpaceDN w:val="0"/>
        <w:adjustRightInd w:val="0"/>
        <w:spacing w:before="120" w:after="120"/>
        <w:jc w:val="both"/>
        <w:rPr>
          <w:rFonts w:ascii="Arial" w:hAnsi="Arial" w:cs="Arial"/>
          <w:i/>
          <w:iCs/>
          <w:sz w:val="22"/>
          <w:szCs w:val="22"/>
        </w:rPr>
      </w:pPr>
      <w:r w:rsidRPr="003A1FAF">
        <w:rPr>
          <w:rFonts w:ascii="Arial" w:hAnsi="Arial" w:cs="Arial"/>
          <w:sz w:val="22"/>
          <w:szCs w:val="22"/>
        </w:rPr>
        <w:t>Recognising signs and symptoms of postpartum infection. These include: burning with urination, fever, awareness of heartbeat; foul smelling lochia, redness, pain, pus or any discharge from incision or episiotomy site; cough (dry or producing sputum) or shortness of breath and severe lower abdominal pain.</w:t>
      </w:r>
    </w:p>
    <w:p w:rsidR="0071027C" w:rsidRPr="003A1FAF" w:rsidRDefault="0071027C" w:rsidP="00274941">
      <w:pPr>
        <w:pStyle w:val="ListParagraph"/>
        <w:numPr>
          <w:ilvl w:val="0"/>
          <w:numId w:val="66"/>
        </w:numPr>
        <w:autoSpaceDE w:val="0"/>
        <w:autoSpaceDN w:val="0"/>
        <w:adjustRightInd w:val="0"/>
        <w:spacing w:before="120" w:after="120"/>
        <w:jc w:val="both"/>
        <w:rPr>
          <w:rFonts w:ascii="Arial" w:hAnsi="Arial" w:cs="Arial"/>
          <w:i/>
          <w:iCs/>
          <w:sz w:val="22"/>
          <w:szCs w:val="22"/>
        </w:rPr>
      </w:pPr>
      <w:r w:rsidRPr="003A1FAF">
        <w:rPr>
          <w:rFonts w:ascii="Arial" w:hAnsi="Arial" w:cs="Arial"/>
          <w:sz w:val="22"/>
          <w:szCs w:val="22"/>
        </w:rPr>
        <w:t>Women should have access to the chosen family planning method within 6 weeks after delivery to avoid unintended pregnancy or the risk of new infection. Encourage the use of condoms for dual protection.</w:t>
      </w:r>
    </w:p>
    <w:p w:rsidR="0071027C" w:rsidRPr="003A1FAF" w:rsidRDefault="0071027C" w:rsidP="0071027C">
      <w:pPr>
        <w:autoSpaceDE w:val="0"/>
        <w:autoSpaceDN w:val="0"/>
        <w:adjustRightInd w:val="0"/>
        <w:spacing w:before="120" w:after="120" w:line="240" w:lineRule="auto"/>
        <w:jc w:val="both"/>
        <w:rPr>
          <w:rFonts w:ascii="Arial" w:hAnsi="Arial" w:cs="Arial"/>
          <w:b/>
          <w:bCs/>
        </w:rPr>
      </w:pPr>
      <w:r w:rsidRPr="003A1FAF">
        <w:rPr>
          <w:rFonts w:ascii="Arial" w:hAnsi="Arial" w:cs="Arial"/>
          <w:b/>
          <w:bCs/>
        </w:rPr>
        <w:t>Scheduling of comprehensive care visits for the mother and infant</w:t>
      </w:r>
    </w:p>
    <w:p w:rsidR="0071027C" w:rsidRPr="003A1FAF" w:rsidRDefault="0071027C" w:rsidP="0071027C">
      <w:pPr>
        <w:autoSpaceDE w:val="0"/>
        <w:autoSpaceDN w:val="0"/>
        <w:adjustRightInd w:val="0"/>
        <w:spacing w:before="120" w:after="120" w:line="240" w:lineRule="auto"/>
        <w:jc w:val="both"/>
        <w:rPr>
          <w:rFonts w:ascii="Arial" w:hAnsi="Arial" w:cs="Arial"/>
        </w:rPr>
      </w:pPr>
      <w:r w:rsidRPr="003A1FAF">
        <w:rPr>
          <w:rFonts w:ascii="Arial" w:hAnsi="Arial" w:cs="Arial"/>
        </w:rPr>
        <w:t xml:space="preserve">Mothers with HIV and their families will need additional on-going HIV care, treatment and support services. The postpartum period is the time to implement the follow-up plan to connect mothers and their families with medical and support services. Healthcare workers should facilitate referrals and linkages to HIV treatment, care and support services. Healthcare workers are responsible for ensuring that the mother knows the time, location, contact person and purpose of all follow-up appointments. These essential follow-up services are outlined in </w:t>
      </w:r>
      <w:r w:rsidRPr="003A1FAF">
        <w:rPr>
          <w:rFonts w:ascii="Arial" w:hAnsi="Arial" w:cs="Arial"/>
          <w:i/>
          <w:iCs/>
        </w:rPr>
        <w:t>Chapter 7: Comprehensive Care and Support for Mothers and Families with HIV Infection</w:t>
      </w:r>
      <w:r w:rsidRPr="003A1FAF">
        <w:rPr>
          <w:rFonts w:ascii="Arial" w:hAnsi="Arial" w:cs="Arial"/>
        </w:rPr>
        <w:t>.</w:t>
      </w:r>
    </w:p>
    <w:p w:rsidR="0071027C" w:rsidRPr="00C203F3" w:rsidRDefault="00AA771C" w:rsidP="00AA771C">
      <w:pPr>
        <w:spacing w:beforeLines="120" w:before="288" w:afterLines="120" w:after="288"/>
        <w:jc w:val="both"/>
        <w:rPr>
          <w:rFonts w:ascii="Arial Narrow" w:hAnsi="Arial Narrow" w:cs="Helvetica"/>
          <w:sz w:val="24"/>
          <w:szCs w:val="24"/>
        </w:rPr>
      </w:pPr>
      <w:r>
        <w:rPr>
          <w:rFonts w:ascii="Arial Narrow" w:hAnsi="Arial Narrow"/>
          <w:noProof/>
          <w:sz w:val="24"/>
          <w:szCs w:val="24"/>
        </w:rPr>
        <mc:AlternateContent>
          <mc:Choice Requires="wps">
            <w:drawing>
              <wp:anchor distT="0" distB="0" distL="114300" distR="114300" simplePos="0" relativeHeight="251700224" behindDoc="0" locked="0" layoutInCell="1" allowOverlap="1">
                <wp:simplePos x="0" y="0"/>
                <wp:positionH relativeFrom="column">
                  <wp:posOffset>61595</wp:posOffset>
                </wp:positionH>
                <wp:positionV relativeFrom="paragraph">
                  <wp:posOffset>97790</wp:posOffset>
                </wp:positionV>
                <wp:extent cx="6024880" cy="656590"/>
                <wp:effectExtent l="13970" t="12065" r="9525" b="17145"/>
                <wp:wrapNone/>
                <wp:docPr id="94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880" cy="656590"/>
                        </a:xfrm>
                        <a:prstGeom prst="rect">
                          <a:avLst/>
                        </a:prstGeom>
                        <a:solidFill>
                          <a:srgbClr val="FFFFFF"/>
                        </a:solidFill>
                        <a:ln w="15875">
                          <a:solidFill>
                            <a:srgbClr val="000000"/>
                          </a:solidFill>
                          <a:miter lim="800000"/>
                          <a:headEnd/>
                          <a:tailEnd/>
                        </a:ln>
                      </wps:spPr>
                      <wps:txbx>
                        <w:txbxContent>
                          <w:p w:rsidR="00B247C9" w:rsidRPr="007C385B" w:rsidRDefault="00B247C9" w:rsidP="0071027C">
                            <w:pPr>
                              <w:autoSpaceDE w:val="0"/>
                              <w:autoSpaceDN w:val="0"/>
                              <w:adjustRightInd w:val="0"/>
                              <w:spacing w:after="0" w:line="240" w:lineRule="auto"/>
                              <w:jc w:val="center"/>
                              <w:rPr>
                                <w:rFonts w:ascii="Arial" w:hAnsi="Arial" w:cs="Arial"/>
                                <w:b/>
                                <w:bCs/>
                              </w:rPr>
                            </w:pPr>
                            <w:r w:rsidRPr="007C385B">
                              <w:rPr>
                                <w:rFonts w:ascii="Arial" w:hAnsi="Arial" w:cs="Arial"/>
                                <w:b/>
                                <w:bCs/>
                              </w:rPr>
                              <w:t>Practice Point</w:t>
                            </w:r>
                          </w:p>
                          <w:p w:rsidR="00B247C9" w:rsidRPr="007C385B" w:rsidRDefault="00B247C9" w:rsidP="0071027C">
                            <w:pPr>
                              <w:autoSpaceDE w:val="0"/>
                              <w:autoSpaceDN w:val="0"/>
                              <w:adjustRightInd w:val="0"/>
                              <w:spacing w:after="0" w:line="240" w:lineRule="auto"/>
                              <w:rPr>
                                <w:rFonts w:ascii="Arial" w:hAnsi="Arial" w:cs="Arial"/>
                              </w:rPr>
                            </w:pPr>
                            <w:r w:rsidRPr="007C385B">
                              <w:rPr>
                                <w:rFonts w:ascii="Arial" w:hAnsi="Arial" w:cs="Arial"/>
                              </w:rPr>
                              <w:t>Standard of care, mother-child follow-up in RCH will continue until the child attains the age of 5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408" type="#_x0000_t202" style="position:absolute;left:0;text-align:left;margin-left:4.85pt;margin-top:7.7pt;width:474.4pt;height:5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" strokeweight="1.25pt">
                <v:textbox>
                  <w:txbxContent>
                    <w:p w:rsidR="00B247C9" w:rsidRPr="007C385B" w:rsidRDefault="00B247C9" w:rsidP="0071027C">
                      <w:pPr>
                        <w:autoSpaceDE w:val="0"/>
                        <w:autoSpaceDN w:val="0"/>
                        <w:adjustRightInd w:val="0"/>
                        <w:spacing w:after="0" w:line="240" w:lineRule="auto"/>
                        <w:jc w:val="center"/>
                        <w:rPr>
                          <w:rFonts w:ascii="Arial" w:hAnsi="Arial" w:cs="Arial"/>
                          <w:b/>
                          <w:bCs/>
                        </w:rPr>
                      </w:pPr>
                      <w:r w:rsidRPr="007C385B">
                        <w:rPr>
                          <w:rFonts w:ascii="Arial" w:hAnsi="Arial" w:cs="Arial"/>
                          <w:b/>
                          <w:bCs/>
                        </w:rPr>
                        <w:t>Practice Point</w:t>
                      </w:r>
                    </w:p>
                    <w:p w:rsidR="00B247C9" w:rsidRPr="007C385B" w:rsidRDefault="00B247C9" w:rsidP="0071027C">
                      <w:pPr>
                        <w:autoSpaceDE w:val="0"/>
                        <w:autoSpaceDN w:val="0"/>
                        <w:adjustRightInd w:val="0"/>
                        <w:spacing w:after="0" w:line="240" w:lineRule="auto"/>
                        <w:rPr>
                          <w:rFonts w:ascii="Arial" w:hAnsi="Arial" w:cs="Arial"/>
                        </w:rPr>
                      </w:pPr>
                      <w:r w:rsidRPr="007C385B">
                        <w:rPr>
                          <w:rFonts w:ascii="Arial" w:hAnsi="Arial" w:cs="Arial"/>
                        </w:rPr>
                        <w:t>Standard of care, mother-child follow-up in RCH will continue until the child attains the age of 5 years.</w:t>
                      </w:r>
                    </w:p>
                  </w:txbxContent>
                </v:textbox>
              </v:shape>
            </w:pict>
          </mc:Fallback>
        </mc:AlternateContent>
      </w:r>
    </w:p>
    <w:p w:rsidR="0071027C" w:rsidRPr="00C203F3" w:rsidRDefault="0071027C" w:rsidP="00AA771C">
      <w:pPr>
        <w:spacing w:beforeLines="120" w:before="288" w:afterLines="120" w:after="288"/>
        <w:jc w:val="both"/>
        <w:rPr>
          <w:rFonts w:ascii="Arial Narrow" w:hAnsi="Arial Narrow"/>
          <w:b/>
          <w:sz w:val="24"/>
          <w:szCs w:val="24"/>
        </w:rPr>
      </w:pPr>
    </w:p>
    <w:p w:rsidR="0051683D" w:rsidRDefault="0051683D" w:rsidP="00AA771C">
      <w:pPr>
        <w:spacing w:beforeLines="120" w:before="288" w:afterLines="120" w:after="288"/>
        <w:jc w:val="both"/>
        <w:rPr>
          <w:rFonts w:ascii="Arial Narrow" w:hAnsi="Arial Narrow"/>
          <w:b/>
          <w:sz w:val="24"/>
          <w:szCs w:val="24"/>
        </w:rPr>
      </w:pPr>
    </w:p>
    <w:p w:rsidR="0051683D" w:rsidRDefault="0051683D" w:rsidP="00AA771C">
      <w:pPr>
        <w:spacing w:beforeLines="120" w:before="288" w:afterLines="120" w:after="288"/>
        <w:jc w:val="both"/>
        <w:rPr>
          <w:rFonts w:ascii="Arial Narrow" w:hAnsi="Arial Narrow"/>
          <w:b/>
          <w:sz w:val="24"/>
          <w:szCs w:val="24"/>
        </w:rPr>
      </w:pPr>
    </w:p>
    <w:p w:rsidR="0051683D" w:rsidRDefault="0051683D" w:rsidP="00AA771C">
      <w:pPr>
        <w:spacing w:beforeLines="120" w:before="288" w:afterLines="120" w:after="288"/>
        <w:jc w:val="both"/>
        <w:rPr>
          <w:rFonts w:ascii="Arial Narrow" w:hAnsi="Arial Narrow"/>
          <w:b/>
          <w:sz w:val="24"/>
          <w:szCs w:val="24"/>
        </w:rPr>
      </w:pPr>
    </w:p>
    <w:p w:rsidR="0071027C" w:rsidRPr="00C203F3" w:rsidRDefault="00AA771C" w:rsidP="00AA771C">
      <w:pPr>
        <w:spacing w:beforeLines="120" w:before="288" w:afterLines="120" w:after="288"/>
        <w:jc w:val="both"/>
        <w:rPr>
          <w:rFonts w:ascii="Arial Narrow" w:hAnsi="Arial Narrow"/>
          <w:b/>
          <w:sz w:val="24"/>
          <w:szCs w:val="24"/>
        </w:rPr>
      </w:pPr>
      <w:r>
        <w:rPr>
          <w:rFonts w:ascii="Arial Narrow" w:hAnsi="Arial Narrow"/>
          <w:noProof/>
          <w:sz w:val="24"/>
          <w:szCs w:val="24"/>
        </w:rPr>
        <mc:AlternateContent>
          <mc:Choice Requires="wps">
            <w:drawing>
              <wp:anchor distT="0" distB="0" distL="114300" distR="114300" simplePos="0" relativeHeight="251701248" behindDoc="0" locked="0" layoutInCell="1" allowOverlap="1">
                <wp:simplePos x="0" y="0"/>
                <wp:positionH relativeFrom="column">
                  <wp:posOffset>61595</wp:posOffset>
                </wp:positionH>
                <wp:positionV relativeFrom="paragraph">
                  <wp:posOffset>205740</wp:posOffset>
                </wp:positionV>
                <wp:extent cx="6024880" cy="2252980"/>
                <wp:effectExtent l="13970" t="15240" r="9525" b="8255"/>
                <wp:wrapNone/>
                <wp:docPr id="938"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880" cy="2252980"/>
                        </a:xfrm>
                        <a:prstGeom prst="rect">
                          <a:avLst/>
                        </a:prstGeom>
                        <a:solidFill>
                          <a:srgbClr val="FFFFFF"/>
                        </a:solidFill>
                        <a:ln w="15875">
                          <a:solidFill>
                            <a:srgbClr val="000000"/>
                          </a:solidFill>
                          <a:miter lim="800000"/>
                          <a:headEnd/>
                          <a:tailEnd/>
                        </a:ln>
                      </wps:spPr>
                      <wps:txbx>
                        <w:txbxContent>
                          <w:p w:rsidR="00B247C9" w:rsidRPr="007C385B" w:rsidRDefault="00B247C9" w:rsidP="0071027C">
                            <w:pPr>
                              <w:autoSpaceDE w:val="0"/>
                              <w:autoSpaceDN w:val="0"/>
                              <w:adjustRightInd w:val="0"/>
                              <w:spacing w:after="0" w:line="240" w:lineRule="auto"/>
                              <w:jc w:val="center"/>
                              <w:rPr>
                                <w:rFonts w:ascii="Arial" w:hAnsi="Arial" w:cs="Arial"/>
                                <w:b/>
                                <w:bCs/>
                              </w:rPr>
                            </w:pPr>
                            <w:r w:rsidRPr="007C385B">
                              <w:rPr>
                                <w:rFonts w:ascii="Arial" w:hAnsi="Arial" w:cs="Arial"/>
                                <w:b/>
                                <w:bCs/>
                              </w:rPr>
                              <w:t>Practice Points</w:t>
                            </w:r>
                          </w:p>
                          <w:p w:rsidR="00B247C9" w:rsidRPr="007C385B" w:rsidRDefault="00B247C9" w:rsidP="0071027C">
                            <w:pPr>
                              <w:autoSpaceDE w:val="0"/>
                              <w:autoSpaceDN w:val="0"/>
                              <w:adjustRightInd w:val="0"/>
                              <w:rPr>
                                <w:rFonts w:ascii="Arial" w:hAnsi="Arial" w:cs="Arial"/>
                              </w:rPr>
                            </w:pPr>
                            <w:r w:rsidRPr="007C385B">
                              <w:rPr>
                                <w:rFonts w:ascii="Arial" w:hAnsi="Arial" w:cs="Arial"/>
                              </w:rPr>
                              <w:t>All postpartum follow-up appointments for the mother and infant, including infant HIV testing and immunizations, should be scheduled before discharge. Women should be instructed on the amount, time, frequency and duration of their ART medication. They should receive information about the importance of adhering to ART. Women should receive information about the importance of observing time for infant HIV testing and adherence on ARV and CPT prophylaxis for their infants. Women living with HIV should return for postpartum care at 7, 28 and 42 days postpartum. When HIV care and treatment services are not available at the RCH clinic, they should be immediately referred to a nearby CTC. All infants should have their HIV exposure status recorded on their immunization cards and should be followed monthly at Under-Five clinics.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409" type="#_x0000_t202" style="position:absolute;left:0;text-align:left;margin-left:4.85pt;margin-top:16.2pt;width:474.4pt;height:177.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" strokeweight="1.25pt">
                <v:textbox>
                  <w:txbxContent>
                    <w:p w:rsidR="00B247C9" w:rsidRPr="007C385B" w:rsidRDefault="00B247C9" w:rsidP="0071027C">
                      <w:pPr>
                        <w:autoSpaceDE w:val="0"/>
                        <w:autoSpaceDN w:val="0"/>
                        <w:adjustRightInd w:val="0"/>
                        <w:spacing w:after="0" w:line="240" w:lineRule="auto"/>
                        <w:jc w:val="center"/>
                        <w:rPr>
                          <w:rFonts w:ascii="Arial" w:hAnsi="Arial" w:cs="Arial"/>
                          <w:b/>
                          <w:bCs/>
                        </w:rPr>
                      </w:pPr>
                      <w:r w:rsidRPr="007C385B">
                        <w:rPr>
                          <w:rFonts w:ascii="Arial" w:hAnsi="Arial" w:cs="Arial"/>
                          <w:b/>
                          <w:bCs/>
                        </w:rPr>
                        <w:t>Practice Points</w:t>
                      </w:r>
                    </w:p>
                    <w:p w:rsidR="00B247C9" w:rsidRPr="007C385B" w:rsidRDefault="00B247C9" w:rsidP="0071027C">
                      <w:pPr>
                        <w:autoSpaceDE w:val="0"/>
                        <w:autoSpaceDN w:val="0"/>
                        <w:adjustRightInd w:val="0"/>
                        <w:rPr>
                          <w:rFonts w:ascii="Arial" w:hAnsi="Arial" w:cs="Arial"/>
                        </w:rPr>
                      </w:pPr>
                      <w:r w:rsidRPr="007C385B">
                        <w:rPr>
                          <w:rFonts w:ascii="Arial" w:hAnsi="Arial" w:cs="Arial"/>
                        </w:rPr>
                        <w:t>All postpartum follow-up appointments for the mother and infant, including infant HIV testing and immunizations, should be scheduled before discharge. Women should be instructed on the amount, time, frequency and duration of their ART medication. They should receive information about the importance of adhering to ART. Women should receive information about the importance of observing time for infant HIV testing and adherence on ARV and CPT prophylaxis for their infants. Women living with HIV should return for postpartum care at 7, 28 and 42 days postpartum. When HIV care and treatment services are not available at the RCH clinic, they should be immediately referred to a nearby CTC. All infants should have their HIV exposure status recorded on their immunization cards and should be followed monthly at Under-Five clinics.</w:t>
                      </w:r>
                    </w:p>
                  </w:txbxContent>
                </v:textbox>
              </v:shape>
            </w:pict>
          </mc:Fallback>
        </mc:AlternateContent>
      </w:r>
    </w:p>
    <w:p w:rsidR="0071027C" w:rsidRPr="00C203F3" w:rsidRDefault="0071027C" w:rsidP="00AA771C">
      <w:pPr>
        <w:spacing w:beforeLines="120" w:before="288" w:afterLines="120" w:after="288"/>
        <w:jc w:val="both"/>
        <w:rPr>
          <w:rFonts w:ascii="Arial Narrow" w:hAnsi="Arial Narrow"/>
          <w:b/>
          <w:sz w:val="24"/>
          <w:szCs w:val="24"/>
        </w:rPr>
      </w:pPr>
    </w:p>
    <w:p w:rsidR="0071027C" w:rsidRPr="00C203F3" w:rsidRDefault="0071027C" w:rsidP="00AA771C">
      <w:pPr>
        <w:spacing w:beforeLines="120" w:before="288" w:afterLines="120" w:after="288"/>
        <w:jc w:val="both"/>
        <w:rPr>
          <w:rFonts w:ascii="Arial Narrow" w:hAnsi="Arial Narrow"/>
          <w:b/>
          <w:sz w:val="24"/>
          <w:szCs w:val="24"/>
        </w:rPr>
      </w:pPr>
    </w:p>
    <w:p w:rsidR="0071027C" w:rsidRPr="00C203F3" w:rsidRDefault="0071027C" w:rsidP="00AA771C">
      <w:pPr>
        <w:spacing w:beforeLines="120" w:before="288" w:afterLines="120" w:after="288"/>
        <w:jc w:val="both"/>
        <w:rPr>
          <w:rFonts w:ascii="Arial Narrow" w:hAnsi="Arial Narrow"/>
          <w:b/>
          <w:sz w:val="24"/>
          <w:szCs w:val="24"/>
        </w:rPr>
      </w:pPr>
    </w:p>
    <w:p w:rsidR="0071027C" w:rsidRDefault="0071027C" w:rsidP="00AA771C">
      <w:pPr>
        <w:autoSpaceDE w:val="0"/>
        <w:autoSpaceDN w:val="0"/>
        <w:adjustRightInd w:val="0"/>
        <w:spacing w:beforeLines="120" w:before="288" w:afterLines="120" w:after="288"/>
        <w:jc w:val="both"/>
        <w:rPr>
          <w:rFonts w:ascii="Arial Narrow" w:hAnsi="Arial Narrow"/>
          <w:b/>
          <w:sz w:val="24"/>
          <w:szCs w:val="24"/>
        </w:rPr>
      </w:pPr>
    </w:p>
    <w:p w:rsidR="0051683D" w:rsidRDefault="0051683D" w:rsidP="00AA771C">
      <w:pPr>
        <w:autoSpaceDE w:val="0"/>
        <w:autoSpaceDN w:val="0"/>
        <w:adjustRightInd w:val="0"/>
        <w:spacing w:beforeLines="120" w:before="288" w:afterLines="120" w:after="288"/>
        <w:jc w:val="both"/>
        <w:rPr>
          <w:rFonts w:ascii="Arial Narrow" w:hAnsi="Arial Narrow"/>
          <w:b/>
          <w:sz w:val="24"/>
          <w:szCs w:val="24"/>
        </w:rPr>
      </w:pPr>
    </w:p>
    <w:p w:rsidR="0051683D" w:rsidRDefault="0051683D" w:rsidP="00AA771C">
      <w:pPr>
        <w:autoSpaceDE w:val="0"/>
        <w:autoSpaceDN w:val="0"/>
        <w:adjustRightInd w:val="0"/>
        <w:spacing w:beforeLines="120" w:before="288" w:afterLines="120" w:after="288"/>
        <w:jc w:val="both"/>
        <w:rPr>
          <w:rFonts w:ascii="Arial Narrow" w:hAnsi="Arial Narrow"/>
          <w:b/>
          <w:sz w:val="24"/>
          <w:szCs w:val="24"/>
        </w:rPr>
      </w:pPr>
    </w:p>
    <w:p w:rsidR="0051683D" w:rsidRPr="00C203F3" w:rsidRDefault="0051683D" w:rsidP="00AA771C">
      <w:pPr>
        <w:autoSpaceDE w:val="0"/>
        <w:autoSpaceDN w:val="0"/>
        <w:adjustRightInd w:val="0"/>
        <w:spacing w:beforeLines="120" w:before="288" w:afterLines="120" w:after="288"/>
        <w:jc w:val="both"/>
        <w:rPr>
          <w:rFonts w:ascii="Arial Narrow" w:hAnsi="Arial Narrow"/>
          <w:b/>
          <w:sz w:val="24"/>
          <w:szCs w:val="24"/>
        </w:rPr>
      </w:pPr>
    </w:p>
    <w:p w:rsidR="0071027C" w:rsidRPr="007C385B" w:rsidRDefault="0071027C" w:rsidP="0071027C">
      <w:pPr>
        <w:spacing w:before="120" w:after="120" w:line="240" w:lineRule="auto"/>
        <w:jc w:val="both"/>
        <w:rPr>
          <w:rFonts w:ascii="Arial" w:hAnsi="Arial" w:cs="Arial"/>
          <w:b/>
        </w:rPr>
      </w:pPr>
      <w:r w:rsidRPr="007C385B">
        <w:rPr>
          <w:rFonts w:ascii="Arial" w:hAnsi="Arial" w:cs="Arial"/>
          <w:b/>
        </w:rPr>
        <w:t>Postpartum assessment of healing and routine physical assessment</w:t>
      </w:r>
    </w:p>
    <w:p w:rsidR="0071027C" w:rsidRPr="007C385B" w:rsidRDefault="0071027C" w:rsidP="0071027C">
      <w:pPr>
        <w:autoSpaceDE w:val="0"/>
        <w:autoSpaceDN w:val="0"/>
        <w:adjustRightInd w:val="0"/>
        <w:spacing w:before="120" w:after="120" w:line="240" w:lineRule="auto"/>
        <w:jc w:val="both"/>
        <w:rPr>
          <w:rFonts w:ascii="Arial" w:hAnsi="Arial" w:cs="Arial"/>
        </w:rPr>
      </w:pPr>
      <w:r w:rsidRPr="007C385B">
        <w:rPr>
          <w:rFonts w:ascii="Arial" w:hAnsi="Arial" w:cs="Arial"/>
        </w:rPr>
        <w:t>During the mother’s postpartum visits, HCWs should conduct the following activities to monitor the mother’s healing:</w:t>
      </w:r>
    </w:p>
    <w:p w:rsidR="0071027C" w:rsidRPr="007C385B" w:rsidRDefault="0071027C" w:rsidP="00274941">
      <w:pPr>
        <w:pStyle w:val="ListParagraph"/>
        <w:numPr>
          <w:ilvl w:val="0"/>
          <w:numId w:val="67"/>
        </w:numPr>
        <w:autoSpaceDE w:val="0"/>
        <w:autoSpaceDN w:val="0"/>
        <w:adjustRightInd w:val="0"/>
        <w:jc w:val="both"/>
        <w:rPr>
          <w:rFonts w:ascii="Arial" w:hAnsi="Arial" w:cs="Arial"/>
          <w:sz w:val="22"/>
          <w:szCs w:val="22"/>
        </w:rPr>
      </w:pPr>
      <w:r w:rsidRPr="007C385B">
        <w:rPr>
          <w:rFonts w:ascii="Arial" w:hAnsi="Arial" w:cs="Arial"/>
          <w:sz w:val="22"/>
          <w:szCs w:val="22"/>
        </w:rPr>
        <w:t>Measure blood pressure and temperature.</w:t>
      </w:r>
    </w:p>
    <w:p w:rsidR="0071027C" w:rsidRPr="007C385B" w:rsidRDefault="0071027C" w:rsidP="00274941">
      <w:pPr>
        <w:pStyle w:val="ListParagraph"/>
        <w:numPr>
          <w:ilvl w:val="0"/>
          <w:numId w:val="67"/>
        </w:numPr>
        <w:autoSpaceDE w:val="0"/>
        <w:autoSpaceDN w:val="0"/>
        <w:adjustRightInd w:val="0"/>
        <w:jc w:val="both"/>
        <w:rPr>
          <w:rFonts w:ascii="Arial" w:hAnsi="Arial" w:cs="Arial"/>
          <w:sz w:val="22"/>
          <w:szCs w:val="22"/>
        </w:rPr>
      </w:pPr>
      <w:r w:rsidRPr="007C385B">
        <w:rPr>
          <w:rFonts w:ascii="Arial" w:hAnsi="Arial" w:cs="Arial"/>
          <w:sz w:val="22"/>
          <w:szCs w:val="22"/>
        </w:rPr>
        <w:t>Monitor uterine involution (shrinking).</w:t>
      </w:r>
    </w:p>
    <w:p w:rsidR="0071027C" w:rsidRPr="007C385B" w:rsidRDefault="0071027C" w:rsidP="00274941">
      <w:pPr>
        <w:pStyle w:val="ListParagraph"/>
        <w:numPr>
          <w:ilvl w:val="0"/>
          <w:numId w:val="67"/>
        </w:numPr>
        <w:autoSpaceDE w:val="0"/>
        <w:autoSpaceDN w:val="0"/>
        <w:adjustRightInd w:val="0"/>
        <w:jc w:val="both"/>
        <w:rPr>
          <w:rFonts w:ascii="Arial" w:hAnsi="Arial" w:cs="Arial"/>
          <w:sz w:val="22"/>
          <w:szCs w:val="22"/>
        </w:rPr>
      </w:pPr>
      <w:r w:rsidRPr="007C385B">
        <w:rPr>
          <w:rFonts w:ascii="Arial" w:hAnsi="Arial" w:cs="Arial"/>
          <w:sz w:val="22"/>
          <w:szCs w:val="22"/>
        </w:rPr>
        <w:t>Check healing of any repaired genital/perineal lacerations or episiotomy.</w:t>
      </w:r>
    </w:p>
    <w:p w:rsidR="0071027C" w:rsidRPr="007C385B" w:rsidRDefault="0071027C" w:rsidP="00274941">
      <w:pPr>
        <w:pStyle w:val="ListParagraph"/>
        <w:numPr>
          <w:ilvl w:val="0"/>
          <w:numId w:val="67"/>
        </w:numPr>
        <w:autoSpaceDE w:val="0"/>
        <w:autoSpaceDN w:val="0"/>
        <w:adjustRightInd w:val="0"/>
        <w:jc w:val="both"/>
        <w:rPr>
          <w:rFonts w:ascii="Arial" w:hAnsi="Arial" w:cs="Arial"/>
          <w:sz w:val="22"/>
          <w:szCs w:val="22"/>
        </w:rPr>
      </w:pPr>
      <w:r w:rsidRPr="007C385B">
        <w:rPr>
          <w:rFonts w:ascii="Arial" w:hAnsi="Arial" w:cs="Arial"/>
          <w:sz w:val="22"/>
          <w:szCs w:val="22"/>
        </w:rPr>
        <w:t>Examine the vulva and perineum for signs of infection, redness, tears, swelling or pus.</w:t>
      </w:r>
    </w:p>
    <w:p w:rsidR="0071027C" w:rsidRPr="007C385B" w:rsidRDefault="0071027C" w:rsidP="00274941">
      <w:pPr>
        <w:pStyle w:val="ListParagraph"/>
        <w:numPr>
          <w:ilvl w:val="0"/>
          <w:numId w:val="67"/>
        </w:numPr>
        <w:autoSpaceDE w:val="0"/>
        <w:autoSpaceDN w:val="0"/>
        <w:adjustRightInd w:val="0"/>
        <w:jc w:val="both"/>
        <w:rPr>
          <w:rFonts w:ascii="Arial" w:hAnsi="Arial" w:cs="Arial"/>
          <w:sz w:val="22"/>
          <w:szCs w:val="22"/>
        </w:rPr>
      </w:pPr>
      <w:r w:rsidRPr="007C385B">
        <w:rPr>
          <w:rFonts w:ascii="Arial" w:hAnsi="Arial" w:cs="Arial"/>
          <w:sz w:val="22"/>
          <w:szCs w:val="22"/>
        </w:rPr>
        <w:t>Confirm cessation of postpartum bleeding (check sanitary pad for the amount of bleeding).</w:t>
      </w:r>
    </w:p>
    <w:p w:rsidR="0071027C" w:rsidRPr="007C385B" w:rsidRDefault="0071027C" w:rsidP="00274941">
      <w:pPr>
        <w:pStyle w:val="ListParagraph"/>
        <w:numPr>
          <w:ilvl w:val="0"/>
          <w:numId w:val="67"/>
        </w:numPr>
        <w:autoSpaceDE w:val="0"/>
        <w:autoSpaceDN w:val="0"/>
        <w:adjustRightInd w:val="0"/>
        <w:jc w:val="both"/>
        <w:rPr>
          <w:rFonts w:ascii="Arial" w:hAnsi="Arial" w:cs="Arial"/>
          <w:sz w:val="22"/>
          <w:szCs w:val="22"/>
        </w:rPr>
      </w:pPr>
      <w:r w:rsidRPr="007C385B">
        <w:rPr>
          <w:rFonts w:ascii="Arial" w:hAnsi="Arial" w:cs="Arial"/>
          <w:sz w:val="22"/>
          <w:szCs w:val="22"/>
        </w:rPr>
        <w:t>Check for signs of infection.</w:t>
      </w:r>
    </w:p>
    <w:p w:rsidR="0071027C" w:rsidRPr="007C385B" w:rsidRDefault="0071027C" w:rsidP="00274941">
      <w:pPr>
        <w:pStyle w:val="ListParagraph"/>
        <w:numPr>
          <w:ilvl w:val="0"/>
          <w:numId w:val="67"/>
        </w:numPr>
        <w:jc w:val="both"/>
        <w:rPr>
          <w:rFonts w:ascii="Arial" w:hAnsi="Arial" w:cs="Arial"/>
          <w:b/>
          <w:sz w:val="22"/>
          <w:szCs w:val="22"/>
        </w:rPr>
      </w:pPr>
      <w:r w:rsidRPr="007C385B">
        <w:rPr>
          <w:rFonts w:ascii="Arial" w:hAnsi="Arial" w:cs="Arial"/>
          <w:sz w:val="22"/>
          <w:szCs w:val="22"/>
        </w:rPr>
        <w:t>Check for signs of anaemia (e.g., pallor) and ask about fatigue.</w:t>
      </w:r>
    </w:p>
    <w:p w:rsidR="0071027C" w:rsidRPr="00C203F3" w:rsidRDefault="0071027C" w:rsidP="00AA771C">
      <w:pPr>
        <w:pStyle w:val="ListParagraph"/>
        <w:spacing w:beforeLines="120" w:before="288" w:afterLines="120" w:after="288" w:line="276" w:lineRule="auto"/>
        <w:jc w:val="both"/>
        <w:rPr>
          <w:rFonts w:ascii="Arial Narrow" w:hAnsi="Arial Narrow"/>
          <w:b/>
        </w:rPr>
      </w:pPr>
    </w:p>
    <w:p w:rsidR="0071027C" w:rsidRPr="007C385B" w:rsidRDefault="0071027C" w:rsidP="0071027C">
      <w:pPr>
        <w:pStyle w:val="Heading2"/>
      </w:pPr>
      <w:bookmarkStart w:id="524" w:name="_Toc374979692"/>
      <w:bookmarkStart w:id="525" w:name="_Toc378258204"/>
      <w:bookmarkStart w:id="526" w:name="_Toc382214063"/>
      <w:r w:rsidRPr="007C385B">
        <w:t>8.6. Use of antiretroviral (ARV) drugs during pregnancy and Lactating mothers.</w:t>
      </w:r>
      <w:bookmarkEnd w:id="524"/>
      <w:bookmarkEnd w:id="525"/>
      <w:bookmarkEnd w:id="526"/>
    </w:p>
    <w:p w:rsidR="0071027C" w:rsidRPr="007C385B" w:rsidRDefault="0071027C" w:rsidP="0071027C">
      <w:pPr>
        <w:autoSpaceDE w:val="0"/>
        <w:autoSpaceDN w:val="0"/>
        <w:adjustRightInd w:val="0"/>
        <w:spacing w:before="120" w:after="120" w:line="240" w:lineRule="auto"/>
        <w:jc w:val="both"/>
        <w:rPr>
          <w:rFonts w:ascii="Arial" w:hAnsi="Arial" w:cs="Arial"/>
        </w:rPr>
      </w:pPr>
      <w:r w:rsidRPr="007C385B">
        <w:rPr>
          <w:rFonts w:ascii="Arial" w:hAnsi="Arial" w:cs="Arial"/>
        </w:rPr>
        <w:t xml:space="preserve">ARV drugs are used for pregnant and lactating mothers with HIV primarily for the mother’s health and to prevent the exposed child from becoming infected. It may also offer benefits for preventing the sexual transmission of HIV. </w:t>
      </w:r>
    </w:p>
    <w:p w:rsidR="0071027C" w:rsidRPr="007C385B" w:rsidRDefault="0071027C" w:rsidP="0071027C">
      <w:pPr>
        <w:pStyle w:val="Heading3"/>
      </w:pPr>
      <w:bookmarkStart w:id="527" w:name="_Toc374979693"/>
      <w:bookmarkStart w:id="528" w:name="_Toc378258205"/>
      <w:bookmarkStart w:id="529" w:name="_Toc382214064"/>
      <w:r w:rsidRPr="007C385B">
        <w:t>8.6.1. Prevention of Mother to Child Transmission</w:t>
      </w:r>
      <w:bookmarkEnd w:id="527"/>
      <w:bookmarkEnd w:id="528"/>
      <w:bookmarkEnd w:id="529"/>
    </w:p>
    <w:p w:rsidR="0071027C" w:rsidRPr="007C385B" w:rsidRDefault="0071027C" w:rsidP="0071027C">
      <w:pPr>
        <w:autoSpaceDE w:val="0"/>
        <w:autoSpaceDN w:val="0"/>
        <w:adjustRightInd w:val="0"/>
        <w:spacing w:before="120" w:after="120" w:line="240" w:lineRule="auto"/>
        <w:jc w:val="both"/>
        <w:rPr>
          <w:rFonts w:ascii="Arial" w:hAnsi="Arial" w:cs="Arial"/>
        </w:rPr>
      </w:pPr>
      <w:r w:rsidRPr="007C385B">
        <w:rPr>
          <w:rFonts w:ascii="Arial" w:hAnsi="Arial" w:cs="Arial"/>
        </w:rPr>
        <w:t>The pregnant or breast feeding women with HIV should be started with lifelong ART for their own health at the time of diagnosis. The recommended first line regimen is once a day fixed dose regimen of Tenofovir (TDF)+Lamivudine93TC)+ Efavirenz (EFV). This regimen should be continued postpartum and women should receive on-going counselling support to continuing HIV care and treatment in order to maintain good health and to reduce the risk of HIV transmission to others. Available Alternative first line ART regimen includes AZT+3TC+NVP. Also this regimen is recommended to pregnant women in the first trimester and women of child bearing age.</w:t>
      </w:r>
    </w:p>
    <w:tbl>
      <w:tblPr>
        <w:tblW w:w="4900" w:type="pct"/>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right w:w="58" w:type="dxa"/>
        </w:tblCellMar>
        <w:tblLook w:val="01E0" w:firstRow="1" w:lastRow="1" w:firstColumn="1" w:lastColumn="1" w:noHBand="0" w:noVBand="0"/>
      </w:tblPr>
      <w:tblGrid>
        <w:gridCol w:w="4613"/>
        <w:gridCol w:w="4666"/>
        <w:gridCol w:w="7"/>
      </w:tblGrid>
      <w:tr w:rsidR="0071027C" w:rsidRPr="007C385B" w:rsidTr="0071027C">
        <w:trPr>
          <w:gridAfter w:val="1"/>
          <w:wAfter w:w="7" w:type="dxa"/>
          <w:cantSplit/>
          <w:trHeight w:val="29"/>
        </w:trPr>
        <w:tc>
          <w:tcPr>
            <w:tcW w:w="9279" w:type="dxa"/>
            <w:gridSpan w:val="2"/>
            <w:tcBorders>
              <w:top w:val="nil"/>
              <w:left w:val="nil"/>
              <w:bottom w:val="nil"/>
              <w:right w:val="nil"/>
            </w:tcBorders>
            <w:shd w:val="clear" w:color="auto" w:fill="auto"/>
            <w:vAlign w:val="bottom"/>
            <w:hideMark/>
          </w:tcPr>
          <w:p w:rsidR="0071027C" w:rsidRPr="007C385B" w:rsidRDefault="0071027C" w:rsidP="00AA771C">
            <w:pPr>
              <w:spacing w:beforeLines="120" w:before="288" w:afterLines="120" w:after="288"/>
              <w:jc w:val="both"/>
              <w:rPr>
                <w:rFonts w:ascii="Arial" w:hAnsi="Arial" w:cs="Arial"/>
                <w:b/>
              </w:rPr>
            </w:pPr>
            <w:r w:rsidRPr="007C385B">
              <w:rPr>
                <w:rFonts w:ascii="Arial" w:hAnsi="Arial" w:cs="Arial"/>
                <w:b/>
              </w:rPr>
              <w:t>Table 8.4 Infant NVP dosing</w:t>
            </w:r>
          </w:p>
        </w:tc>
      </w:tr>
      <w:tr w:rsidR="0071027C" w:rsidRPr="007C385B" w:rsidTr="0071027C">
        <w:trPr>
          <w:gridAfter w:val="1"/>
          <w:wAfter w:w="7" w:type="dxa"/>
          <w:cantSplit/>
          <w:trHeight w:val="348"/>
        </w:trPr>
        <w:tc>
          <w:tcPr>
            <w:tcW w:w="9279" w:type="dxa"/>
            <w:gridSpan w:val="2"/>
            <w:tcBorders>
              <w:top w:val="nil"/>
              <w:left w:val="single" w:sz="4" w:space="0" w:color="auto"/>
              <w:bottom w:val="dotted" w:sz="4" w:space="0" w:color="auto"/>
              <w:right w:val="single" w:sz="4" w:space="0" w:color="auto"/>
            </w:tcBorders>
            <w:shd w:val="clear" w:color="auto" w:fill="000000"/>
            <w:vAlign w:val="bottom"/>
            <w:hideMark/>
          </w:tcPr>
          <w:p w:rsidR="0071027C" w:rsidRPr="007C385B" w:rsidRDefault="0071027C" w:rsidP="00AA771C">
            <w:pPr>
              <w:spacing w:beforeLines="120" w:before="288" w:afterLines="120" w:after="288"/>
              <w:ind w:right="26"/>
              <w:jc w:val="both"/>
              <w:rPr>
                <w:rFonts w:ascii="Arial" w:hAnsi="Arial" w:cs="Arial"/>
                <w:b/>
              </w:rPr>
            </w:pPr>
            <w:r w:rsidRPr="007C385B">
              <w:rPr>
                <w:rFonts w:ascii="Arial" w:hAnsi="Arial" w:cs="Arial"/>
                <w:b/>
              </w:rPr>
              <w:t xml:space="preserve"> Infant NVP dosing recommendations*</w:t>
            </w:r>
          </w:p>
        </w:tc>
      </w:tr>
      <w:tr w:rsidR="0071027C" w:rsidRPr="007C385B" w:rsidTr="0071027C">
        <w:tc>
          <w:tcPr>
            <w:tcW w:w="4613" w:type="dxa"/>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rsidR="0071027C" w:rsidRPr="007C385B" w:rsidRDefault="0071027C" w:rsidP="00AA771C">
            <w:pPr>
              <w:autoSpaceDE w:val="0"/>
              <w:autoSpaceDN w:val="0"/>
              <w:adjustRightInd w:val="0"/>
              <w:spacing w:beforeLines="120" w:before="288" w:afterLines="120" w:after="288"/>
              <w:jc w:val="both"/>
              <w:rPr>
                <w:rFonts w:ascii="Arial" w:eastAsia="HelveticaNeueLTStd-Lt" w:hAnsi="Arial" w:cs="Arial"/>
                <w:b/>
              </w:rPr>
            </w:pPr>
            <w:r w:rsidRPr="007C385B">
              <w:rPr>
                <w:rFonts w:ascii="Arial" w:eastAsia="HelveticaNeueLTStd-Lt" w:hAnsi="Arial" w:cs="Arial"/>
                <w:b/>
              </w:rPr>
              <w:t>Infant age</w:t>
            </w:r>
          </w:p>
        </w:tc>
        <w:tc>
          <w:tcPr>
            <w:tcW w:w="4673" w:type="dxa"/>
            <w:gridSpan w:val="2"/>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hideMark/>
          </w:tcPr>
          <w:p w:rsidR="0071027C" w:rsidRPr="007C385B" w:rsidRDefault="0071027C" w:rsidP="00AA771C">
            <w:pPr>
              <w:autoSpaceDE w:val="0"/>
              <w:autoSpaceDN w:val="0"/>
              <w:adjustRightInd w:val="0"/>
              <w:spacing w:beforeLines="120" w:before="288" w:afterLines="120" w:after="288"/>
              <w:jc w:val="both"/>
              <w:rPr>
                <w:rFonts w:ascii="Arial" w:eastAsia="HelveticaNeueLTStd-Lt" w:hAnsi="Arial" w:cs="Arial"/>
                <w:b/>
              </w:rPr>
            </w:pPr>
            <w:r w:rsidRPr="007C385B">
              <w:rPr>
                <w:rFonts w:ascii="Arial" w:eastAsia="HelveticaNeueLTStd-Lt" w:hAnsi="Arial" w:cs="Arial"/>
                <w:b/>
              </w:rPr>
              <w:t>NVP daily dosing</w:t>
            </w:r>
          </w:p>
        </w:tc>
      </w:tr>
      <w:tr w:rsidR="0071027C" w:rsidRPr="007C385B" w:rsidTr="0071027C">
        <w:tc>
          <w:tcPr>
            <w:tcW w:w="46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1027C" w:rsidRPr="007C385B" w:rsidRDefault="0071027C" w:rsidP="00AA771C">
            <w:pPr>
              <w:autoSpaceDE w:val="0"/>
              <w:autoSpaceDN w:val="0"/>
              <w:adjustRightInd w:val="0"/>
              <w:spacing w:beforeLines="120" w:before="288" w:afterLines="120" w:after="288"/>
              <w:jc w:val="both"/>
              <w:rPr>
                <w:rFonts w:ascii="Arial" w:eastAsia="HelveticaNeueLTStd-Lt" w:hAnsi="Arial" w:cs="Arial"/>
              </w:rPr>
            </w:pPr>
            <w:r w:rsidRPr="007C385B">
              <w:rPr>
                <w:rFonts w:ascii="Arial" w:eastAsia="HelveticaNeueLTStd-Lt" w:hAnsi="Arial" w:cs="Arial"/>
              </w:rPr>
              <w:t>Birth to 6 weeks</w:t>
            </w:r>
          </w:p>
          <w:p w:rsidR="0071027C" w:rsidRPr="007C385B" w:rsidRDefault="0071027C" w:rsidP="00AA771C">
            <w:pPr>
              <w:pStyle w:val="ListParagraph"/>
              <w:numPr>
                <w:ilvl w:val="0"/>
                <w:numId w:val="68"/>
              </w:numPr>
              <w:autoSpaceDE w:val="0"/>
              <w:autoSpaceDN w:val="0"/>
              <w:adjustRightInd w:val="0"/>
              <w:spacing w:beforeLines="120" w:before="288" w:afterLines="120" w:after="288" w:line="276" w:lineRule="auto"/>
              <w:jc w:val="both"/>
              <w:rPr>
                <w:rFonts w:ascii="Arial" w:eastAsia="HelveticaNeueLTStd-Lt" w:hAnsi="Arial" w:cs="Arial"/>
                <w:sz w:val="22"/>
                <w:szCs w:val="22"/>
              </w:rPr>
            </w:pPr>
            <w:r w:rsidRPr="007C385B">
              <w:rPr>
                <w:rFonts w:ascii="Arial" w:eastAsia="HelveticaNeueLTStd-Lt" w:hAnsi="Arial" w:cs="Arial"/>
                <w:sz w:val="22"/>
                <w:szCs w:val="22"/>
              </w:rPr>
              <w:t>Birth weight 2000–2499 g</w:t>
            </w:r>
          </w:p>
          <w:p w:rsidR="0071027C" w:rsidRPr="007C385B" w:rsidRDefault="0071027C" w:rsidP="00AA771C">
            <w:pPr>
              <w:pStyle w:val="ListParagraph"/>
              <w:numPr>
                <w:ilvl w:val="0"/>
                <w:numId w:val="68"/>
              </w:numPr>
              <w:autoSpaceDE w:val="0"/>
              <w:autoSpaceDN w:val="0"/>
              <w:adjustRightInd w:val="0"/>
              <w:spacing w:beforeLines="120" w:before="288" w:afterLines="120" w:after="288" w:line="276" w:lineRule="auto"/>
              <w:jc w:val="both"/>
              <w:rPr>
                <w:rFonts w:ascii="Arial" w:eastAsia="HelveticaNeueLTStd-Lt" w:hAnsi="Arial" w:cs="Arial"/>
                <w:sz w:val="22"/>
                <w:szCs w:val="22"/>
              </w:rPr>
            </w:pPr>
            <w:r w:rsidRPr="007C385B">
              <w:rPr>
                <w:rFonts w:ascii="Arial" w:eastAsia="HelveticaNeueLTStd-Lt" w:hAnsi="Arial" w:cs="Arial"/>
                <w:sz w:val="22"/>
                <w:szCs w:val="22"/>
              </w:rPr>
              <w:t>Birth weight ≥2500 g</w:t>
            </w:r>
          </w:p>
        </w:tc>
        <w:tc>
          <w:tcPr>
            <w:tcW w:w="467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1027C" w:rsidRPr="007C385B" w:rsidRDefault="0071027C" w:rsidP="00AA771C">
            <w:pPr>
              <w:autoSpaceDE w:val="0"/>
              <w:autoSpaceDN w:val="0"/>
              <w:adjustRightInd w:val="0"/>
              <w:spacing w:beforeLines="120" w:before="288" w:afterLines="120" w:after="288"/>
              <w:jc w:val="both"/>
              <w:rPr>
                <w:rFonts w:ascii="Arial" w:eastAsia="HelveticaNeueLTStd-Lt" w:hAnsi="Arial" w:cs="Arial"/>
              </w:rPr>
            </w:pPr>
          </w:p>
          <w:p w:rsidR="0071027C" w:rsidRPr="007C385B" w:rsidRDefault="0071027C" w:rsidP="00AA771C">
            <w:pPr>
              <w:autoSpaceDE w:val="0"/>
              <w:autoSpaceDN w:val="0"/>
              <w:adjustRightInd w:val="0"/>
              <w:spacing w:beforeLines="120" w:before="288" w:afterLines="120" w:after="288"/>
              <w:jc w:val="both"/>
              <w:rPr>
                <w:rFonts w:ascii="Arial" w:eastAsia="HelveticaNeueLTStd-Lt" w:hAnsi="Arial" w:cs="Arial"/>
              </w:rPr>
            </w:pPr>
            <w:r w:rsidRPr="007C385B">
              <w:rPr>
                <w:rFonts w:ascii="Arial" w:eastAsia="HelveticaNeueLTStd-Lt" w:hAnsi="Arial" w:cs="Arial"/>
              </w:rPr>
              <w:t>10 mg once daily15 mg once daily</w:t>
            </w:r>
          </w:p>
        </w:tc>
      </w:tr>
      <w:tr w:rsidR="0071027C" w:rsidRPr="007C385B" w:rsidTr="0071027C">
        <w:trPr>
          <w:gridAfter w:val="1"/>
          <w:wAfter w:w="7" w:type="dxa"/>
        </w:trPr>
        <w:tc>
          <w:tcPr>
            <w:tcW w:w="4613" w:type="dxa"/>
            <w:tcBorders>
              <w:top w:val="single" w:sz="4" w:space="0" w:color="auto"/>
              <w:left w:val="single" w:sz="4" w:space="0" w:color="auto"/>
              <w:bottom w:val="single" w:sz="4" w:space="0" w:color="auto"/>
              <w:right w:val="single" w:sz="4" w:space="0" w:color="auto"/>
            </w:tcBorders>
            <w:shd w:val="clear" w:color="auto" w:fill="F3F3F3"/>
            <w:tcMar>
              <w:top w:w="0" w:type="dxa"/>
              <w:left w:w="108" w:type="dxa"/>
              <w:bottom w:w="0" w:type="dxa"/>
              <w:right w:w="108" w:type="dxa"/>
            </w:tcMar>
            <w:hideMark/>
          </w:tcPr>
          <w:p w:rsidR="0071027C" w:rsidRPr="007C385B" w:rsidRDefault="0071027C" w:rsidP="00AA771C">
            <w:pPr>
              <w:autoSpaceDE w:val="0"/>
              <w:autoSpaceDN w:val="0"/>
              <w:adjustRightInd w:val="0"/>
              <w:spacing w:beforeLines="120" w:before="288" w:afterLines="120" w:after="288"/>
              <w:jc w:val="both"/>
              <w:rPr>
                <w:rFonts w:ascii="Arial" w:eastAsia="HelveticaNeueLTStd-Lt" w:hAnsi="Arial" w:cs="Arial"/>
              </w:rPr>
            </w:pPr>
          </w:p>
        </w:tc>
        <w:tc>
          <w:tcPr>
            <w:tcW w:w="4666" w:type="dxa"/>
            <w:tcBorders>
              <w:top w:val="single" w:sz="4" w:space="0" w:color="auto"/>
              <w:left w:val="single" w:sz="4" w:space="0" w:color="auto"/>
              <w:bottom w:val="single" w:sz="4" w:space="0" w:color="auto"/>
              <w:right w:val="single" w:sz="4" w:space="0" w:color="auto"/>
            </w:tcBorders>
            <w:shd w:val="clear" w:color="auto" w:fill="F3F3F3"/>
            <w:tcMar>
              <w:top w:w="0" w:type="dxa"/>
              <w:left w:w="108" w:type="dxa"/>
              <w:bottom w:w="0" w:type="dxa"/>
              <w:right w:w="108" w:type="dxa"/>
            </w:tcMar>
            <w:hideMark/>
          </w:tcPr>
          <w:p w:rsidR="0071027C" w:rsidRPr="007C385B" w:rsidRDefault="0071027C" w:rsidP="00AA771C">
            <w:pPr>
              <w:autoSpaceDE w:val="0"/>
              <w:autoSpaceDN w:val="0"/>
              <w:adjustRightInd w:val="0"/>
              <w:spacing w:beforeLines="120" w:before="288" w:afterLines="120" w:after="288"/>
              <w:jc w:val="both"/>
              <w:rPr>
                <w:rFonts w:ascii="Arial" w:eastAsia="HelveticaNeueLTStd-Lt" w:hAnsi="Arial" w:cs="Arial"/>
              </w:rPr>
            </w:pPr>
          </w:p>
        </w:tc>
      </w:tr>
      <w:tr w:rsidR="0071027C" w:rsidRPr="007C385B" w:rsidTr="0071027C">
        <w:trPr>
          <w:gridAfter w:val="1"/>
          <w:wAfter w:w="7" w:type="dxa"/>
        </w:trPr>
        <w:tc>
          <w:tcPr>
            <w:tcW w:w="46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1027C" w:rsidRPr="007C385B" w:rsidRDefault="0071027C" w:rsidP="00AA771C">
            <w:pPr>
              <w:autoSpaceDE w:val="0"/>
              <w:autoSpaceDN w:val="0"/>
              <w:adjustRightInd w:val="0"/>
              <w:spacing w:beforeLines="120" w:before="288" w:afterLines="120" w:after="288"/>
              <w:jc w:val="both"/>
              <w:rPr>
                <w:rFonts w:ascii="Arial" w:eastAsia="HelveticaNeueLTStd-Lt" w:hAnsi="Arial" w:cs="Arial"/>
              </w:rPr>
            </w:pPr>
          </w:p>
        </w:tc>
        <w:tc>
          <w:tcPr>
            <w:tcW w:w="4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1027C" w:rsidRPr="007C385B" w:rsidRDefault="0071027C" w:rsidP="00AA771C">
            <w:pPr>
              <w:autoSpaceDE w:val="0"/>
              <w:autoSpaceDN w:val="0"/>
              <w:adjustRightInd w:val="0"/>
              <w:spacing w:beforeLines="120" w:before="288" w:afterLines="120" w:after="288"/>
              <w:jc w:val="both"/>
              <w:rPr>
                <w:rFonts w:ascii="Arial" w:eastAsia="HelveticaNeueLTStd-Lt" w:hAnsi="Arial" w:cs="Arial"/>
              </w:rPr>
            </w:pPr>
          </w:p>
        </w:tc>
      </w:tr>
      <w:tr w:rsidR="0071027C" w:rsidRPr="007C385B" w:rsidTr="0071027C">
        <w:trPr>
          <w:gridAfter w:val="1"/>
          <w:wAfter w:w="7" w:type="dxa"/>
        </w:trPr>
        <w:tc>
          <w:tcPr>
            <w:tcW w:w="4613" w:type="dxa"/>
            <w:tcBorders>
              <w:top w:val="single" w:sz="4" w:space="0" w:color="auto"/>
              <w:left w:val="single" w:sz="4" w:space="0" w:color="auto"/>
              <w:bottom w:val="single" w:sz="4" w:space="0" w:color="auto"/>
              <w:right w:val="single" w:sz="4" w:space="0" w:color="auto"/>
            </w:tcBorders>
            <w:shd w:val="clear" w:color="auto" w:fill="F3F3F3"/>
            <w:tcMar>
              <w:top w:w="0" w:type="dxa"/>
              <w:left w:w="108" w:type="dxa"/>
              <w:bottom w:w="0" w:type="dxa"/>
              <w:right w:w="108" w:type="dxa"/>
            </w:tcMar>
            <w:hideMark/>
          </w:tcPr>
          <w:p w:rsidR="0071027C" w:rsidRPr="007C385B" w:rsidRDefault="0071027C" w:rsidP="00AA771C">
            <w:pPr>
              <w:autoSpaceDE w:val="0"/>
              <w:autoSpaceDN w:val="0"/>
              <w:adjustRightInd w:val="0"/>
              <w:spacing w:beforeLines="120" w:before="288" w:afterLines="120" w:after="288"/>
              <w:jc w:val="both"/>
              <w:rPr>
                <w:rFonts w:ascii="Arial" w:eastAsia="HelveticaNeueLTStd-Lt" w:hAnsi="Arial" w:cs="Arial"/>
              </w:rPr>
            </w:pPr>
          </w:p>
        </w:tc>
        <w:tc>
          <w:tcPr>
            <w:tcW w:w="4666" w:type="dxa"/>
            <w:tcBorders>
              <w:top w:val="single" w:sz="4" w:space="0" w:color="auto"/>
              <w:left w:val="single" w:sz="4" w:space="0" w:color="auto"/>
              <w:bottom w:val="single" w:sz="4" w:space="0" w:color="auto"/>
              <w:right w:val="single" w:sz="4" w:space="0" w:color="auto"/>
            </w:tcBorders>
            <w:shd w:val="clear" w:color="auto" w:fill="F3F3F3"/>
            <w:tcMar>
              <w:top w:w="0" w:type="dxa"/>
              <w:left w:w="108" w:type="dxa"/>
              <w:bottom w:w="0" w:type="dxa"/>
              <w:right w:w="108" w:type="dxa"/>
            </w:tcMar>
            <w:hideMark/>
          </w:tcPr>
          <w:p w:rsidR="0071027C" w:rsidRPr="007C385B" w:rsidRDefault="0071027C" w:rsidP="00AA771C">
            <w:pPr>
              <w:autoSpaceDE w:val="0"/>
              <w:autoSpaceDN w:val="0"/>
              <w:adjustRightInd w:val="0"/>
              <w:spacing w:beforeLines="120" w:before="288" w:afterLines="120" w:after="288"/>
              <w:jc w:val="both"/>
              <w:rPr>
                <w:rFonts w:ascii="Arial" w:eastAsia="HelveticaNeueLTStd-Lt" w:hAnsi="Arial" w:cs="Arial"/>
              </w:rPr>
            </w:pPr>
          </w:p>
        </w:tc>
      </w:tr>
    </w:tbl>
    <w:p w:rsidR="0071027C" w:rsidRPr="007C385B" w:rsidRDefault="0071027C" w:rsidP="0071027C">
      <w:pPr>
        <w:autoSpaceDE w:val="0"/>
        <w:autoSpaceDN w:val="0"/>
        <w:adjustRightInd w:val="0"/>
        <w:spacing w:before="120" w:after="120" w:line="240" w:lineRule="auto"/>
        <w:jc w:val="both"/>
        <w:rPr>
          <w:rFonts w:ascii="Arial" w:hAnsi="Arial" w:cs="Arial"/>
        </w:rPr>
      </w:pPr>
      <w:r w:rsidRPr="007C385B">
        <w:rPr>
          <w:rFonts w:ascii="Arial" w:hAnsi="Arial" w:cs="Arial"/>
        </w:rPr>
        <w:t>Based on the dosing required to sustain exposure in the infant of &gt;100 ng/mL with the fewest dose changes.</w:t>
      </w:r>
    </w:p>
    <w:p w:rsidR="0071027C" w:rsidRPr="007C385B" w:rsidRDefault="0071027C" w:rsidP="0071027C">
      <w:pPr>
        <w:autoSpaceDE w:val="0"/>
        <w:autoSpaceDN w:val="0"/>
        <w:adjustRightInd w:val="0"/>
        <w:spacing w:before="120" w:after="120" w:line="240" w:lineRule="auto"/>
        <w:jc w:val="both"/>
        <w:rPr>
          <w:rFonts w:ascii="Arial" w:hAnsi="Arial" w:cs="Arial"/>
        </w:rPr>
      </w:pPr>
      <w:r w:rsidRPr="007C385B">
        <w:rPr>
          <w:rFonts w:ascii="Arial" w:hAnsi="Arial" w:cs="Arial"/>
        </w:rPr>
        <w:t xml:space="preserve">Low birth weight infants should receive mg/kg dosing, suggested starting dose is 2 mg/kg once daily.  </w:t>
      </w:r>
    </w:p>
    <w:p w:rsidR="0071027C" w:rsidRPr="007C385B" w:rsidRDefault="0071027C" w:rsidP="0071027C">
      <w:pPr>
        <w:pStyle w:val="Heading3"/>
      </w:pPr>
      <w:bookmarkStart w:id="530" w:name="_Toc374979694"/>
      <w:bookmarkStart w:id="531" w:name="_Toc378258206"/>
      <w:bookmarkStart w:id="532" w:name="_Toc382214065"/>
      <w:r w:rsidRPr="007C385B">
        <w:t>8.6.2. Monitoring patients on ART</w:t>
      </w:r>
      <w:bookmarkEnd w:id="530"/>
      <w:bookmarkEnd w:id="531"/>
      <w:bookmarkEnd w:id="532"/>
    </w:p>
    <w:p w:rsidR="0071027C" w:rsidRDefault="0071027C" w:rsidP="0071027C">
      <w:pPr>
        <w:autoSpaceDE w:val="0"/>
        <w:autoSpaceDN w:val="0"/>
        <w:adjustRightInd w:val="0"/>
        <w:spacing w:before="120" w:after="120" w:line="240" w:lineRule="auto"/>
        <w:jc w:val="both"/>
        <w:rPr>
          <w:rFonts w:ascii="Arial" w:hAnsi="Arial" w:cs="Arial"/>
        </w:rPr>
      </w:pPr>
      <w:r w:rsidRPr="007C385B">
        <w:rPr>
          <w:rFonts w:ascii="Arial" w:hAnsi="Arial" w:cs="Arial"/>
        </w:rPr>
        <w:t>Antiretroviral medicines are known to produce short- and long-term side effects in some people. Clinical follow-up is crucial. HCWs should ask clients about any side effects that they may have experienced and offer information on how to manage them. Clients should be questioned about other medications that may interfere with ARV medications. Patients experiencing intolerable side effects, potential drug interactions should be referred for evaluation at CTC. Successful ART results in decrease in viral load, immune recovery and therefore an increase in the number of CD4 cells. Every six months, the CD4 count is used to monitor the immunologic response to ART. Patients with immunologic failure (falling CD4 count) while on ART should be referred for evaluation at CTC.WHO clinical staging is critical to monitor the effectiveness of treatment in persons on ART and should be performed at every visit. Ideally, the clinical stage should remain stable in an individual on ART.</w:t>
      </w:r>
    </w:p>
    <w:p w:rsidR="0071027C" w:rsidRPr="00C203F3" w:rsidRDefault="00AA771C" w:rsidP="00AA771C">
      <w:pPr>
        <w:spacing w:beforeLines="120" w:before="288" w:afterLines="120" w:after="288"/>
        <w:jc w:val="both"/>
        <w:rPr>
          <w:rFonts w:ascii="Arial Narrow" w:hAnsi="Arial Narrow"/>
          <w:b/>
          <w:sz w:val="24"/>
          <w:szCs w:val="24"/>
        </w:rPr>
      </w:pPr>
      <w:r>
        <w:rPr>
          <w:rFonts w:ascii="Arial Narrow" w:hAnsi="Arial Narrow"/>
          <w:noProof/>
          <w:sz w:val="24"/>
          <w:szCs w:val="24"/>
        </w:rPr>
        <mc:AlternateContent>
          <mc:Choice Requires="wps">
            <w:drawing>
              <wp:anchor distT="0" distB="0" distL="114300" distR="114300" simplePos="0" relativeHeight="251702272" behindDoc="0" locked="0" layoutInCell="1" allowOverlap="1">
                <wp:simplePos x="0" y="0"/>
                <wp:positionH relativeFrom="column">
                  <wp:posOffset>167005</wp:posOffset>
                </wp:positionH>
                <wp:positionV relativeFrom="paragraph">
                  <wp:posOffset>149860</wp:posOffset>
                </wp:positionV>
                <wp:extent cx="4976495" cy="914400"/>
                <wp:effectExtent l="14605" t="16510" r="9525" b="12065"/>
                <wp:wrapNone/>
                <wp:docPr id="937"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495" cy="914400"/>
                        </a:xfrm>
                        <a:prstGeom prst="rect">
                          <a:avLst/>
                        </a:prstGeom>
                        <a:solidFill>
                          <a:srgbClr val="FFFFFF"/>
                        </a:solidFill>
                        <a:ln w="15875">
                          <a:solidFill>
                            <a:srgbClr val="000000"/>
                          </a:solidFill>
                          <a:miter lim="800000"/>
                          <a:headEnd/>
                          <a:tailEnd/>
                        </a:ln>
                      </wps:spPr>
                      <wps:txbx>
                        <w:txbxContent>
                          <w:p w:rsidR="00B247C9" w:rsidRPr="007C385B" w:rsidRDefault="00B247C9" w:rsidP="0071027C">
                            <w:pPr>
                              <w:autoSpaceDE w:val="0"/>
                              <w:autoSpaceDN w:val="0"/>
                              <w:adjustRightInd w:val="0"/>
                              <w:spacing w:after="0" w:line="240" w:lineRule="auto"/>
                              <w:jc w:val="center"/>
                              <w:rPr>
                                <w:rFonts w:ascii="Arial" w:hAnsi="Arial" w:cs="Arial"/>
                                <w:b/>
                                <w:bCs/>
                              </w:rPr>
                            </w:pPr>
                            <w:r w:rsidRPr="007C385B">
                              <w:rPr>
                                <w:rFonts w:ascii="Arial" w:hAnsi="Arial" w:cs="Arial"/>
                                <w:b/>
                                <w:bCs/>
                              </w:rPr>
                              <w:t>Practice Point</w:t>
                            </w:r>
                          </w:p>
                          <w:p w:rsidR="00B247C9" w:rsidRPr="007C385B" w:rsidRDefault="00B247C9" w:rsidP="0071027C">
                            <w:pPr>
                              <w:autoSpaceDE w:val="0"/>
                              <w:autoSpaceDN w:val="0"/>
                              <w:adjustRightInd w:val="0"/>
                              <w:spacing w:after="0" w:line="240" w:lineRule="auto"/>
                              <w:rPr>
                                <w:rFonts w:ascii="Arial" w:hAnsi="Arial" w:cs="Arial"/>
                              </w:rPr>
                            </w:pPr>
                            <w:r w:rsidRPr="007C385B">
                              <w:rPr>
                                <w:rFonts w:ascii="Arial" w:hAnsi="Arial" w:cs="Arial"/>
                              </w:rPr>
                              <w:t>National guidelines recommend CD4 testing for adults and adolescents at initiation of ART and every six months thereafter. WHO clinical staging should be performed at every visit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410" type="#_x0000_t202" style="position:absolute;left:0;text-align:left;margin-left:13.15pt;margin-top:11.8pt;width:391.85pt;height:1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" strokeweight="1.25pt">
                <v:textbox>
                  <w:txbxContent>
                    <w:p w:rsidR="00B247C9" w:rsidRPr="007C385B" w:rsidRDefault="00B247C9" w:rsidP="0071027C">
                      <w:pPr>
                        <w:autoSpaceDE w:val="0"/>
                        <w:autoSpaceDN w:val="0"/>
                        <w:adjustRightInd w:val="0"/>
                        <w:spacing w:after="0" w:line="240" w:lineRule="auto"/>
                        <w:jc w:val="center"/>
                        <w:rPr>
                          <w:rFonts w:ascii="Arial" w:hAnsi="Arial" w:cs="Arial"/>
                          <w:b/>
                          <w:bCs/>
                        </w:rPr>
                      </w:pPr>
                      <w:r w:rsidRPr="007C385B">
                        <w:rPr>
                          <w:rFonts w:ascii="Arial" w:hAnsi="Arial" w:cs="Arial"/>
                          <w:b/>
                          <w:bCs/>
                        </w:rPr>
                        <w:t>Practice Point</w:t>
                      </w:r>
                    </w:p>
                    <w:p w:rsidR="00B247C9" w:rsidRPr="007C385B" w:rsidRDefault="00B247C9" w:rsidP="0071027C">
                      <w:pPr>
                        <w:autoSpaceDE w:val="0"/>
                        <w:autoSpaceDN w:val="0"/>
                        <w:adjustRightInd w:val="0"/>
                        <w:spacing w:after="0" w:line="240" w:lineRule="auto"/>
                        <w:rPr>
                          <w:rFonts w:ascii="Arial" w:hAnsi="Arial" w:cs="Arial"/>
                        </w:rPr>
                      </w:pPr>
                      <w:r w:rsidRPr="007C385B">
                        <w:rPr>
                          <w:rFonts w:ascii="Arial" w:hAnsi="Arial" w:cs="Arial"/>
                        </w:rPr>
                        <w:t>National guidelines recommend CD4 testing for adults and adolescents at initiation of ART and every six months thereafter. WHO clinical staging should be performed at every visit</w:t>
                      </w:r>
                    </w:p>
                  </w:txbxContent>
                </v:textbox>
              </v:shape>
            </w:pict>
          </mc:Fallback>
        </mc:AlternateContent>
      </w:r>
    </w:p>
    <w:p w:rsidR="0071027C" w:rsidRPr="00C203F3" w:rsidRDefault="0071027C" w:rsidP="00AA771C">
      <w:pPr>
        <w:spacing w:beforeLines="120" w:before="288" w:afterLines="120" w:after="288"/>
        <w:jc w:val="both"/>
        <w:rPr>
          <w:rFonts w:ascii="Arial Narrow" w:hAnsi="Arial Narrow"/>
          <w:b/>
          <w:sz w:val="24"/>
          <w:szCs w:val="24"/>
        </w:rPr>
      </w:pPr>
    </w:p>
    <w:p w:rsidR="0071027C" w:rsidRPr="00C203F3" w:rsidRDefault="0071027C" w:rsidP="00AA771C">
      <w:pPr>
        <w:spacing w:beforeLines="120" w:before="288" w:afterLines="120" w:after="288"/>
        <w:jc w:val="both"/>
        <w:rPr>
          <w:rFonts w:ascii="Arial Narrow" w:hAnsi="Arial Narrow"/>
          <w:b/>
          <w:sz w:val="24"/>
          <w:szCs w:val="24"/>
        </w:rPr>
      </w:pPr>
    </w:p>
    <w:p w:rsidR="0071027C" w:rsidRPr="007C385B" w:rsidRDefault="0071027C" w:rsidP="0071027C">
      <w:pPr>
        <w:autoSpaceDE w:val="0"/>
        <w:autoSpaceDN w:val="0"/>
        <w:adjustRightInd w:val="0"/>
        <w:spacing w:before="120" w:after="120" w:line="240" w:lineRule="auto"/>
        <w:jc w:val="both"/>
        <w:rPr>
          <w:rFonts w:ascii="Arial" w:hAnsi="Arial" w:cs="Arial"/>
          <w:b/>
        </w:rPr>
      </w:pPr>
      <w:r w:rsidRPr="007C385B">
        <w:rPr>
          <w:rFonts w:ascii="Arial" w:hAnsi="Arial" w:cs="Arial"/>
          <w:b/>
        </w:rPr>
        <w:t>Key Point:</w:t>
      </w:r>
    </w:p>
    <w:p w:rsidR="0071027C" w:rsidRPr="007C385B" w:rsidRDefault="0071027C" w:rsidP="00274941">
      <w:pPr>
        <w:numPr>
          <w:ilvl w:val="0"/>
          <w:numId w:val="71"/>
        </w:numPr>
        <w:autoSpaceDE w:val="0"/>
        <w:autoSpaceDN w:val="0"/>
        <w:adjustRightInd w:val="0"/>
        <w:spacing w:after="0" w:line="240" w:lineRule="auto"/>
        <w:jc w:val="both"/>
        <w:rPr>
          <w:rFonts w:ascii="Arial" w:hAnsi="Arial" w:cs="Arial"/>
        </w:rPr>
      </w:pPr>
      <w:r w:rsidRPr="007C385B">
        <w:rPr>
          <w:rFonts w:ascii="Arial" w:hAnsi="Arial" w:cs="Arial"/>
        </w:rPr>
        <w:t>Every HIV+ pregnant and lactating women should receive baseline CD4 test, but should not delay ART initiation.</w:t>
      </w:r>
    </w:p>
    <w:p w:rsidR="0071027C" w:rsidRPr="007C385B" w:rsidRDefault="0071027C" w:rsidP="00274941">
      <w:pPr>
        <w:numPr>
          <w:ilvl w:val="0"/>
          <w:numId w:val="71"/>
        </w:numPr>
        <w:autoSpaceDE w:val="0"/>
        <w:autoSpaceDN w:val="0"/>
        <w:adjustRightInd w:val="0"/>
        <w:spacing w:after="0" w:line="240" w:lineRule="auto"/>
        <w:jc w:val="both"/>
        <w:rPr>
          <w:rFonts w:ascii="Arial" w:hAnsi="Arial" w:cs="Arial"/>
        </w:rPr>
      </w:pPr>
      <w:r w:rsidRPr="007C385B">
        <w:rPr>
          <w:rFonts w:ascii="Arial" w:hAnsi="Arial" w:cs="Arial"/>
        </w:rPr>
        <w:t xml:space="preserve">Where viral load is available should be used for monitoring of HIV+ pregnant women and lactating mothers. </w:t>
      </w:r>
    </w:p>
    <w:p w:rsidR="0071027C" w:rsidRDefault="0071027C"/>
    <w:p w:rsidR="0060461B" w:rsidRPr="009969CB" w:rsidRDefault="0060461B" w:rsidP="00BE5A5D">
      <w:pPr>
        <w:pStyle w:val="Heading1"/>
      </w:pPr>
      <w:bookmarkStart w:id="533" w:name="_Toc381351620"/>
      <w:r w:rsidRPr="009969CB">
        <w:t>CHAPTER 9: ANTIRETROVIRAL THERAPY</w:t>
      </w:r>
      <w:bookmarkEnd w:id="533"/>
    </w:p>
    <w:p w:rsidR="0060461B" w:rsidRPr="00B97180" w:rsidRDefault="0060461B" w:rsidP="00BE5A5D">
      <w:pPr>
        <w:spacing w:before="120" w:after="120" w:line="240" w:lineRule="auto"/>
        <w:rPr>
          <w:rFonts w:ascii="Arial" w:hAnsi="Arial" w:cs="Arial"/>
        </w:rPr>
      </w:pPr>
      <w:bookmarkStart w:id="534" w:name="_Toc185658459"/>
      <w:bookmarkStart w:id="535" w:name="_Toc185673294"/>
      <w:bookmarkStart w:id="536" w:name="_Toc185673472"/>
      <w:bookmarkStart w:id="537" w:name="_Toc185677811"/>
      <w:bookmarkStart w:id="538" w:name="_Toc185678190"/>
      <w:bookmarkStart w:id="539" w:name="_Toc185736162"/>
      <w:bookmarkStart w:id="540" w:name="_Toc374515277"/>
      <w:bookmarkStart w:id="541" w:name="_Toc378258208"/>
      <w:r w:rsidRPr="00B97180">
        <w:rPr>
          <w:rFonts w:ascii="Arial" w:hAnsi="Arial" w:cs="Arial"/>
        </w:rPr>
        <w:t>INTRODUCTION</w:t>
      </w:r>
      <w:bookmarkEnd w:id="534"/>
      <w:bookmarkEnd w:id="535"/>
      <w:bookmarkEnd w:id="536"/>
      <w:bookmarkEnd w:id="537"/>
      <w:bookmarkEnd w:id="538"/>
      <w:bookmarkEnd w:id="539"/>
      <w:bookmarkEnd w:id="540"/>
      <w:bookmarkEnd w:id="541"/>
    </w:p>
    <w:p w:rsidR="0060461B" w:rsidRPr="00B247C9" w:rsidRDefault="0060461B" w:rsidP="00B247C9">
      <w:pPr>
        <w:pStyle w:val="StyleJustifiedCharChar"/>
      </w:pPr>
      <w:r w:rsidRPr="00B247C9">
        <w:t>With advancement in treatment for HIV, there has been significant improvement in the safety and tolerability of regimens. The pill burden and dosing frequency for ARVs have been reduced and adverse events minimized; all of which have contributed to the success rates in initial treatment.</w:t>
      </w:r>
    </w:p>
    <w:p w:rsidR="0060461B" w:rsidRPr="00B247C9" w:rsidRDefault="0060461B" w:rsidP="00B247C9">
      <w:pPr>
        <w:pStyle w:val="StyleJustifiedCharChar"/>
      </w:pPr>
      <w:r w:rsidRPr="00B247C9">
        <w:t xml:space="preserve">ART improves patient survival and quality of life. Combined ART medications have confirmed their potential to reduce HIV replication. </w:t>
      </w:r>
    </w:p>
    <w:p w:rsidR="0060461B" w:rsidRPr="00D45487" w:rsidRDefault="0060461B" w:rsidP="00BE5A5D">
      <w:pPr>
        <w:pStyle w:val="Heading2"/>
      </w:pPr>
      <w:bookmarkStart w:id="542" w:name="_Toc185658460"/>
      <w:bookmarkStart w:id="543" w:name="_Toc185673295"/>
      <w:bookmarkStart w:id="544" w:name="_Toc185673473"/>
      <w:bookmarkStart w:id="545" w:name="_Toc185677812"/>
      <w:bookmarkStart w:id="546" w:name="_Toc185678191"/>
      <w:bookmarkStart w:id="547" w:name="_Toc185736163"/>
      <w:bookmarkStart w:id="548" w:name="_Toc374515278"/>
      <w:bookmarkStart w:id="549" w:name="_Toc378258209"/>
      <w:bookmarkStart w:id="550" w:name="_Toc381351621"/>
      <w:r w:rsidRPr="00D45487">
        <w:t>9.1 TYPES OF ANTIRETROVIRAL DRUGS</w:t>
      </w:r>
      <w:bookmarkEnd w:id="542"/>
      <w:bookmarkEnd w:id="543"/>
      <w:bookmarkEnd w:id="544"/>
      <w:bookmarkEnd w:id="545"/>
      <w:bookmarkEnd w:id="546"/>
      <w:bookmarkEnd w:id="547"/>
      <w:bookmarkEnd w:id="548"/>
      <w:bookmarkEnd w:id="549"/>
      <w:bookmarkEnd w:id="550"/>
    </w:p>
    <w:p w:rsidR="0060461B" w:rsidRPr="00B247C9" w:rsidRDefault="0060461B" w:rsidP="00B247C9">
      <w:pPr>
        <w:pStyle w:val="StyleJustifiedCharChar"/>
      </w:pPr>
      <w:r w:rsidRPr="00B247C9">
        <w:t>The currently existing and commercially available antiretroviral drugs in Tanzania fall into the following four main categories:</w:t>
      </w:r>
    </w:p>
    <w:p w:rsidR="0060461B" w:rsidRPr="00B247C9" w:rsidRDefault="0060461B" w:rsidP="00B247C9">
      <w:pPr>
        <w:pStyle w:val="StyleJustifiedCharChar"/>
      </w:pPr>
      <w:r w:rsidRPr="00B247C9">
        <w:t>Nucleoside reverse transcriptase inhibitors (NRTIs)</w:t>
      </w:r>
    </w:p>
    <w:p w:rsidR="0060461B" w:rsidRPr="00B247C9" w:rsidRDefault="0060461B" w:rsidP="00B247C9">
      <w:pPr>
        <w:pStyle w:val="StyleJustifiedCharChar"/>
      </w:pPr>
      <w:r w:rsidRPr="00B247C9">
        <w:t>Non-nucleoside reverse transcriptase inhibitors (NNRTIs)</w:t>
      </w:r>
    </w:p>
    <w:p w:rsidR="0060461B" w:rsidRPr="00B247C9" w:rsidRDefault="0060461B" w:rsidP="00B247C9">
      <w:pPr>
        <w:pStyle w:val="StyleJustifiedCharChar"/>
      </w:pPr>
      <w:r w:rsidRPr="00B247C9">
        <w:t xml:space="preserve">Nucleotide reverse transcriptase inhibitors (Nucleotide analogues) </w:t>
      </w:r>
    </w:p>
    <w:p w:rsidR="0060461B" w:rsidRPr="00B247C9" w:rsidRDefault="0060461B" w:rsidP="00B247C9">
      <w:pPr>
        <w:pStyle w:val="StyleJustifiedCharChar"/>
      </w:pPr>
      <w:r w:rsidRPr="00B247C9">
        <w:t>Protease inhibitors (Pls)</w:t>
      </w:r>
    </w:p>
    <w:p w:rsidR="0060461B" w:rsidRPr="00D45487" w:rsidRDefault="0060461B" w:rsidP="00BE5A5D">
      <w:pPr>
        <w:pStyle w:val="Heading3"/>
      </w:pPr>
      <w:bookmarkStart w:id="551" w:name="_Toc185658462"/>
      <w:bookmarkStart w:id="552" w:name="_Toc185673297"/>
      <w:bookmarkStart w:id="553" w:name="_Toc185673475"/>
      <w:bookmarkStart w:id="554" w:name="_Toc185677814"/>
      <w:bookmarkStart w:id="555" w:name="_Toc185678193"/>
      <w:bookmarkStart w:id="556" w:name="_Toc185736165"/>
      <w:bookmarkStart w:id="557" w:name="_Toc374515279"/>
      <w:bookmarkStart w:id="558" w:name="_Toc378258210"/>
      <w:bookmarkStart w:id="559" w:name="_Toc381351622"/>
      <w:r w:rsidRPr="00D45487">
        <w:t>9.1.1 Nucleoside Reverse Transcriptase Inhibitors (NRTIs)</w:t>
      </w:r>
      <w:bookmarkEnd w:id="551"/>
      <w:bookmarkEnd w:id="552"/>
      <w:bookmarkEnd w:id="553"/>
      <w:bookmarkEnd w:id="554"/>
      <w:bookmarkEnd w:id="555"/>
      <w:bookmarkEnd w:id="556"/>
      <w:bookmarkEnd w:id="557"/>
      <w:bookmarkEnd w:id="558"/>
      <w:bookmarkEnd w:id="559"/>
    </w:p>
    <w:p w:rsidR="0060461B" w:rsidRPr="00B247C9" w:rsidRDefault="0060461B" w:rsidP="00B247C9">
      <w:pPr>
        <w:pStyle w:val="StyleJustifiedCharChar"/>
      </w:pPr>
      <w:r w:rsidRPr="00B247C9">
        <w:t>This group of drugs is the mainstay of antiretroviral therapy in the country. The primary mechanism of action of this class is inhibition of viral RNA-dependent DNA polymerase (reverse transcriptase) enzyme. The drugs that are available in Tanzania under this class include:</w:t>
      </w:r>
    </w:p>
    <w:p w:rsidR="0060461B" w:rsidRPr="00B247C9" w:rsidRDefault="0060461B" w:rsidP="00B247C9">
      <w:pPr>
        <w:pStyle w:val="StyleJustifiedCharChar"/>
      </w:pPr>
      <w:r w:rsidRPr="00B247C9">
        <w:t xml:space="preserve">Zidovudine (AZT), </w:t>
      </w:r>
    </w:p>
    <w:p w:rsidR="0060461B" w:rsidRPr="00B247C9" w:rsidRDefault="0060461B" w:rsidP="00B247C9">
      <w:pPr>
        <w:pStyle w:val="StyleJustifiedCharChar"/>
      </w:pPr>
      <w:r w:rsidRPr="00B247C9">
        <w:t xml:space="preserve">Lamivudine (3TC), </w:t>
      </w:r>
    </w:p>
    <w:p w:rsidR="0060461B" w:rsidRPr="00B247C9" w:rsidRDefault="0060461B" w:rsidP="00B247C9">
      <w:pPr>
        <w:pStyle w:val="StyleJustifiedCharChar"/>
      </w:pPr>
      <w:r w:rsidRPr="00B247C9">
        <w:t>Emtricitabine (FTC)</w:t>
      </w:r>
    </w:p>
    <w:p w:rsidR="0060461B" w:rsidRPr="00B247C9" w:rsidRDefault="0060461B" w:rsidP="00B247C9">
      <w:pPr>
        <w:pStyle w:val="StyleJustifiedCharChar"/>
      </w:pPr>
      <w:r w:rsidRPr="00B247C9">
        <w:t>Abacavir (ABC),</w:t>
      </w:r>
    </w:p>
    <w:p w:rsidR="0060461B" w:rsidRPr="00D45487" w:rsidRDefault="0060461B" w:rsidP="00B247C9">
      <w:pPr>
        <w:pStyle w:val="StyleJustifiedCharChar"/>
      </w:pPr>
      <w:r w:rsidRPr="000B26AE">
        <w:t xml:space="preserve"> </w:t>
      </w:r>
      <w:bookmarkStart w:id="560" w:name="_Toc185658463"/>
      <w:bookmarkStart w:id="561" w:name="_Toc185673298"/>
      <w:bookmarkStart w:id="562" w:name="_Toc185673476"/>
      <w:bookmarkStart w:id="563" w:name="_Toc185677815"/>
      <w:bookmarkStart w:id="564" w:name="_Toc185678194"/>
      <w:bookmarkStart w:id="565" w:name="_Toc185736166"/>
      <w:bookmarkStart w:id="566" w:name="_Toc374515280"/>
      <w:bookmarkStart w:id="567" w:name="_Toc378258211"/>
      <w:r w:rsidRPr="00D45487">
        <w:t>9.1.2 Non-Nucleoside Reverse Transcriptase Inhibitors</w:t>
      </w:r>
      <w:bookmarkStart w:id="568" w:name="_Toc185658464"/>
      <w:bookmarkStart w:id="569" w:name="_Toc185673299"/>
      <w:bookmarkStart w:id="570" w:name="_Toc185673477"/>
      <w:bookmarkStart w:id="571" w:name="_Toc185677816"/>
      <w:bookmarkStart w:id="572" w:name="_Toc185678195"/>
      <w:bookmarkStart w:id="573" w:name="_Toc185736167"/>
      <w:bookmarkEnd w:id="560"/>
      <w:bookmarkEnd w:id="561"/>
      <w:bookmarkEnd w:id="562"/>
      <w:bookmarkEnd w:id="563"/>
      <w:bookmarkEnd w:id="564"/>
      <w:bookmarkEnd w:id="565"/>
      <w:r w:rsidRPr="00D45487">
        <w:t xml:space="preserve"> (NNRTIs)</w:t>
      </w:r>
      <w:bookmarkEnd w:id="566"/>
      <w:bookmarkEnd w:id="567"/>
      <w:bookmarkEnd w:id="568"/>
      <w:bookmarkEnd w:id="569"/>
      <w:bookmarkEnd w:id="570"/>
      <w:bookmarkEnd w:id="571"/>
      <w:bookmarkEnd w:id="572"/>
      <w:bookmarkEnd w:id="573"/>
    </w:p>
    <w:p w:rsidR="0060461B" w:rsidRPr="00B247C9" w:rsidRDefault="0060461B" w:rsidP="00B247C9">
      <w:pPr>
        <w:pStyle w:val="StyleJustifiedCharChar"/>
      </w:pPr>
      <w:r w:rsidRPr="00B247C9">
        <w:t>Similar to the NRTIs, NNRTIs also act by disrupting the reverse transcription of viral RNA into DNA that is then incorporated in the cell’s nucleus. However, unlike the NRTIs, they are not directly incorporated into the viral DNA; instead they inhibit replication directly by bind</w:t>
      </w:r>
      <w:r w:rsidRPr="00B247C9">
        <w:softHyphen/>
        <w:t>ing to the enzyme reverse transcriptase. Resistance to these drugs develops rapidly, especial</w:t>
      </w:r>
      <w:r w:rsidRPr="00B247C9">
        <w:softHyphen/>
        <w:t>ly when used alone. Drugs under this class that are available in Tanzania are Nevirapine (NVP) and Efavirenz (EFV).</w:t>
      </w:r>
    </w:p>
    <w:p w:rsidR="0060461B" w:rsidRPr="00D45487" w:rsidRDefault="0060461B" w:rsidP="00BE5A5D">
      <w:pPr>
        <w:pStyle w:val="Heading3"/>
      </w:pPr>
      <w:bookmarkStart w:id="574" w:name="_Toc374515281"/>
      <w:bookmarkStart w:id="575" w:name="_Toc378258212"/>
      <w:bookmarkStart w:id="576" w:name="_Toc381351623"/>
      <w:r w:rsidRPr="00D45487">
        <w:t>9.1.3 Nucleotide Reverse Transcriptase Inhibitors (Nucleotide analogues)</w:t>
      </w:r>
      <w:bookmarkEnd w:id="574"/>
      <w:bookmarkEnd w:id="575"/>
      <w:bookmarkEnd w:id="576"/>
    </w:p>
    <w:p w:rsidR="0060461B" w:rsidRPr="00B247C9" w:rsidRDefault="0060461B" w:rsidP="00B247C9">
      <w:pPr>
        <w:pStyle w:val="StyleJustifiedCharChar"/>
      </w:pPr>
      <w:r w:rsidRPr="00B247C9">
        <w:t>Nucleotide analogues resemble NRTIs and an example of this relatively new class of antiretroviral drugs is Tenofovir (TDF).</w:t>
      </w:r>
    </w:p>
    <w:p w:rsidR="0060461B" w:rsidRPr="00D45487" w:rsidRDefault="0060461B" w:rsidP="00BE5A5D">
      <w:pPr>
        <w:pStyle w:val="Heading3"/>
      </w:pPr>
      <w:bookmarkStart w:id="577" w:name="_Toc185658465"/>
      <w:bookmarkStart w:id="578" w:name="_Toc185673300"/>
      <w:bookmarkStart w:id="579" w:name="_Toc185673478"/>
      <w:bookmarkStart w:id="580" w:name="_Toc185677817"/>
      <w:bookmarkStart w:id="581" w:name="_Toc185678196"/>
      <w:bookmarkStart w:id="582" w:name="_Toc185736168"/>
      <w:bookmarkStart w:id="583" w:name="_Toc374515282"/>
      <w:bookmarkStart w:id="584" w:name="_Toc378258213"/>
      <w:bookmarkStart w:id="585" w:name="_Toc381351624"/>
      <w:r w:rsidRPr="00D45487">
        <w:t>9.1.4 Protease Inhibitors (PIs)</w:t>
      </w:r>
      <w:bookmarkEnd w:id="577"/>
      <w:bookmarkEnd w:id="578"/>
      <w:bookmarkEnd w:id="579"/>
      <w:bookmarkEnd w:id="580"/>
      <w:bookmarkEnd w:id="581"/>
      <w:bookmarkEnd w:id="582"/>
      <w:bookmarkEnd w:id="583"/>
      <w:bookmarkEnd w:id="584"/>
      <w:bookmarkEnd w:id="585"/>
    </w:p>
    <w:p w:rsidR="0060461B" w:rsidRPr="00B247C9" w:rsidRDefault="0060461B" w:rsidP="00B247C9">
      <w:pPr>
        <w:pStyle w:val="StyleJustifiedCharChar"/>
      </w:pPr>
      <w:r w:rsidRPr="00B247C9">
        <w:t>PIs competitively inhibit the HIV protease enzyme whose activity is critical for the terminal maturation of infectious virions. This inhibition prevents the maturation of virions capable of infecting other cells. Drugs available in Tanzania that fall under this class are;</w:t>
      </w:r>
    </w:p>
    <w:p w:rsidR="0060461B" w:rsidRPr="00B247C9" w:rsidRDefault="0060461B" w:rsidP="00B247C9">
      <w:pPr>
        <w:pStyle w:val="StyleJustifiedCharChar"/>
      </w:pPr>
      <w:r w:rsidRPr="00B247C9">
        <w:t>Atazanavir (ATV).</w:t>
      </w:r>
    </w:p>
    <w:p w:rsidR="0060461B" w:rsidRPr="00B247C9" w:rsidRDefault="0060461B" w:rsidP="00B247C9">
      <w:pPr>
        <w:pStyle w:val="StyleJustifiedCharChar"/>
      </w:pPr>
      <w:r w:rsidRPr="00B247C9">
        <w:t xml:space="preserve">Lopinavir (LPV), </w:t>
      </w:r>
    </w:p>
    <w:p w:rsidR="0060461B" w:rsidRPr="00B247C9" w:rsidRDefault="0060461B" w:rsidP="00B247C9">
      <w:pPr>
        <w:pStyle w:val="StyleJustifiedCharChar"/>
      </w:pPr>
      <w:r w:rsidRPr="00B247C9">
        <w:t>Ritonavir (usually used as a booster with above mentioned PIs)</w:t>
      </w:r>
    </w:p>
    <w:p w:rsidR="0060461B" w:rsidRPr="000B26AE" w:rsidRDefault="0060461B" w:rsidP="00B247C9">
      <w:pPr>
        <w:pStyle w:val="StyleJustifiedCharChar"/>
      </w:pPr>
    </w:p>
    <w:p w:rsidR="0060461B" w:rsidRPr="00D45487" w:rsidRDefault="0060461B" w:rsidP="00BE5A5D">
      <w:pPr>
        <w:pStyle w:val="Heading2"/>
      </w:pPr>
      <w:bookmarkStart w:id="586" w:name="_Toc185658470"/>
      <w:bookmarkStart w:id="587" w:name="_Toc185673305"/>
      <w:bookmarkStart w:id="588" w:name="_Toc185673483"/>
      <w:bookmarkStart w:id="589" w:name="_Toc185677822"/>
      <w:bookmarkStart w:id="590" w:name="_Toc185678201"/>
      <w:bookmarkStart w:id="591" w:name="_Toc185736173"/>
      <w:bookmarkStart w:id="592" w:name="_Toc374515283"/>
      <w:bookmarkStart w:id="593" w:name="_Toc378258214"/>
      <w:bookmarkStart w:id="594" w:name="_Toc381351625"/>
      <w:r w:rsidRPr="00D45487">
        <w:t>9.2 GOALS OF ANTIRETROVIRAL THERAPY</w:t>
      </w:r>
      <w:bookmarkEnd w:id="586"/>
      <w:bookmarkEnd w:id="587"/>
      <w:bookmarkEnd w:id="588"/>
      <w:bookmarkEnd w:id="589"/>
      <w:bookmarkEnd w:id="590"/>
      <w:bookmarkEnd w:id="591"/>
      <w:bookmarkEnd w:id="592"/>
      <w:bookmarkEnd w:id="593"/>
      <w:bookmarkEnd w:id="594"/>
    </w:p>
    <w:p w:rsidR="0060461B" w:rsidRPr="00D731EE" w:rsidRDefault="0060461B" w:rsidP="00BE5A5D">
      <w:pPr>
        <w:spacing w:before="120" w:after="120" w:line="240" w:lineRule="auto"/>
        <w:jc w:val="both"/>
        <w:rPr>
          <w:rFonts w:ascii="Arial" w:hAnsi="Arial" w:cs="Arial"/>
        </w:rPr>
      </w:pPr>
      <w:r w:rsidRPr="00D731EE">
        <w:rPr>
          <w:rFonts w:ascii="Arial" w:hAnsi="Arial" w:cs="Arial"/>
        </w:rPr>
        <w:t xml:space="preserve">The principal aim of antiretroviral therapy is to prevent morbidity and mortality in people with HIV/AIDS by suppressing viremia and thereby restoring and maintaining immune capacity. </w:t>
      </w:r>
    </w:p>
    <w:p w:rsidR="0060461B" w:rsidRPr="00D731EE" w:rsidRDefault="0060461B" w:rsidP="00BE5A5D">
      <w:pPr>
        <w:spacing w:before="120" w:after="120" w:line="240" w:lineRule="auto"/>
        <w:jc w:val="both"/>
        <w:rPr>
          <w:rFonts w:ascii="Arial" w:hAnsi="Arial" w:cs="Arial"/>
        </w:rPr>
      </w:pPr>
      <w:r w:rsidRPr="00D731EE">
        <w:rPr>
          <w:rFonts w:ascii="Arial" w:hAnsi="Arial" w:cs="Arial"/>
        </w:rPr>
        <w:t>HIV and AIDS can not be cured by using curretntly available ARV regimes because early on during acute HIV infection some viruses hide in tissues where they become dormant and stop to replicate.   Therefore once patients are initiated on ART, they need to be maintained on ART for life.</w:t>
      </w:r>
    </w:p>
    <w:p w:rsidR="0060461B" w:rsidRPr="00D731EE" w:rsidRDefault="0060461B" w:rsidP="00BE5A5D">
      <w:pPr>
        <w:spacing w:before="120" w:after="120" w:line="240" w:lineRule="auto"/>
        <w:jc w:val="both"/>
        <w:rPr>
          <w:rFonts w:ascii="Arial" w:hAnsi="Arial" w:cs="Arial"/>
        </w:rPr>
      </w:pPr>
      <w:r w:rsidRPr="00D731EE">
        <w:rPr>
          <w:rFonts w:ascii="Arial" w:hAnsi="Arial" w:cs="Arial"/>
        </w:rPr>
        <w:t>The primary goals of antiretroviral therapy are:</w:t>
      </w:r>
    </w:p>
    <w:p w:rsidR="0060461B" w:rsidRPr="00B247C9" w:rsidRDefault="0060461B" w:rsidP="00B247C9">
      <w:pPr>
        <w:pStyle w:val="StyleJustifiedCharChar"/>
      </w:pPr>
      <w:r w:rsidRPr="00B247C9">
        <w:t>Maximal and durable suppression of viral load to &lt; 50 copies/uL</w:t>
      </w:r>
    </w:p>
    <w:p w:rsidR="0060461B" w:rsidRPr="00B247C9" w:rsidRDefault="0060461B" w:rsidP="00B247C9">
      <w:pPr>
        <w:pStyle w:val="StyleJustifiedCharChar"/>
      </w:pPr>
      <w:r w:rsidRPr="00B247C9">
        <w:t>Restoration and/or preservation of immunologic function</w:t>
      </w:r>
    </w:p>
    <w:p w:rsidR="0060461B" w:rsidRPr="00B247C9" w:rsidRDefault="0060461B" w:rsidP="00B247C9">
      <w:pPr>
        <w:pStyle w:val="StyleJustifiedCharChar"/>
      </w:pPr>
      <w:r w:rsidRPr="00B247C9">
        <w:t>Reduction of HIV-related morbidity and mortality</w:t>
      </w:r>
    </w:p>
    <w:p w:rsidR="0060461B" w:rsidRPr="00B247C9" w:rsidRDefault="0060461B" w:rsidP="00B247C9">
      <w:pPr>
        <w:pStyle w:val="StyleJustifiedCharChar"/>
      </w:pPr>
      <w:r w:rsidRPr="00B247C9">
        <w:t>Improvement of quality of life.</w:t>
      </w:r>
    </w:p>
    <w:p w:rsidR="0060461B" w:rsidRPr="00D731EE" w:rsidRDefault="0060461B" w:rsidP="00BE5A5D">
      <w:pPr>
        <w:spacing w:before="120" w:after="120" w:line="240" w:lineRule="auto"/>
        <w:jc w:val="both"/>
        <w:rPr>
          <w:rFonts w:ascii="Arial" w:hAnsi="Arial" w:cs="Arial"/>
        </w:rPr>
      </w:pPr>
      <w:r w:rsidRPr="00D731EE">
        <w:rPr>
          <w:rFonts w:ascii="Arial" w:hAnsi="Arial" w:cs="Arial"/>
        </w:rPr>
        <w:t>Secondary goals are to decrease the incidence of HIV through;</w:t>
      </w:r>
    </w:p>
    <w:p w:rsidR="0060461B" w:rsidRPr="00B247C9" w:rsidRDefault="0060461B" w:rsidP="00B247C9">
      <w:pPr>
        <w:pStyle w:val="StyleJustifiedCharChar"/>
      </w:pPr>
      <w:r w:rsidRPr="00B247C9">
        <w:t>Increased uptake of early voluntary testing and counselling with more people knowing their status and practicing safer sex,</w:t>
      </w:r>
    </w:p>
    <w:p w:rsidR="0060461B" w:rsidRPr="00B247C9" w:rsidRDefault="0060461B" w:rsidP="00B247C9">
      <w:pPr>
        <w:pStyle w:val="StyleJustifiedCharChar"/>
      </w:pPr>
      <w:r w:rsidRPr="00B247C9">
        <w:t>The reduction of transmission in discordant couples, and</w:t>
      </w:r>
    </w:p>
    <w:p w:rsidR="0060461B" w:rsidRPr="00B247C9" w:rsidRDefault="0060461B" w:rsidP="00B247C9">
      <w:pPr>
        <w:pStyle w:val="StyleJustifiedCharChar"/>
      </w:pPr>
      <w:r w:rsidRPr="00B247C9">
        <w:t>Reducing the risks of HIV transmission from mother to child</w:t>
      </w:r>
    </w:p>
    <w:p w:rsidR="0060461B" w:rsidRPr="00B247C9" w:rsidRDefault="0060461B" w:rsidP="00B247C9">
      <w:pPr>
        <w:pStyle w:val="StyleJustifiedCharChar"/>
      </w:pPr>
      <w:r w:rsidRPr="00B247C9">
        <w:t>Reduce the pool of individual who are infectious and thus reduce the risk of HIV transmission in the community.</w:t>
      </w:r>
    </w:p>
    <w:p w:rsidR="0060461B" w:rsidRPr="000B26AE" w:rsidRDefault="0060461B" w:rsidP="00BE5A5D">
      <w:pPr>
        <w:spacing w:before="120" w:after="120"/>
        <w:ind w:left="720"/>
        <w:jc w:val="both"/>
        <w:rPr>
          <w:rFonts w:ascii="Arial Narrow" w:hAnsi="Arial Narrow"/>
          <w:sz w:val="24"/>
          <w:szCs w:val="24"/>
        </w:rPr>
      </w:pPr>
    </w:p>
    <w:p w:rsidR="0060461B" w:rsidRPr="00D45487" w:rsidRDefault="0060461B" w:rsidP="00BE5A5D">
      <w:pPr>
        <w:pStyle w:val="Heading2"/>
      </w:pPr>
      <w:bookmarkStart w:id="595" w:name="_Toc374515285"/>
      <w:bookmarkStart w:id="596" w:name="_Toc378258216"/>
      <w:bookmarkStart w:id="597" w:name="_Toc381351626"/>
      <w:r w:rsidRPr="00D45487">
        <w:t>9.3 WHEN TO START ART</w:t>
      </w:r>
      <w:bookmarkEnd w:id="595"/>
      <w:bookmarkEnd w:id="596"/>
      <w:bookmarkEnd w:id="597"/>
    </w:p>
    <w:p w:rsidR="0060461B" w:rsidRPr="00D731EE" w:rsidRDefault="0060461B" w:rsidP="00BE5A5D">
      <w:pPr>
        <w:spacing w:before="120" w:after="120" w:line="240" w:lineRule="auto"/>
        <w:jc w:val="both"/>
        <w:rPr>
          <w:rFonts w:ascii="Arial" w:hAnsi="Arial" w:cs="Arial"/>
        </w:rPr>
      </w:pPr>
      <w:r w:rsidRPr="00D731EE">
        <w:rPr>
          <w:rFonts w:ascii="Arial" w:hAnsi="Arial" w:cs="Arial"/>
        </w:rPr>
        <w:t xml:space="preserve">Based on experience and available evidence, use of ART improves quality of life and survival for PLHIVs. Early initiation of ART is important for desirable health outcome in terms of reducing risk of death, disease progression including tuberculosis and occurrence of serious adverse events. Eligibility criteria are based on WHO clinical stage and CD4 cells count levels. </w:t>
      </w:r>
    </w:p>
    <w:p w:rsidR="0060461B" w:rsidRPr="00D45487" w:rsidRDefault="0060461B" w:rsidP="00BE5A5D">
      <w:pPr>
        <w:pStyle w:val="Heading3"/>
      </w:pPr>
      <w:bookmarkStart w:id="598" w:name="_Toc374515286"/>
      <w:bookmarkStart w:id="599" w:name="_Toc378258217"/>
      <w:bookmarkStart w:id="600" w:name="_Toc381351627"/>
      <w:r w:rsidRPr="00D45487">
        <w:t>9.3.1 Evaluation to be done Before Initiating ART</w:t>
      </w:r>
      <w:bookmarkEnd w:id="598"/>
      <w:bookmarkEnd w:id="599"/>
      <w:bookmarkEnd w:id="600"/>
    </w:p>
    <w:p w:rsidR="0060461B" w:rsidRPr="00D731EE" w:rsidRDefault="0060461B" w:rsidP="00BE5A5D">
      <w:pPr>
        <w:spacing w:before="120" w:after="120" w:line="240" w:lineRule="auto"/>
        <w:jc w:val="both"/>
        <w:rPr>
          <w:rFonts w:ascii="Arial" w:hAnsi="Arial" w:cs="Arial"/>
        </w:rPr>
      </w:pPr>
      <w:r w:rsidRPr="00D731EE">
        <w:rPr>
          <w:rFonts w:ascii="Arial" w:hAnsi="Arial" w:cs="Arial"/>
        </w:rPr>
        <w:t xml:space="preserve">From the moment a patient tests HIV-positive, he/she should be referred to the CTC. In health facilities where ARV is being initiated in RCH and TB clinics, patients can be managed at those clinics. </w:t>
      </w:r>
    </w:p>
    <w:p w:rsidR="0060461B" w:rsidRPr="00D731EE" w:rsidRDefault="0060461B" w:rsidP="00BE5A5D">
      <w:pPr>
        <w:spacing w:before="120" w:after="120" w:line="240" w:lineRule="auto"/>
        <w:jc w:val="both"/>
        <w:rPr>
          <w:rFonts w:ascii="Arial" w:hAnsi="Arial" w:cs="Arial"/>
        </w:rPr>
      </w:pPr>
      <w:r w:rsidRPr="00D731EE">
        <w:rPr>
          <w:rFonts w:ascii="Arial" w:hAnsi="Arial" w:cs="Arial"/>
        </w:rPr>
        <w:t>Before initiating ART in any patient, a complete assessment of the patient should be performed starting with in depth medical history followed by a top-to-toe physical examination including WHO clinical staging. In addition the TB screening questionnaire should to be administered.</w:t>
      </w:r>
    </w:p>
    <w:p w:rsidR="0060461B" w:rsidRPr="00D731EE" w:rsidRDefault="0060461B" w:rsidP="00BE5A5D">
      <w:pPr>
        <w:spacing w:before="120" w:after="120" w:line="240" w:lineRule="auto"/>
        <w:jc w:val="both"/>
        <w:rPr>
          <w:rFonts w:ascii="Arial" w:hAnsi="Arial" w:cs="Arial"/>
        </w:rPr>
      </w:pPr>
      <w:r w:rsidRPr="00D731EE">
        <w:rPr>
          <w:rFonts w:ascii="Arial" w:hAnsi="Arial" w:cs="Arial"/>
        </w:rPr>
        <w:t>Thereafter, the following baseline laboratory tests are recommended:</w:t>
      </w:r>
    </w:p>
    <w:p w:rsidR="0060461B" w:rsidRPr="00B247C9" w:rsidRDefault="0060461B" w:rsidP="00B247C9">
      <w:pPr>
        <w:pStyle w:val="StyleJustifiedCharChar"/>
      </w:pPr>
      <w:r w:rsidRPr="00B247C9">
        <w:t xml:space="preserve">Urinalysis </w:t>
      </w:r>
    </w:p>
    <w:p w:rsidR="0060461B" w:rsidRPr="00B247C9" w:rsidRDefault="0060461B" w:rsidP="00B247C9">
      <w:pPr>
        <w:pStyle w:val="StyleJustifiedCharChar"/>
      </w:pPr>
      <w:r w:rsidRPr="00B247C9">
        <w:t xml:space="preserve">A complete blood count (If not available do Hgb) </w:t>
      </w:r>
    </w:p>
    <w:p w:rsidR="0060461B" w:rsidRPr="00B247C9" w:rsidRDefault="0060461B" w:rsidP="00B247C9">
      <w:pPr>
        <w:pStyle w:val="StyleJustifiedCharChar"/>
      </w:pPr>
      <w:r w:rsidRPr="00B247C9">
        <w:t>CD4 T-lymphocytes count (if it was not done in the past 6 months)</w:t>
      </w:r>
    </w:p>
    <w:p w:rsidR="0060461B" w:rsidRPr="00B247C9" w:rsidRDefault="0060461B" w:rsidP="00B247C9">
      <w:pPr>
        <w:pStyle w:val="StyleJustifiedCharChar"/>
      </w:pPr>
      <w:r w:rsidRPr="00B247C9">
        <w:t xml:space="preserve">Tests to rule out active TB where indicated (sputum AFB, CXR) in case of indication from the screening questionnaire </w:t>
      </w:r>
    </w:p>
    <w:p w:rsidR="0060461B" w:rsidRPr="00B247C9" w:rsidRDefault="0060461B" w:rsidP="00B247C9">
      <w:pPr>
        <w:pStyle w:val="StyleJustifiedCharChar"/>
      </w:pPr>
      <w:r w:rsidRPr="00B247C9">
        <w:t>Urine for pregnancy (to women of reproductive age)</w:t>
      </w:r>
    </w:p>
    <w:p w:rsidR="0060461B" w:rsidRPr="00B247C9" w:rsidRDefault="0060461B" w:rsidP="00B247C9">
      <w:pPr>
        <w:pStyle w:val="StyleJustifiedCharChar"/>
      </w:pPr>
      <w:r w:rsidRPr="00B247C9">
        <w:t xml:space="preserve">Liver function Tests (Serum Alanine Aminotransferase, ALT)– (if clinically indicated) </w:t>
      </w:r>
    </w:p>
    <w:p w:rsidR="0060461B" w:rsidRPr="00B247C9" w:rsidRDefault="0060461B" w:rsidP="00B247C9">
      <w:pPr>
        <w:pStyle w:val="StyleJustifiedCharChar"/>
      </w:pPr>
      <w:r w:rsidRPr="00B247C9">
        <w:t>Renal Function Tests (Creatinine, Blood Urea Nitrogen (BUN)) (if clinically indicated)</w:t>
      </w:r>
    </w:p>
    <w:p w:rsidR="0060461B" w:rsidRPr="00B247C9" w:rsidRDefault="0060461B" w:rsidP="00B247C9">
      <w:pPr>
        <w:pStyle w:val="StyleJustifiedCharChar"/>
      </w:pPr>
      <w:r w:rsidRPr="00B247C9">
        <w:t xml:space="preserve">Viral load (where available and indicated) </w:t>
      </w:r>
    </w:p>
    <w:p w:rsidR="0060461B" w:rsidRPr="00B247C9" w:rsidRDefault="0060461B" w:rsidP="00B247C9">
      <w:pPr>
        <w:pStyle w:val="StyleJustifiedCharChar"/>
      </w:pPr>
      <w:r w:rsidRPr="00B247C9">
        <w:t xml:space="preserve">Rapid test for syphilis </w:t>
      </w:r>
    </w:p>
    <w:p w:rsidR="0060461B" w:rsidRPr="000B26AE" w:rsidRDefault="0060461B" w:rsidP="00B247C9">
      <w:pPr>
        <w:pStyle w:val="StyleJustifiedCharChar"/>
      </w:pPr>
    </w:p>
    <w:p w:rsidR="0060461B" w:rsidRPr="00D731EE" w:rsidRDefault="0060461B" w:rsidP="00BE5A5D">
      <w:pPr>
        <w:spacing w:before="120" w:after="120" w:line="240" w:lineRule="auto"/>
        <w:jc w:val="both"/>
        <w:rPr>
          <w:rFonts w:ascii="Arial" w:hAnsi="Arial" w:cs="Arial"/>
        </w:rPr>
      </w:pPr>
      <w:r w:rsidRPr="00D731EE">
        <w:rPr>
          <w:rFonts w:ascii="Arial" w:hAnsi="Arial" w:cs="Arial"/>
        </w:rPr>
        <w:t>The following could be done if available:</w:t>
      </w:r>
    </w:p>
    <w:p w:rsidR="0060461B" w:rsidRPr="00B247C9" w:rsidRDefault="0060461B" w:rsidP="00B247C9">
      <w:pPr>
        <w:pStyle w:val="StyleJustifiedCharChar"/>
      </w:pPr>
      <w:r w:rsidRPr="00B247C9">
        <w:t>Serum creatinine and lipids</w:t>
      </w:r>
    </w:p>
    <w:p w:rsidR="0060461B" w:rsidRPr="00B247C9" w:rsidRDefault="0060461B" w:rsidP="00B247C9">
      <w:pPr>
        <w:pStyle w:val="StyleJustifiedCharChar"/>
      </w:pPr>
      <w:r w:rsidRPr="00B247C9">
        <w:t>Hepatitis B and C serology</w:t>
      </w:r>
    </w:p>
    <w:p w:rsidR="0060461B" w:rsidRPr="00D731EE" w:rsidRDefault="0060461B" w:rsidP="00BE5A5D">
      <w:pPr>
        <w:spacing w:before="120" w:after="120" w:line="240" w:lineRule="auto"/>
        <w:jc w:val="both"/>
        <w:rPr>
          <w:rFonts w:ascii="Arial" w:hAnsi="Arial" w:cs="Arial"/>
        </w:rPr>
      </w:pPr>
      <w:r w:rsidRPr="00D731EE">
        <w:rPr>
          <w:rFonts w:ascii="Arial" w:hAnsi="Arial" w:cs="Arial"/>
        </w:rPr>
        <w:t xml:space="preserve">Treatment decisions should be based on the extent of clinical disease progression and readiness of the patient. The gold standard for evaluating immune function remains to be CD4+ T lymphocyte counts. </w:t>
      </w:r>
    </w:p>
    <w:p w:rsidR="0060461B" w:rsidRPr="00D731EE" w:rsidRDefault="0060461B" w:rsidP="00BE5A5D">
      <w:pPr>
        <w:spacing w:before="120" w:after="120" w:line="240" w:lineRule="auto"/>
        <w:jc w:val="both"/>
        <w:rPr>
          <w:rFonts w:ascii="Arial" w:hAnsi="Arial" w:cs="Arial"/>
        </w:rPr>
      </w:pPr>
      <w:r w:rsidRPr="00D731EE">
        <w:rPr>
          <w:rFonts w:ascii="Arial" w:hAnsi="Arial" w:cs="Arial"/>
        </w:rPr>
        <w:t>The tests mentioned above, when available, should be done at baseline and as needed for clinical care (e.g. in cases of toxicity), and at least every six months for patients on treatment.</w:t>
      </w:r>
    </w:p>
    <w:p w:rsidR="0060461B" w:rsidRPr="00D45487" w:rsidRDefault="0060461B" w:rsidP="00BE5A5D">
      <w:pPr>
        <w:pStyle w:val="Heading3"/>
      </w:pPr>
      <w:bookmarkStart w:id="601" w:name="_Toc374515287"/>
      <w:bookmarkStart w:id="602" w:name="_Toc378258218"/>
      <w:bookmarkStart w:id="603" w:name="_Toc381351628"/>
      <w:r w:rsidRPr="00D45487">
        <w:t>9.3.2 When to start ART in Adults and Adolescents</w:t>
      </w:r>
      <w:bookmarkEnd w:id="601"/>
      <w:bookmarkEnd w:id="602"/>
      <w:bookmarkEnd w:id="603"/>
    </w:p>
    <w:p w:rsidR="0060461B" w:rsidRPr="00B247C9" w:rsidRDefault="0060461B" w:rsidP="00B247C9">
      <w:pPr>
        <w:pStyle w:val="StyleJustifiedCharChar"/>
      </w:pPr>
      <w:r w:rsidRPr="00B247C9">
        <w:t>Among adults and adolescents, there are two classes of patients that are eligible to begin treatment:</w:t>
      </w:r>
    </w:p>
    <w:p w:rsidR="0060461B" w:rsidRPr="00B247C9" w:rsidRDefault="0060461B" w:rsidP="00B247C9">
      <w:pPr>
        <w:pStyle w:val="StyleJustifiedCharChar"/>
      </w:pPr>
      <w:r w:rsidRPr="00B247C9">
        <w:t>All patients in WHO stage 3 and 4 clinical criteria, regardless of CD4 cell count</w:t>
      </w:r>
    </w:p>
    <w:p w:rsidR="0060461B" w:rsidRPr="00B247C9" w:rsidRDefault="0060461B" w:rsidP="00B247C9">
      <w:pPr>
        <w:pStyle w:val="StyleJustifiedCharChar"/>
      </w:pPr>
      <w:r w:rsidRPr="00B247C9">
        <w:t>All adolescents and adults with CD4 count &lt; 500cells/mm3, regardless of WHO clinical stage</w:t>
      </w:r>
    </w:p>
    <w:p w:rsidR="0060461B" w:rsidRPr="00D731EE" w:rsidRDefault="0060461B" w:rsidP="00BE5A5D">
      <w:pPr>
        <w:autoSpaceDE w:val="0"/>
        <w:autoSpaceDN w:val="0"/>
        <w:adjustRightInd w:val="0"/>
        <w:spacing w:before="120" w:after="120" w:line="240" w:lineRule="auto"/>
        <w:rPr>
          <w:rFonts w:ascii="Arial" w:hAnsi="Arial" w:cs="Arial"/>
        </w:rPr>
      </w:pPr>
      <w:r w:rsidRPr="00D731EE">
        <w:rPr>
          <w:rFonts w:ascii="Arial" w:eastAsia="Times New Roman" w:hAnsi="Arial" w:cs="Arial"/>
          <w:lang w:val="en-GB"/>
        </w:rPr>
        <w:t xml:space="preserve">ART should be initiated in all individuals with HIV regardless of WHO </w:t>
      </w:r>
      <w:r w:rsidRPr="00D731EE">
        <w:rPr>
          <w:rFonts w:ascii="Arial" w:hAnsi="Arial" w:cs="Arial"/>
        </w:rPr>
        <w:t>clinical stage or CD4 cell count in the following situations:</w:t>
      </w:r>
    </w:p>
    <w:p w:rsidR="0060461B" w:rsidRPr="00B247C9" w:rsidRDefault="0060461B" w:rsidP="00B247C9">
      <w:pPr>
        <w:pStyle w:val="StyleJustifiedCharChar"/>
      </w:pPr>
      <w:r w:rsidRPr="00B247C9">
        <w:t xml:space="preserve">Individuals with TB-HIV co-infection </w:t>
      </w:r>
    </w:p>
    <w:p w:rsidR="0060461B" w:rsidRPr="00B247C9" w:rsidRDefault="0060461B" w:rsidP="00B247C9">
      <w:pPr>
        <w:pStyle w:val="StyleJustifiedCharChar"/>
      </w:pPr>
      <w:r w:rsidRPr="00B247C9">
        <w:t>Individuals co-infected with HIV and HBV with evidence of severe chronic liver disease</w:t>
      </w:r>
    </w:p>
    <w:p w:rsidR="0060461B" w:rsidRPr="00B247C9" w:rsidRDefault="0060461B" w:rsidP="00B247C9">
      <w:pPr>
        <w:pStyle w:val="StyleJustifiedCharChar"/>
      </w:pPr>
      <w:r w:rsidRPr="00B247C9">
        <w:t>The following key populations peoplw who inject drugs (PWIDs), men who have sex with men (MSM),  sex workers, prisoners</w:t>
      </w:r>
    </w:p>
    <w:p w:rsidR="0060461B" w:rsidRPr="00B247C9" w:rsidRDefault="0060461B" w:rsidP="00B247C9">
      <w:pPr>
        <w:pStyle w:val="StyleJustifiedCharChar"/>
      </w:pPr>
      <w:r w:rsidRPr="00B247C9">
        <w:t>Partners with HIV in serodiscordant couples should be offered ART to reduce HIV transmission to uninfected partners.</w:t>
      </w:r>
    </w:p>
    <w:p w:rsidR="0060461B" w:rsidRPr="000B26AE" w:rsidRDefault="0060461B" w:rsidP="00B247C9">
      <w:pPr>
        <w:pStyle w:val="StyleJustifiedCharChar"/>
      </w:pPr>
      <w:bookmarkStart w:id="604" w:name="_Toc185736257"/>
      <w:bookmarkStart w:id="605" w:name="_Toc185658467"/>
      <w:bookmarkStart w:id="606" w:name="_Toc185673302"/>
      <w:bookmarkStart w:id="607" w:name="_Toc185673480"/>
      <w:bookmarkStart w:id="608" w:name="_Toc185677819"/>
      <w:bookmarkStart w:id="609" w:name="_Toc185678198"/>
      <w:bookmarkStart w:id="610" w:name="_Toc185678426"/>
      <w:bookmarkStart w:id="611" w:name="_Toc185736170"/>
    </w:p>
    <w:p w:rsidR="0060461B" w:rsidRPr="000B26AE" w:rsidRDefault="0060461B" w:rsidP="00B247C9">
      <w:pPr>
        <w:pStyle w:val="StyleJustifiedCharChar"/>
        <w:sectPr w:rsidR="0060461B" w:rsidRPr="000B26AE" w:rsidSect="00BE5A5D">
          <w:pgSz w:w="12240" w:h="15840"/>
          <w:pgMar w:top="1440" w:right="1440" w:bottom="1440" w:left="1440" w:header="720" w:footer="720" w:gutter="0"/>
          <w:cols w:space="720"/>
          <w:docGrid w:linePitch="360"/>
        </w:sectPr>
      </w:pPr>
    </w:p>
    <w:p w:rsidR="0060461B" w:rsidRPr="00D45487" w:rsidRDefault="0060461B" w:rsidP="00BE5A5D">
      <w:pPr>
        <w:rPr>
          <w:b/>
        </w:rPr>
      </w:pPr>
      <w:r w:rsidRPr="00D45487">
        <w:rPr>
          <w:b/>
        </w:rPr>
        <w:t>Figure 9.</w:t>
      </w:r>
      <w:bookmarkEnd w:id="604"/>
      <w:r>
        <w:rPr>
          <w:b/>
        </w:rPr>
        <w:t>1</w:t>
      </w:r>
      <w:r w:rsidRPr="00D45487">
        <w:rPr>
          <w:rStyle w:val="Heading3Char"/>
          <w:rFonts w:ascii="Arial Narrow" w:eastAsia="Calibri" w:hAnsi="Arial Narrow"/>
          <w:b w:val="0"/>
          <w:color w:val="auto"/>
        </w:rPr>
        <w:t xml:space="preserve">: </w:t>
      </w:r>
      <w:r w:rsidRPr="00D45487">
        <w:rPr>
          <w:b/>
        </w:rPr>
        <w:t>Criteria for ART in Adults and Adolescents</w:t>
      </w:r>
      <w:bookmarkEnd w:id="605"/>
      <w:bookmarkEnd w:id="606"/>
      <w:bookmarkEnd w:id="607"/>
      <w:bookmarkEnd w:id="608"/>
      <w:bookmarkEnd w:id="609"/>
      <w:bookmarkEnd w:id="610"/>
      <w:bookmarkEnd w:id="611"/>
      <w:r w:rsidRPr="00D45487">
        <w:rPr>
          <w:b/>
        </w:rPr>
        <w:t xml:space="preserve"> </w:t>
      </w:r>
    </w:p>
    <w:bookmarkStart w:id="612" w:name="_Toc374515288"/>
    <w:p w:rsidR="0060461B" w:rsidRPr="000B26AE" w:rsidRDefault="00AA771C" w:rsidP="00BE5A5D">
      <w:pPr>
        <w:rPr>
          <w:rFonts w:ascii="Arial Narrow" w:hAnsi="Arial Narrow"/>
          <w:sz w:val="24"/>
          <w:szCs w:val="24"/>
        </w:rPr>
      </w:pPr>
      <w:r>
        <w:rPr>
          <w:noProof/>
        </w:rPr>
        <mc:AlternateContent>
          <mc:Choice Requires="wps">
            <w:drawing>
              <wp:anchor distT="0" distB="0" distL="114300" distR="114300" simplePos="0" relativeHeight="251788288" behindDoc="0" locked="0" layoutInCell="1" allowOverlap="1">
                <wp:simplePos x="0" y="0"/>
                <wp:positionH relativeFrom="column">
                  <wp:posOffset>1595120</wp:posOffset>
                </wp:positionH>
                <wp:positionV relativeFrom="paragraph">
                  <wp:posOffset>62865</wp:posOffset>
                </wp:positionV>
                <wp:extent cx="2764155" cy="543560"/>
                <wp:effectExtent l="13970" t="5715" r="12700" b="12700"/>
                <wp:wrapNone/>
                <wp:docPr id="933"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543560"/>
                        </a:xfrm>
                        <a:prstGeom prst="rect">
                          <a:avLst/>
                        </a:prstGeom>
                        <a:solidFill>
                          <a:srgbClr val="FFFFFF"/>
                        </a:solidFill>
                        <a:ln w="9525">
                          <a:solidFill>
                            <a:srgbClr val="000000"/>
                          </a:solidFill>
                          <a:miter lim="800000"/>
                          <a:headEnd/>
                          <a:tailEnd/>
                        </a:ln>
                      </wps:spPr>
                      <wps:txbx>
                        <w:txbxContent>
                          <w:p w:rsidR="00B247C9" w:rsidRPr="00561DAB" w:rsidRDefault="00B247C9" w:rsidP="00BE5A5D">
                            <w:pPr>
                              <w:jc w:val="center"/>
                              <w:rPr>
                                <w:b/>
                              </w:rPr>
                            </w:pPr>
                            <w:r w:rsidRPr="00561DAB">
                              <w:rPr>
                                <w:b/>
                              </w:rPr>
                              <w:t>Confirmed HIV infected individual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31" o:spid="_x0000_s1411" type="#_x0000_t202" style="position:absolute;margin-left:125.6pt;margin-top:4.95pt;width:217.65pt;height:42.8pt;z-index:25178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">
                <v:textbox style="mso-fit-shape-to-text:t">
                  <w:txbxContent>
                    <w:p w:rsidR="00B247C9" w:rsidRPr="00561DAB" w:rsidRDefault="00B247C9" w:rsidP="00BE5A5D">
                      <w:pPr>
                        <w:jc w:val="center"/>
                        <w:rPr>
                          <w:b/>
                        </w:rPr>
                      </w:pPr>
                      <w:r w:rsidRPr="00561DAB">
                        <w:rPr>
                          <w:b/>
                        </w:rPr>
                        <w:t>Confirmed HIV infected individual</w:t>
                      </w:r>
                    </w:p>
                  </w:txbxContent>
                </v:textbox>
              </v:shape>
            </w:pict>
          </mc:Fallback>
        </mc:AlternateContent>
      </w:r>
    </w:p>
    <w:p w:rsidR="0060461B" w:rsidRPr="000B26AE" w:rsidRDefault="00AA771C" w:rsidP="00BE5A5D">
      <w:r>
        <w:rPr>
          <w:noProof/>
        </w:rPr>
        <mc:AlternateContent>
          <mc:Choice Requires="wps">
            <w:drawing>
              <wp:anchor distT="0" distB="0" distL="114300" distR="114300" simplePos="0" relativeHeight="251791360" behindDoc="0" locked="0" layoutInCell="1" allowOverlap="1">
                <wp:simplePos x="0" y="0"/>
                <wp:positionH relativeFrom="column">
                  <wp:posOffset>3581400</wp:posOffset>
                </wp:positionH>
                <wp:positionV relativeFrom="paragraph">
                  <wp:posOffset>1104900</wp:posOffset>
                </wp:positionV>
                <wp:extent cx="2238375" cy="1066800"/>
                <wp:effectExtent l="9525" t="9525" r="9525" b="9525"/>
                <wp:wrapNone/>
                <wp:docPr id="932"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066800"/>
                        </a:xfrm>
                        <a:prstGeom prst="rect">
                          <a:avLst/>
                        </a:prstGeom>
                        <a:solidFill>
                          <a:srgbClr val="FFFFFF"/>
                        </a:solidFill>
                        <a:ln w="9525">
                          <a:solidFill>
                            <a:srgbClr val="000000"/>
                          </a:solidFill>
                          <a:miter lim="800000"/>
                          <a:headEnd/>
                          <a:tailEnd/>
                        </a:ln>
                      </wps:spPr>
                      <wps:txbx>
                        <w:txbxContent>
                          <w:p w:rsidR="00B247C9" w:rsidRPr="000B26AE" w:rsidRDefault="00B247C9" w:rsidP="00BE5A5D">
                            <w:pPr>
                              <w:spacing w:after="0" w:line="240" w:lineRule="auto"/>
                              <w:rPr>
                                <w:b/>
                                <w:sz w:val="20"/>
                                <w:szCs w:val="20"/>
                              </w:rPr>
                            </w:pPr>
                            <w:r w:rsidRPr="000B26AE">
                              <w:rPr>
                                <w:b/>
                                <w:sz w:val="20"/>
                                <w:szCs w:val="20"/>
                              </w:rPr>
                              <w:t>Presence of any of the following</w:t>
                            </w:r>
                          </w:p>
                          <w:p w:rsidR="00B247C9" w:rsidRPr="000B26AE" w:rsidRDefault="00B247C9" w:rsidP="00274941">
                            <w:pPr>
                              <w:pStyle w:val="ListParagraph"/>
                              <w:numPr>
                                <w:ilvl w:val="0"/>
                                <w:numId w:val="76"/>
                              </w:numPr>
                              <w:ind w:left="180" w:hanging="180"/>
                              <w:rPr>
                                <w:b/>
                                <w:sz w:val="20"/>
                                <w:szCs w:val="20"/>
                              </w:rPr>
                            </w:pPr>
                            <w:r w:rsidRPr="000B26AE">
                              <w:rPr>
                                <w:b/>
                                <w:sz w:val="20"/>
                                <w:szCs w:val="20"/>
                              </w:rPr>
                              <w:t>Tuberculosis</w:t>
                            </w:r>
                          </w:p>
                          <w:p w:rsidR="00B247C9" w:rsidRPr="000B26AE" w:rsidRDefault="00B247C9" w:rsidP="00274941">
                            <w:pPr>
                              <w:pStyle w:val="ListParagraph"/>
                              <w:numPr>
                                <w:ilvl w:val="0"/>
                                <w:numId w:val="76"/>
                              </w:numPr>
                              <w:ind w:left="180" w:hanging="180"/>
                              <w:rPr>
                                <w:b/>
                                <w:sz w:val="20"/>
                                <w:szCs w:val="20"/>
                              </w:rPr>
                            </w:pPr>
                            <w:r w:rsidRPr="000B26AE">
                              <w:rPr>
                                <w:b/>
                                <w:sz w:val="20"/>
                                <w:szCs w:val="20"/>
                              </w:rPr>
                              <w:t>Hepatitis B</w:t>
                            </w:r>
                          </w:p>
                          <w:p w:rsidR="00B247C9" w:rsidRPr="000B26AE" w:rsidRDefault="00B247C9" w:rsidP="00274941">
                            <w:pPr>
                              <w:pStyle w:val="ListParagraph"/>
                              <w:numPr>
                                <w:ilvl w:val="0"/>
                                <w:numId w:val="76"/>
                              </w:numPr>
                              <w:ind w:left="180" w:hanging="180"/>
                              <w:rPr>
                                <w:b/>
                                <w:sz w:val="20"/>
                                <w:szCs w:val="20"/>
                              </w:rPr>
                            </w:pPr>
                            <w:r w:rsidRPr="000B26AE">
                              <w:rPr>
                                <w:b/>
                                <w:sz w:val="20"/>
                                <w:szCs w:val="20"/>
                              </w:rPr>
                              <w:t>Pregnant and lactating women</w:t>
                            </w:r>
                          </w:p>
                          <w:p w:rsidR="00B247C9" w:rsidRPr="000B26AE" w:rsidRDefault="00B247C9" w:rsidP="00274941">
                            <w:pPr>
                              <w:pStyle w:val="ListParagraph"/>
                              <w:numPr>
                                <w:ilvl w:val="0"/>
                                <w:numId w:val="76"/>
                              </w:numPr>
                              <w:ind w:left="180" w:hanging="180"/>
                              <w:rPr>
                                <w:b/>
                                <w:sz w:val="20"/>
                                <w:szCs w:val="20"/>
                              </w:rPr>
                            </w:pPr>
                            <w:r w:rsidRPr="000B26AE">
                              <w:rPr>
                                <w:b/>
                                <w:sz w:val="20"/>
                                <w:szCs w:val="20"/>
                              </w:rPr>
                              <w:t>Discordant couples</w:t>
                            </w:r>
                          </w:p>
                          <w:p w:rsidR="00B247C9" w:rsidRPr="000B26AE" w:rsidRDefault="00B247C9" w:rsidP="00274941">
                            <w:pPr>
                              <w:pStyle w:val="ListParagraph"/>
                              <w:numPr>
                                <w:ilvl w:val="0"/>
                                <w:numId w:val="76"/>
                              </w:numPr>
                              <w:ind w:left="180" w:hanging="180"/>
                              <w:rPr>
                                <w:sz w:val="20"/>
                                <w:szCs w:val="20"/>
                              </w:rPr>
                            </w:pPr>
                            <w:r w:rsidRPr="000B26AE">
                              <w:rPr>
                                <w:b/>
                                <w:sz w:val="20"/>
                                <w:szCs w:val="20"/>
                              </w:rPr>
                              <w:t>Key population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4" o:spid="_x0000_s1412" type="#_x0000_t202" style="position:absolute;margin-left:282pt;margin-top:87pt;width:176.25pt;height:8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">
                <v:textbox>
                  <w:txbxContent>
                    <w:p w:rsidR="00B247C9" w:rsidRPr="000B26AE" w:rsidRDefault="00B247C9" w:rsidP="00BE5A5D">
                      <w:pPr>
                        <w:spacing w:after="0" w:line="240" w:lineRule="auto"/>
                        <w:rPr>
                          <w:b/>
                          <w:sz w:val="20"/>
                          <w:szCs w:val="20"/>
                        </w:rPr>
                      </w:pPr>
                      <w:r w:rsidRPr="000B26AE">
                        <w:rPr>
                          <w:b/>
                          <w:sz w:val="20"/>
                          <w:szCs w:val="20"/>
                        </w:rPr>
                        <w:t>Presence of any of the following</w:t>
                      </w:r>
                    </w:p>
                    <w:p w:rsidR="00B247C9" w:rsidRPr="000B26AE" w:rsidRDefault="00B247C9" w:rsidP="00274941">
                      <w:pPr>
                        <w:pStyle w:val="ListParagraph"/>
                        <w:numPr>
                          <w:ilvl w:val="0"/>
                          <w:numId w:val="76"/>
                        </w:numPr>
                        <w:ind w:left="180" w:hanging="180"/>
                        <w:rPr>
                          <w:b/>
                          <w:sz w:val="20"/>
                          <w:szCs w:val="20"/>
                        </w:rPr>
                      </w:pPr>
                      <w:r w:rsidRPr="000B26AE">
                        <w:rPr>
                          <w:b/>
                          <w:sz w:val="20"/>
                          <w:szCs w:val="20"/>
                        </w:rPr>
                        <w:t>Tuberculosis</w:t>
                      </w:r>
                    </w:p>
                    <w:p w:rsidR="00B247C9" w:rsidRPr="000B26AE" w:rsidRDefault="00B247C9" w:rsidP="00274941">
                      <w:pPr>
                        <w:pStyle w:val="ListParagraph"/>
                        <w:numPr>
                          <w:ilvl w:val="0"/>
                          <w:numId w:val="76"/>
                        </w:numPr>
                        <w:ind w:left="180" w:hanging="180"/>
                        <w:rPr>
                          <w:b/>
                          <w:sz w:val="20"/>
                          <w:szCs w:val="20"/>
                        </w:rPr>
                      </w:pPr>
                      <w:r w:rsidRPr="000B26AE">
                        <w:rPr>
                          <w:b/>
                          <w:sz w:val="20"/>
                          <w:szCs w:val="20"/>
                        </w:rPr>
                        <w:t>Hepatitis B</w:t>
                      </w:r>
                    </w:p>
                    <w:p w:rsidR="00B247C9" w:rsidRPr="000B26AE" w:rsidRDefault="00B247C9" w:rsidP="00274941">
                      <w:pPr>
                        <w:pStyle w:val="ListParagraph"/>
                        <w:numPr>
                          <w:ilvl w:val="0"/>
                          <w:numId w:val="76"/>
                        </w:numPr>
                        <w:ind w:left="180" w:hanging="180"/>
                        <w:rPr>
                          <w:b/>
                          <w:sz w:val="20"/>
                          <w:szCs w:val="20"/>
                        </w:rPr>
                      </w:pPr>
                      <w:r w:rsidRPr="000B26AE">
                        <w:rPr>
                          <w:b/>
                          <w:sz w:val="20"/>
                          <w:szCs w:val="20"/>
                        </w:rPr>
                        <w:t>Pregnant and lactating women</w:t>
                      </w:r>
                    </w:p>
                    <w:p w:rsidR="00B247C9" w:rsidRPr="000B26AE" w:rsidRDefault="00B247C9" w:rsidP="00274941">
                      <w:pPr>
                        <w:pStyle w:val="ListParagraph"/>
                        <w:numPr>
                          <w:ilvl w:val="0"/>
                          <w:numId w:val="76"/>
                        </w:numPr>
                        <w:ind w:left="180" w:hanging="180"/>
                        <w:rPr>
                          <w:b/>
                          <w:sz w:val="20"/>
                          <w:szCs w:val="20"/>
                        </w:rPr>
                      </w:pPr>
                      <w:r w:rsidRPr="000B26AE">
                        <w:rPr>
                          <w:b/>
                          <w:sz w:val="20"/>
                          <w:szCs w:val="20"/>
                        </w:rPr>
                        <w:t>Discordant couples</w:t>
                      </w:r>
                    </w:p>
                    <w:p w:rsidR="00B247C9" w:rsidRPr="000B26AE" w:rsidRDefault="00B247C9" w:rsidP="00274941">
                      <w:pPr>
                        <w:pStyle w:val="ListParagraph"/>
                        <w:numPr>
                          <w:ilvl w:val="0"/>
                          <w:numId w:val="76"/>
                        </w:numPr>
                        <w:ind w:left="180" w:hanging="180"/>
                        <w:rPr>
                          <w:sz w:val="20"/>
                          <w:szCs w:val="20"/>
                        </w:rPr>
                      </w:pPr>
                      <w:r w:rsidRPr="000B26AE">
                        <w:rPr>
                          <w:b/>
                          <w:sz w:val="20"/>
                          <w:szCs w:val="20"/>
                        </w:rPr>
                        <w:t>Key population</w:t>
                      </w:r>
                    </w:p>
                  </w:txbxContent>
                </v:textbox>
              </v:shape>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4972050</wp:posOffset>
                </wp:positionH>
                <wp:positionV relativeFrom="paragraph">
                  <wp:posOffset>2171700</wp:posOffset>
                </wp:positionV>
                <wp:extent cx="635" cy="1276350"/>
                <wp:effectExtent l="57150" t="9525" r="56515" b="19050"/>
                <wp:wrapNone/>
                <wp:docPr id="931" name="AutoShap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7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5" o:spid="_x0000_s1026" type="#_x0000_t32" style="position:absolute;margin-left:391.5pt;margin-top:171pt;width:.05pt;height:10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QGOgIAAGM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">
                <v:stroke endarrow="block"/>
              </v:shape>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-247650</wp:posOffset>
                </wp:positionH>
                <wp:positionV relativeFrom="paragraph">
                  <wp:posOffset>5562600</wp:posOffset>
                </wp:positionV>
                <wp:extent cx="1362075" cy="771525"/>
                <wp:effectExtent l="9525" t="9525" r="9525" b="9525"/>
                <wp:wrapNone/>
                <wp:docPr id="930"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771525"/>
                        </a:xfrm>
                        <a:prstGeom prst="rect">
                          <a:avLst/>
                        </a:prstGeom>
                        <a:solidFill>
                          <a:srgbClr val="FFFFFF"/>
                        </a:solidFill>
                        <a:ln w="9525">
                          <a:solidFill>
                            <a:srgbClr val="000000"/>
                          </a:solidFill>
                          <a:miter lim="800000"/>
                          <a:headEnd/>
                          <a:tailEnd/>
                        </a:ln>
                      </wps:spPr>
                      <wps:txbx>
                        <w:txbxContent>
                          <w:p w:rsidR="00B247C9" w:rsidRPr="000B26AE" w:rsidRDefault="00B247C9" w:rsidP="00BE5A5D">
                            <w:pPr>
                              <w:rPr>
                                <w:b/>
                              </w:rPr>
                            </w:pPr>
                            <w:r w:rsidRPr="000B26AE">
                              <w:rPr>
                                <w:b/>
                              </w:rPr>
                              <w:t xml:space="preserve">Do NOT initiate ART. Monitor patient regularly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8" o:spid="_x0000_s1413" type="#_x0000_t202" style="position:absolute;margin-left:-19.5pt;margin-top:438pt;width:107.25pt;height:60.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">
                <v:textbox>
                  <w:txbxContent>
                    <w:p w:rsidR="00B247C9" w:rsidRPr="000B26AE" w:rsidRDefault="00B247C9" w:rsidP="00BE5A5D">
                      <w:pPr>
                        <w:rPr>
                          <w:b/>
                        </w:rPr>
                      </w:pPr>
                      <w:r w:rsidRPr="000B26AE">
                        <w:rPr>
                          <w:b/>
                        </w:rPr>
                        <w:t xml:space="preserve">Do NOT initiate ART. Monitor patient regularly </w:t>
                      </w:r>
                    </w:p>
                  </w:txbxContent>
                </v:textbox>
              </v:shape>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4353560</wp:posOffset>
                </wp:positionH>
                <wp:positionV relativeFrom="paragraph">
                  <wp:posOffset>3448050</wp:posOffset>
                </wp:positionV>
                <wp:extent cx="1161415" cy="838200"/>
                <wp:effectExtent l="10160" t="9525" r="9525" b="9525"/>
                <wp:wrapNone/>
                <wp:docPr id="929"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838200"/>
                        </a:xfrm>
                        <a:prstGeom prst="rect">
                          <a:avLst/>
                        </a:prstGeom>
                        <a:solidFill>
                          <a:srgbClr val="FFFFFF"/>
                        </a:solidFill>
                        <a:ln w="9525">
                          <a:solidFill>
                            <a:srgbClr val="000000"/>
                          </a:solidFill>
                          <a:miter lim="800000"/>
                          <a:headEnd/>
                          <a:tailEnd/>
                        </a:ln>
                      </wps:spPr>
                      <wps:txbx>
                        <w:txbxContent>
                          <w:p w:rsidR="00B247C9" w:rsidRPr="00FC723C" w:rsidRDefault="00B247C9" w:rsidP="00BE5A5D">
                            <w:pPr>
                              <w:shd w:val="clear" w:color="auto" w:fill="000000"/>
                              <w:jc w:val="center"/>
                              <w:rPr>
                                <w:b/>
                                <w:color w:val="FFFFFF"/>
                                <w:sz w:val="20"/>
                                <w:szCs w:val="20"/>
                              </w:rPr>
                            </w:pPr>
                            <w:r w:rsidRPr="00FC723C">
                              <w:rPr>
                                <w:b/>
                                <w:color w:val="FFFFFF"/>
                                <w:sz w:val="20"/>
                                <w:szCs w:val="20"/>
                              </w:rPr>
                              <w:t xml:space="preserve">Start ART regardless of CD4+ Cell Count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6" o:spid="_x0000_s1414" type="#_x0000_t202" style="position:absolute;margin-left:342.8pt;margin-top:271.5pt;width:91.45pt;height:6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">
                <v:textbox>
                  <w:txbxContent>
                    <w:p w:rsidR="00B247C9" w:rsidRPr="00FC723C" w:rsidRDefault="00B247C9" w:rsidP="00BE5A5D">
                      <w:pPr>
                        <w:shd w:val="clear" w:color="auto" w:fill="000000"/>
                        <w:jc w:val="center"/>
                        <w:rPr>
                          <w:b/>
                          <w:color w:val="FFFFFF"/>
                          <w:sz w:val="20"/>
                          <w:szCs w:val="20"/>
                        </w:rPr>
                      </w:pPr>
                      <w:r w:rsidRPr="00FC723C">
                        <w:rPr>
                          <w:b/>
                          <w:color w:val="FFFFFF"/>
                          <w:sz w:val="20"/>
                          <w:szCs w:val="20"/>
                        </w:rPr>
                        <w:t xml:space="preserve">Start ART regardless of CD4+ Cell Count </w:t>
                      </w:r>
                    </w:p>
                  </w:txbxContent>
                </v:textbox>
              </v:shape>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2190750</wp:posOffset>
                </wp:positionH>
                <wp:positionV relativeFrom="paragraph">
                  <wp:posOffset>4657725</wp:posOffset>
                </wp:positionV>
                <wp:extent cx="0" cy="904875"/>
                <wp:effectExtent l="57150" t="9525" r="57150" b="19050"/>
                <wp:wrapNone/>
                <wp:docPr id="928" name="AutoShap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4" o:spid="_x0000_s1026" type="#_x0000_t32" style="position:absolute;margin-left:172.5pt;margin-top:366.75pt;width:0;height:71.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LdNAIAAGA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">
                <v:stroke endarrow="block"/>
              </v:shape>
            </w:pict>
          </mc:Fallback>
        </mc:AlternateContent>
      </w:r>
      <w:r>
        <w:rPr>
          <w:noProof/>
        </w:rPr>
        <mc:AlternateContent>
          <mc:Choice Requires="wps">
            <w:drawing>
              <wp:anchor distT="0" distB="0" distL="114300" distR="114300" simplePos="0" relativeHeight="251810816" behindDoc="0" locked="0" layoutInCell="1" allowOverlap="1">
                <wp:simplePos x="0" y="0"/>
                <wp:positionH relativeFrom="column">
                  <wp:posOffset>438150</wp:posOffset>
                </wp:positionH>
                <wp:positionV relativeFrom="paragraph">
                  <wp:posOffset>4657725</wp:posOffset>
                </wp:positionV>
                <wp:extent cx="0" cy="904875"/>
                <wp:effectExtent l="57150" t="9525" r="57150" b="19050"/>
                <wp:wrapNone/>
                <wp:docPr id="927" name="AutoShap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3" o:spid="_x0000_s1026" type="#_x0000_t32" style="position:absolute;margin-left:34.5pt;margin-top:366.75pt;width:0;height:71.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zlNAIAAGA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">
                <v:stroke endarrow="block"/>
              </v:shape>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2190750</wp:posOffset>
                </wp:positionH>
                <wp:positionV relativeFrom="paragraph">
                  <wp:posOffset>3562350</wp:posOffset>
                </wp:positionV>
                <wp:extent cx="0" cy="657225"/>
                <wp:effectExtent l="57150" t="9525" r="57150" b="19050"/>
                <wp:wrapNone/>
                <wp:docPr id="926" name="AutoShap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2" o:spid="_x0000_s1026" type="#_x0000_t32" style="position:absolute;margin-left:172.5pt;margin-top:280.5pt;width:0;height:51.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">
                <v:stroke endarrow="block"/>
              </v:shape>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column">
                  <wp:posOffset>85725</wp:posOffset>
                </wp:positionH>
                <wp:positionV relativeFrom="paragraph">
                  <wp:posOffset>3562350</wp:posOffset>
                </wp:positionV>
                <wp:extent cx="0" cy="657225"/>
                <wp:effectExtent l="57150" t="9525" r="57150" b="19050"/>
                <wp:wrapNone/>
                <wp:docPr id="925" name="AutoShap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1" o:spid="_x0000_s1026" type="#_x0000_t32" style="position:absolute;margin-left:6.75pt;margin-top:280.5pt;width:0;height:51.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">
                <v:stroke endarrow="block"/>
              </v:shape>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column">
                  <wp:posOffset>1833880</wp:posOffset>
                </wp:positionH>
                <wp:positionV relativeFrom="paragraph">
                  <wp:posOffset>5562600</wp:posOffset>
                </wp:positionV>
                <wp:extent cx="895350" cy="847725"/>
                <wp:effectExtent l="5080" t="9525" r="13970" b="9525"/>
                <wp:wrapNone/>
                <wp:docPr id="924"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47725"/>
                        </a:xfrm>
                        <a:prstGeom prst="rect">
                          <a:avLst/>
                        </a:prstGeom>
                        <a:solidFill>
                          <a:srgbClr val="FFFFFF"/>
                        </a:solidFill>
                        <a:ln w="9525">
                          <a:solidFill>
                            <a:srgbClr val="000000"/>
                          </a:solidFill>
                          <a:miter lim="800000"/>
                          <a:headEnd/>
                          <a:tailEnd/>
                        </a:ln>
                      </wps:spPr>
                      <wps:txbx>
                        <w:txbxContent>
                          <w:p w:rsidR="00B247C9" w:rsidRPr="00FC723C" w:rsidRDefault="00B247C9" w:rsidP="00BE5A5D">
                            <w:pPr>
                              <w:shd w:val="clear" w:color="auto" w:fill="000000"/>
                              <w:spacing w:after="0"/>
                              <w:jc w:val="center"/>
                              <w:rPr>
                                <w:b/>
                                <w:color w:val="FFFFFF"/>
                              </w:rPr>
                            </w:pPr>
                            <w:r w:rsidRPr="00FC723C">
                              <w:rPr>
                                <w:b/>
                                <w:color w:val="FFFFFF"/>
                              </w:rPr>
                              <w:t>Start 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9" o:spid="_x0000_s1415" type="#_x0000_t202" style="position:absolute;margin-left:144.4pt;margin-top:438pt;width:70.5pt;height:66.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">
                <v:textbox>
                  <w:txbxContent>
                    <w:p w:rsidR="00B247C9" w:rsidRPr="00FC723C" w:rsidRDefault="00B247C9" w:rsidP="00BE5A5D">
                      <w:pPr>
                        <w:shd w:val="clear" w:color="auto" w:fill="000000"/>
                        <w:spacing w:after="0"/>
                        <w:jc w:val="center"/>
                        <w:rPr>
                          <w:b/>
                          <w:color w:val="FFFFFF"/>
                        </w:rPr>
                      </w:pPr>
                      <w:r w:rsidRPr="00FC723C">
                        <w:rPr>
                          <w:b/>
                          <w:color w:val="FFFFFF"/>
                        </w:rPr>
                        <w:t>Start ART</w:t>
                      </w:r>
                    </w:p>
                  </w:txbxContent>
                </v:textbox>
              </v:shape>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1589405</wp:posOffset>
                </wp:positionH>
                <wp:positionV relativeFrom="paragraph">
                  <wp:posOffset>4200525</wp:posOffset>
                </wp:positionV>
                <wp:extent cx="1139825" cy="457200"/>
                <wp:effectExtent l="8255" t="9525" r="13970" b="9525"/>
                <wp:wrapNone/>
                <wp:docPr id="923"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457200"/>
                        </a:xfrm>
                        <a:prstGeom prst="rect">
                          <a:avLst/>
                        </a:prstGeom>
                        <a:solidFill>
                          <a:srgbClr val="FFFFFF"/>
                        </a:solidFill>
                        <a:ln w="9525">
                          <a:solidFill>
                            <a:srgbClr val="000000"/>
                          </a:solidFill>
                          <a:miter lim="800000"/>
                          <a:headEnd/>
                          <a:tailEnd/>
                        </a:ln>
                      </wps:spPr>
                      <wps:txbx>
                        <w:txbxContent>
                          <w:p w:rsidR="00B247C9" w:rsidRPr="000B26AE" w:rsidRDefault="00B247C9" w:rsidP="00BE5A5D">
                            <w:pPr>
                              <w:jc w:val="center"/>
                              <w:rPr>
                                <w:b/>
                                <w:sz w:val="20"/>
                                <w:szCs w:val="20"/>
                              </w:rPr>
                            </w:pPr>
                            <w:r w:rsidRPr="000B26AE">
                              <w:rPr>
                                <w:b/>
                                <w:sz w:val="20"/>
                                <w:szCs w:val="20"/>
                              </w:rPr>
                              <w:t>CD4: ≤ 500 cells/mm</w:t>
                            </w:r>
                            <w:r w:rsidRPr="000B26AE">
                              <w:rPr>
                                <w:b/>
                                <w:sz w:val="20"/>
                                <w:szCs w:val="20"/>
                                <w:vertAlign w:val="superscript"/>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7" o:spid="_x0000_s1416" type="#_x0000_t202" style="position:absolute;margin-left:125.15pt;margin-top:330.75pt;width:89.75pt;height:3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">
                <v:textbox>
                  <w:txbxContent>
                    <w:p w:rsidR="00B247C9" w:rsidRPr="000B26AE" w:rsidRDefault="00B247C9" w:rsidP="00BE5A5D">
                      <w:pPr>
                        <w:jc w:val="center"/>
                        <w:rPr>
                          <w:b/>
                          <w:sz w:val="20"/>
                          <w:szCs w:val="20"/>
                        </w:rPr>
                      </w:pPr>
                      <w:r w:rsidRPr="000B26AE">
                        <w:rPr>
                          <w:b/>
                          <w:sz w:val="20"/>
                          <w:szCs w:val="20"/>
                        </w:rPr>
                        <w:t>CD4: ≤ 500 cells/mm</w:t>
                      </w:r>
                      <w:r w:rsidRPr="000B26AE">
                        <w:rPr>
                          <w:b/>
                          <w:sz w:val="20"/>
                          <w:szCs w:val="20"/>
                          <w:vertAlign w:val="superscript"/>
                        </w:rPr>
                        <w:t>3</w:t>
                      </w:r>
                    </w:p>
                  </w:txbxContent>
                </v:textbox>
              </v:shape>
            </w:pict>
          </mc:Fallback>
        </mc:AlternateContent>
      </w:r>
      <w:r>
        <w:rPr>
          <w:noProof/>
        </w:rPr>
        <mc:AlternateContent>
          <mc:Choice Requires="wps">
            <w:drawing>
              <wp:anchor distT="0" distB="0" distL="114300" distR="114300" simplePos="0" relativeHeight="251793408" behindDoc="0" locked="0" layoutInCell="1" allowOverlap="1">
                <wp:simplePos x="0" y="0"/>
                <wp:positionH relativeFrom="column">
                  <wp:posOffset>-193040</wp:posOffset>
                </wp:positionH>
                <wp:positionV relativeFrom="paragraph">
                  <wp:posOffset>4219575</wp:posOffset>
                </wp:positionV>
                <wp:extent cx="1139825" cy="438150"/>
                <wp:effectExtent l="6985" t="9525" r="5715" b="9525"/>
                <wp:wrapNone/>
                <wp:docPr id="922"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438150"/>
                        </a:xfrm>
                        <a:prstGeom prst="rect">
                          <a:avLst/>
                        </a:prstGeom>
                        <a:solidFill>
                          <a:srgbClr val="FFFFFF"/>
                        </a:solidFill>
                        <a:ln w="9525">
                          <a:solidFill>
                            <a:srgbClr val="000000"/>
                          </a:solidFill>
                          <a:miter lim="800000"/>
                          <a:headEnd/>
                          <a:tailEnd/>
                        </a:ln>
                      </wps:spPr>
                      <wps:txbx>
                        <w:txbxContent>
                          <w:p w:rsidR="00B247C9" w:rsidRPr="000B26AE" w:rsidRDefault="00B247C9" w:rsidP="00BE5A5D">
                            <w:pPr>
                              <w:jc w:val="center"/>
                              <w:rPr>
                                <w:b/>
                                <w:sz w:val="20"/>
                                <w:szCs w:val="20"/>
                              </w:rPr>
                            </w:pPr>
                            <w:r w:rsidRPr="000B26AE">
                              <w:rPr>
                                <w:b/>
                                <w:sz w:val="20"/>
                                <w:szCs w:val="20"/>
                              </w:rPr>
                              <w:t>CD4: &gt; 500 cells/mm</w:t>
                            </w:r>
                            <w:r w:rsidRPr="000B26AE">
                              <w:rPr>
                                <w:b/>
                                <w:sz w:val="20"/>
                                <w:szCs w:val="20"/>
                                <w:vertAlign w:val="superscript"/>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6" o:spid="_x0000_s1417" type="#_x0000_t202" style="position:absolute;margin-left:-15.2pt;margin-top:332.25pt;width:89.75pt;height:3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">
                <v:textbox>
                  <w:txbxContent>
                    <w:p w:rsidR="00B247C9" w:rsidRPr="000B26AE" w:rsidRDefault="00B247C9" w:rsidP="00BE5A5D">
                      <w:pPr>
                        <w:jc w:val="center"/>
                        <w:rPr>
                          <w:b/>
                          <w:sz w:val="20"/>
                          <w:szCs w:val="20"/>
                        </w:rPr>
                      </w:pPr>
                      <w:r w:rsidRPr="000B26AE">
                        <w:rPr>
                          <w:b/>
                          <w:sz w:val="20"/>
                          <w:szCs w:val="20"/>
                        </w:rPr>
                        <w:t>CD4: &gt; 500 cells/mm</w:t>
                      </w:r>
                      <w:r w:rsidRPr="000B26AE">
                        <w:rPr>
                          <w:b/>
                          <w:sz w:val="20"/>
                          <w:szCs w:val="20"/>
                          <w:vertAlign w:val="superscript"/>
                        </w:rPr>
                        <w:t>3</w:t>
                      </w:r>
                    </w:p>
                  </w:txbxContent>
                </v:textbox>
              </v:shape>
            </w:pict>
          </mc:Fallback>
        </mc:AlternateContent>
      </w:r>
      <w:r>
        <w:rPr>
          <w:noProof/>
        </w:rPr>
        <mc:AlternateContent>
          <mc:Choice Requires="wps">
            <w:drawing>
              <wp:anchor distT="0" distB="0" distL="114300" distR="114300" simplePos="0" relativeHeight="251807744" behindDoc="0" locked="0" layoutInCell="1" allowOverlap="1">
                <wp:simplePos x="0" y="0"/>
                <wp:positionH relativeFrom="column">
                  <wp:posOffset>85725</wp:posOffset>
                </wp:positionH>
                <wp:positionV relativeFrom="paragraph">
                  <wp:posOffset>3562350</wp:posOffset>
                </wp:positionV>
                <wp:extent cx="2105025" cy="0"/>
                <wp:effectExtent l="9525" t="9525" r="9525" b="9525"/>
                <wp:wrapNone/>
                <wp:docPr id="921" name="AutoShap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0" o:spid="_x0000_s1026" type="#_x0000_t32" style="position:absolute;margin-left:6.75pt;margin-top:280.5pt;width:165.75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"/>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1181100</wp:posOffset>
                </wp:positionH>
                <wp:positionV relativeFrom="paragraph">
                  <wp:posOffset>3000375</wp:posOffset>
                </wp:positionV>
                <wp:extent cx="0" cy="561975"/>
                <wp:effectExtent l="9525" t="9525" r="9525" b="9525"/>
                <wp:wrapNone/>
                <wp:docPr id="920" name="AutoShap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9" o:spid="_x0000_s1026" type="#_x0000_t32" style="position:absolute;margin-left:93pt;margin-top:236.25pt;width:0;height:44.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"/>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438150</wp:posOffset>
                </wp:positionH>
                <wp:positionV relativeFrom="paragraph">
                  <wp:posOffset>2466975</wp:posOffset>
                </wp:positionV>
                <wp:extent cx="1457325" cy="533400"/>
                <wp:effectExtent l="9525" t="9525" r="9525" b="9525"/>
                <wp:wrapNone/>
                <wp:docPr id="919"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33400"/>
                        </a:xfrm>
                        <a:prstGeom prst="rect">
                          <a:avLst/>
                        </a:prstGeom>
                        <a:solidFill>
                          <a:srgbClr val="FFFFFF"/>
                        </a:solidFill>
                        <a:ln w="9525">
                          <a:solidFill>
                            <a:srgbClr val="000000"/>
                          </a:solidFill>
                          <a:miter lim="800000"/>
                          <a:headEnd/>
                          <a:tailEnd/>
                        </a:ln>
                      </wps:spPr>
                      <wps:txbx>
                        <w:txbxContent>
                          <w:p w:rsidR="00B247C9" w:rsidRPr="000B26AE" w:rsidRDefault="00B247C9" w:rsidP="00BE5A5D">
                            <w:pPr>
                              <w:spacing w:line="240" w:lineRule="auto"/>
                              <w:jc w:val="center"/>
                              <w:rPr>
                                <w:b/>
                              </w:rPr>
                            </w:pPr>
                            <w:r w:rsidRPr="000B26AE">
                              <w:rPr>
                                <w:b/>
                              </w:rPr>
                              <w:t>Perform CD4+ Cell 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5" o:spid="_x0000_s1418" type="#_x0000_t202" style="position:absolute;margin-left:34.5pt;margin-top:194.25pt;width:114.75pt;height:4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">
                <v:textbox>
                  <w:txbxContent>
                    <w:p w:rsidR="00B247C9" w:rsidRPr="000B26AE" w:rsidRDefault="00B247C9" w:rsidP="00BE5A5D">
                      <w:pPr>
                        <w:spacing w:line="240" w:lineRule="auto"/>
                        <w:jc w:val="center"/>
                        <w:rPr>
                          <w:b/>
                        </w:rPr>
                      </w:pPr>
                      <w:r w:rsidRPr="000B26AE">
                        <w:rPr>
                          <w:b/>
                        </w:rPr>
                        <w:t>Perform CD4+ Cell Count</w:t>
                      </w:r>
                    </w:p>
                  </w:txbxContent>
                </v:textbox>
              </v:shape>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column">
                  <wp:posOffset>1171575</wp:posOffset>
                </wp:positionH>
                <wp:positionV relativeFrom="paragraph">
                  <wp:posOffset>1981200</wp:posOffset>
                </wp:positionV>
                <wp:extent cx="9525" cy="485775"/>
                <wp:effectExtent l="47625" t="9525" r="57150" b="19050"/>
                <wp:wrapNone/>
                <wp:docPr id="918" name="AutoShap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8" o:spid="_x0000_s1026" type="#_x0000_t32" style="position:absolute;margin-left:92.25pt;margin-top:156pt;width:.75pt;height:38.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">
                <v:stroke endarrow="block"/>
              </v:shape>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column">
                  <wp:posOffset>542925</wp:posOffset>
                </wp:positionH>
                <wp:positionV relativeFrom="paragraph">
                  <wp:posOffset>1981200</wp:posOffset>
                </wp:positionV>
                <wp:extent cx="1352550" cy="0"/>
                <wp:effectExtent l="9525" t="9525" r="9525" b="9525"/>
                <wp:wrapNone/>
                <wp:docPr id="917" name="AutoShap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7" o:spid="_x0000_s1026" type="#_x0000_t32" style="position:absolute;margin-left:42.75pt;margin-top:156pt;width:106.5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90BIQ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"/>
            </w:pict>
          </mc:Fallback>
        </mc:AlternateContent>
      </w:r>
      <w:r>
        <w:rPr>
          <w:noProof/>
        </w:rPr>
        <mc:AlternateContent>
          <mc:Choice Requires="wps">
            <w:drawing>
              <wp:anchor distT="0" distB="0" distL="114300" distR="114300" simplePos="0" relativeHeight="251803648" behindDoc="0" locked="0" layoutInCell="1" allowOverlap="1">
                <wp:simplePos x="0" y="0"/>
                <wp:positionH relativeFrom="column">
                  <wp:posOffset>1895475</wp:posOffset>
                </wp:positionH>
                <wp:positionV relativeFrom="paragraph">
                  <wp:posOffset>1666875</wp:posOffset>
                </wp:positionV>
                <wp:extent cx="0" cy="314325"/>
                <wp:effectExtent l="9525" t="9525" r="9525" b="9525"/>
                <wp:wrapNone/>
                <wp:docPr id="912" name="AutoShap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6" o:spid="_x0000_s1026" type="#_x0000_t32" style="position:absolute;margin-left:149.25pt;margin-top:131.25pt;width:0;height:24.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YOHg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"/>
            </w:pict>
          </mc:Fallback>
        </mc:AlternateContent>
      </w:r>
      <w:r>
        <w:rPr>
          <w:noProof/>
        </w:rPr>
        <mc:AlternateContent>
          <mc:Choice Requires="wps">
            <w:drawing>
              <wp:anchor distT="0" distB="0" distL="114300" distR="114300" simplePos="0" relativeHeight="251802624" behindDoc="0" locked="0" layoutInCell="1" allowOverlap="1">
                <wp:simplePos x="0" y="0"/>
                <wp:positionH relativeFrom="column">
                  <wp:posOffset>542925</wp:posOffset>
                </wp:positionH>
                <wp:positionV relativeFrom="paragraph">
                  <wp:posOffset>1666875</wp:posOffset>
                </wp:positionV>
                <wp:extent cx="0" cy="314325"/>
                <wp:effectExtent l="9525" t="9525" r="9525" b="9525"/>
                <wp:wrapNone/>
                <wp:docPr id="911"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42.75pt;margin-top:131.25pt;width:0;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"/>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4972050</wp:posOffset>
                </wp:positionH>
                <wp:positionV relativeFrom="paragraph">
                  <wp:posOffset>676275</wp:posOffset>
                </wp:positionV>
                <wp:extent cx="0" cy="428625"/>
                <wp:effectExtent l="57150" t="9525" r="57150" b="19050"/>
                <wp:wrapNone/>
                <wp:docPr id="908" name="AutoShap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4" o:spid="_x0000_s1026" type="#_x0000_t32" style="position:absolute;margin-left:391.5pt;margin-top:53.25pt;width:0;height:33.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">
                <v:stroke endarrow="block"/>
              </v:shape>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1838325</wp:posOffset>
                </wp:positionH>
                <wp:positionV relativeFrom="paragraph">
                  <wp:posOffset>685800</wp:posOffset>
                </wp:positionV>
                <wp:extent cx="0" cy="428625"/>
                <wp:effectExtent l="57150" t="9525" r="57150" b="19050"/>
                <wp:wrapNone/>
                <wp:docPr id="907" name="AutoShap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3" o:spid="_x0000_s1026" type="#_x0000_t32" style="position:absolute;margin-left:144.75pt;margin-top:54pt;width:0;height:33.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JPvMwIAAGA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">
                <v:stroke endarrow="block"/>
              </v:shape>
            </w:pict>
          </mc:Fallback>
        </mc:AlternateContent>
      </w:r>
      <w:r>
        <w:rPr>
          <w:noProof/>
        </w:rPr>
        <mc:AlternateContent>
          <mc:Choice Requires="wps">
            <w:drawing>
              <wp:anchor distT="0" distB="0" distL="114300" distR="114300" simplePos="0" relativeHeight="251799552" behindDoc="0" locked="0" layoutInCell="1" allowOverlap="1">
                <wp:simplePos x="0" y="0"/>
                <wp:positionH relativeFrom="column">
                  <wp:posOffset>542925</wp:posOffset>
                </wp:positionH>
                <wp:positionV relativeFrom="paragraph">
                  <wp:posOffset>676275</wp:posOffset>
                </wp:positionV>
                <wp:extent cx="0" cy="428625"/>
                <wp:effectExtent l="57150" t="9525" r="57150" b="19050"/>
                <wp:wrapNone/>
                <wp:docPr id="901" name="AutoShap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2" o:spid="_x0000_s1026" type="#_x0000_t32" style="position:absolute;margin-left:42.75pt;margin-top:53.25pt;width:0;height:33.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">
                <v:stroke endarrow="block"/>
              </v:shape>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column">
                  <wp:posOffset>542925</wp:posOffset>
                </wp:positionH>
                <wp:positionV relativeFrom="paragraph">
                  <wp:posOffset>676275</wp:posOffset>
                </wp:positionV>
                <wp:extent cx="4429125" cy="0"/>
                <wp:effectExtent l="9525" t="9525" r="9525" b="9525"/>
                <wp:wrapNone/>
                <wp:docPr id="900" name="AutoShap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9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1" o:spid="_x0000_s1026" type="#_x0000_t32" style="position:absolute;margin-left:42.75pt;margin-top:53.25pt;width:348.7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"/>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column">
                  <wp:posOffset>2876550</wp:posOffset>
                </wp:positionH>
                <wp:positionV relativeFrom="paragraph">
                  <wp:posOffset>281305</wp:posOffset>
                </wp:positionV>
                <wp:extent cx="0" cy="394970"/>
                <wp:effectExtent l="9525" t="5080" r="9525" b="9525"/>
                <wp:wrapNone/>
                <wp:docPr id="899" name="AutoShap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0" o:spid="_x0000_s1026" type="#_x0000_t32" style="position:absolute;margin-left:226.5pt;margin-top:22.15pt;width:0;height:31.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"/>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1308735</wp:posOffset>
                </wp:positionH>
                <wp:positionV relativeFrom="paragraph">
                  <wp:posOffset>1104900</wp:posOffset>
                </wp:positionV>
                <wp:extent cx="1139825" cy="561975"/>
                <wp:effectExtent l="13335" t="9525" r="8890" b="9525"/>
                <wp:wrapNone/>
                <wp:docPr id="898"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561975"/>
                        </a:xfrm>
                        <a:prstGeom prst="rect">
                          <a:avLst/>
                        </a:prstGeom>
                        <a:solidFill>
                          <a:srgbClr val="FFFFFF"/>
                        </a:solidFill>
                        <a:ln w="9525">
                          <a:solidFill>
                            <a:srgbClr val="000000"/>
                          </a:solidFill>
                          <a:miter lim="800000"/>
                          <a:headEnd/>
                          <a:tailEnd/>
                        </a:ln>
                      </wps:spPr>
                      <wps:txbx>
                        <w:txbxContent>
                          <w:p w:rsidR="00B247C9" w:rsidRPr="00561DAB" w:rsidRDefault="00B247C9" w:rsidP="00BE5A5D">
                            <w:pPr>
                              <w:rPr>
                                <w:b/>
                              </w:rPr>
                            </w:pPr>
                            <w:r w:rsidRPr="00561DAB">
                              <w:rPr>
                                <w:b/>
                              </w:rPr>
                              <w:t>WHO Clinical Stage 3 or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3" o:spid="_x0000_s1419" type="#_x0000_t202" style="position:absolute;margin-left:103.05pt;margin-top:87pt;width:89.75pt;height:44.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">
                <v:textbox>
                  <w:txbxContent>
                    <w:p w:rsidR="00B247C9" w:rsidRPr="00561DAB" w:rsidRDefault="00B247C9" w:rsidP="00BE5A5D">
                      <w:pPr>
                        <w:rPr>
                          <w:b/>
                        </w:rPr>
                      </w:pPr>
                      <w:r w:rsidRPr="00561DAB">
                        <w:rPr>
                          <w:b/>
                        </w:rPr>
                        <w:t>WHO Clinical Stage 3 or 4</w:t>
                      </w:r>
                    </w:p>
                  </w:txbxContent>
                </v:textbox>
              </v:shape>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-135890</wp:posOffset>
                </wp:positionH>
                <wp:positionV relativeFrom="paragraph">
                  <wp:posOffset>1104900</wp:posOffset>
                </wp:positionV>
                <wp:extent cx="1139825" cy="561975"/>
                <wp:effectExtent l="6985" t="9525" r="5715" b="9525"/>
                <wp:wrapNone/>
                <wp:docPr id="897"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561975"/>
                        </a:xfrm>
                        <a:prstGeom prst="rect">
                          <a:avLst/>
                        </a:prstGeom>
                        <a:solidFill>
                          <a:srgbClr val="FFFFFF"/>
                        </a:solidFill>
                        <a:ln w="9525">
                          <a:solidFill>
                            <a:srgbClr val="000000"/>
                          </a:solidFill>
                          <a:miter lim="800000"/>
                          <a:headEnd/>
                          <a:tailEnd/>
                        </a:ln>
                      </wps:spPr>
                      <wps:txbx>
                        <w:txbxContent>
                          <w:p w:rsidR="00B247C9" w:rsidRPr="00561DAB" w:rsidRDefault="00B247C9" w:rsidP="00BE5A5D">
                            <w:pPr>
                              <w:rPr>
                                <w:b/>
                              </w:rPr>
                            </w:pPr>
                            <w:r w:rsidRPr="00561DAB">
                              <w:rPr>
                                <w:b/>
                              </w:rPr>
                              <w:t>WHO Clinical Stage 1 or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2" o:spid="_x0000_s1420" type="#_x0000_t202" style="position:absolute;margin-left:-10.7pt;margin-top:87pt;width:89.75pt;height:44.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">
                <v:textbox>
                  <w:txbxContent>
                    <w:p w:rsidR="00B247C9" w:rsidRPr="00561DAB" w:rsidRDefault="00B247C9" w:rsidP="00BE5A5D">
                      <w:pPr>
                        <w:rPr>
                          <w:b/>
                        </w:rPr>
                      </w:pPr>
                      <w:r w:rsidRPr="00561DAB">
                        <w:rPr>
                          <w:b/>
                        </w:rPr>
                        <w:t>WHO Clinical Stage 1 or 2</w:t>
                      </w:r>
                    </w:p>
                  </w:txbxContent>
                </v:textbox>
              </v:shape>
            </w:pict>
          </mc:Fallback>
        </mc:AlternateContent>
      </w:r>
    </w:p>
    <w:p w:rsidR="0060461B" w:rsidRPr="000B26AE" w:rsidRDefault="0060461B" w:rsidP="00BE5A5D">
      <w:pPr>
        <w:pStyle w:val="Heading3"/>
        <w:rPr>
          <w:b w:val="0"/>
          <w:color w:val="auto"/>
        </w:rPr>
        <w:sectPr w:rsidR="0060461B" w:rsidRPr="000B26AE" w:rsidSect="00BE5A5D">
          <w:pgSz w:w="12240" w:h="15840"/>
          <w:pgMar w:top="1440" w:right="1440" w:bottom="1440" w:left="1440" w:header="720" w:footer="720" w:gutter="0"/>
          <w:cols w:space="720"/>
          <w:docGrid w:linePitch="360"/>
        </w:sectPr>
      </w:pPr>
    </w:p>
    <w:p w:rsidR="0060461B" w:rsidRPr="00D45487" w:rsidRDefault="0060461B" w:rsidP="00BE5A5D">
      <w:pPr>
        <w:pStyle w:val="Heading3"/>
      </w:pPr>
      <w:bookmarkStart w:id="613" w:name="_Toc378258219"/>
      <w:bookmarkStart w:id="614" w:name="_Toc381351629"/>
      <w:r w:rsidRPr="00D45487">
        <w:t>9.3.3 When to start ART in pregnant and breastfeeding women</w:t>
      </w:r>
      <w:bookmarkEnd w:id="612"/>
      <w:bookmarkEnd w:id="613"/>
      <w:bookmarkEnd w:id="614"/>
    </w:p>
    <w:p w:rsidR="0060461B" w:rsidRPr="00D731EE" w:rsidRDefault="0060461B" w:rsidP="00BE5A5D">
      <w:pPr>
        <w:spacing w:before="120" w:after="120" w:line="240" w:lineRule="auto"/>
        <w:jc w:val="both"/>
        <w:rPr>
          <w:rFonts w:ascii="Arial" w:hAnsi="Arial" w:cs="Arial"/>
        </w:rPr>
      </w:pPr>
      <w:r w:rsidRPr="00D731EE">
        <w:rPr>
          <w:rFonts w:ascii="Arial" w:hAnsi="Arial" w:cs="Arial"/>
        </w:rPr>
        <w:t>Use of antiretroviral drugs has been shown to reduce the risk of transmission of HIV from mother to child.  Lifelong ART is recommended for all HIV-positive pregnant and breastfeeding women regardless of their CD4 count or WHO clinical stage or gestational age. However, all women diagnosed with HIV infection should have clinical and immunological evaluation to monitor their progress as they start ART. Care and treatment services to pregnant and breastfeeding women living with HIV should be provided in RCH settings or by referral when care and treatment services cannot be provided in RCH clinics.</w:t>
      </w:r>
    </w:p>
    <w:p w:rsidR="0060461B" w:rsidRPr="00D45487" w:rsidRDefault="0060461B" w:rsidP="00BE5A5D">
      <w:pPr>
        <w:pStyle w:val="Heading3"/>
      </w:pPr>
      <w:bookmarkStart w:id="615" w:name="_Toc374515290"/>
      <w:bookmarkStart w:id="616" w:name="_Toc378258221"/>
      <w:bookmarkStart w:id="617" w:name="_Toc381351630"/>
      <w:r w:rsidRPr="00D45487">
        <w:t>9.3.4 Considerations before starting ART</w:t>
      </w:r>
      <w:bookmarkEnd w:id="615"/>
      <w:bookmarkEnd w:id="616"/>
      <w:bookmarkEnd w:id="617"/>
    </w:p>
    <w:p w:rsidR="0060461B" w:rsidRPr="00D731EE" w:rsidRDefault="0060461B" w:rsidP="00BE5A5D">
      <w:pPr>
        <w:spacing w:before="120" w:after="120" w:line="240" w:lineRule="auto"/>
        <w:jc w:val="both"/>
        <w:rPr>
          <w:rFonts w:ascii="Arial" w:hAnsi="Arial" w:cs="Arial"/>
        </w:rPr>
      </w:pPr>
      <w:bookmarkStart w:id="618" w:name="_Toc185658469"/>
      <w:bookmarkStart w:id="619" w:name="_Toc185673304"/>
      <w:bookmarkStart w:id="620" w:name="_Toc185673482"/>
      <w:bookmarkStart w:id="621" w:name="_Toc185677821"/>
      <w:bookmarkStart w:id="622" w:name="_Toc185678200"/>
      <w:bookmarkStart w:id="623" w:name="_Toc185736172"/>
      <w:r w:rsidRPr="00D731EE">
        <w:rPr>
          <w:rFonts w:ascii="Arial" w:hAnsi="Arial" w:cs="Arial"/>
        </w:rPr>
        <w:t>In addition to assessing mere medical eligibility, it is important to assess the capacity to adhere, address a patient’s willingness and, readiness to be on ART. Psychosocial considerations (not exclusion criteria) need to be evaluated before initiation of therapy during several (at least more than one) pre-treatment visits, and strengthened in subsequent visits. These include:</w:t>
      </w:r>
    </w:p>
    <w:p w:rsidR="0060461B" w:rsidRPr="00B247C9" w:rsidRDefault="0060461B" w:rsidP="00B247C9">
      <w:pPr>
        <w:pStyle w:val="StyleJustifiedCharChar"/>
      </w:pPr>
      <w:r w:rsidRPr="00B247C9">
        <w:t xml:space="preserve">Demonstrated reliability, i.e. has attended two or more scheduled visits to an HIV clinic </w:t>
      </w:r>
    </w:p>
    <w:p w:rsidR="0060461B" w:rsidRPr="00B247C9" w:rsidRDefault="0060461B" w:rsidP="00B247C9">
      <w:pPr>
        <w:pStyle w:val="StyleJustifiedCharChar"/>
      </w:pPr>
      <w:r w:rsidRPr="00B247C9">
        <w:t>No evidence of active alcohol or other substance abuse that could affect adherence</w:t>
      </w:r>
    </w:p>
    <w:p w:rsidR="0060461B" w:rsidRPr="00B247C9" w:rsidRDefault="0060461B" w:rsidP="00B247C9">
      <w:pPr>
        <w:pStyle w:val="StyleJustifiedCharChar"/>
      </w:pPr>
      <w:r w:rsidRPr="00B247C9">
        <w:t xml:space="preserve">No untreated active depression </w:t>
      </w:r>
    </w:p>
    <w:p w:rsidR="0060461B" w:rsidRPr="00D731EE" w:rsidRDefault="0060461B" w:rsidP="00BE5A5D">
      <w:pPr>
        <w:spacing w:before="120" w:after="120" w:line="240" w:lineRule="auto"/>
        <w:jc w:val="both"/>
        <w:rPr>
          <w:rFonts w:ascii="Arial" w:hAnsi="Arial" w:cs="Arial"/>
        </w:rPr>
      </w:pPr>
      <w:r w:rsidRPr="00D731EE">
        <w:rPr>
          <w:rFonts w:ascii="Arial" w:hAnsi="Arial" w:cs="Arial"/>
        </w:rPr>
        <w:t>It is strongly recommended that clients to be initiated on ART should have disclosed their HIV status to at least one friend or family member who will become their adherence assistant (AA) and, if possible, the client should join a support group. Clients need to have accepted their HIV positive status and be clear on the consequences of HIV infection, the role of ART, and the need to strictly adhere to the treatment plan before commencing therapy.</w:t>
      </w:r>
    </w:p>
    <w:p w:rsidR="0060461B" w:rsidRPr="00D731EE" w:rsidRDefault="0060461B" w:rsidP="00BE5A5D">
      <w:pPr>
        <w:spacing w:before="120" w:after="120" w:line="240" w:lineRule="auto"/>
        <w:jc w:val="both"/>
        <w:rPr>
          <w:rFonts w:ascii="Arial" w:hAnsi="Arial" w:cs="Arial"/>
        </w:rPr>
      </w:pPr>
      <w:r w:rsidRPr="00D731EE">
        <w:rPr>
          <w:rFonts w:ascii="Arial" w:hAnsi="Arial" w:cs="Arial"/>
        </w:rPr>
        <w:t>Clients also need to be able to attend the CTC on a regular basis or have access to services that will enable them to maintain the treatment chain. Transport may need to be arranged for patients in rural areas or for those who live far from the treatment site.</w:t>
      </w:r>
    </w:p>
    <w:bookmarkEnd w:id="618"/>
    <w:bookmarkEnd w:id="619"/>
    <w:bookmarkEnd w:id="620"/>
    <w:bookmarkEnd w:id="621"/>
    <w:bookmarkEnd w:id="622"/>
    <w:bookmarkEnd w:id="623"/>
    <w:p w:rsidR="0060461B" w:rsidRPr="00D731EE" w:rsidRDefault="0060461B" w:rsidP="00BE5A5D">
      <w:pPr>
        <w:spacing w:before="120" w:after="120" w:line="240" w:lineRule="auto"/>
        <w:jc w:val="both"/>
        <w:rPr>
          <w:rFonts w:ascii="Arial" w:hAnsi="Arial" w:cs="Arial"/>
        </w:rPr>
      </w:pPr>
      <w:r w:rsidRPr="00D731EE">
        <w:rPr>
          <w:rFonts w:ascii="Arial" w:hAnsi="Arial" w:cs="Arial"/>
        </w:rPr>
        <w:t xml:space="preserve">The patient and other family members (with patients’ consent) should then be educated on HIV/AIDS and the need to adhere to the agreed treatment plan. </w:t>
      </w:r>
    </w:p>
    <w:p w:rsidR="0060461B" w:rsidRPr="00D731EE" w:rsidRDefault="0060461B" w:rsidP="00BE5A5D">
      <w:pPr>
        <w:spacing w:before="120" w:after="120" w:line="240" w:lineRule="auto"/>
        <w:jc w:val="both"/>
        <w:rPr>
          <w:rFonts w:ascii="Arial" w:hAnsi="Arial" w:cs="Arial"/>
        </w:rPr>
      </w:pPr>
      <w:r w:rsidRPr="00D731EE">
        <w:rPr>
          <w:rFonts w:ascii="Arial" w:hAnsi="Arial" w:cs="Arial"/>
        </w:rPr>
        <w:t>General orientation of the patient and family members should include:</w:t>
      </w:r>
    </w:p>
    <w:p w:rsidR="0060461B" w:rsidRPr="00B247C9" w:rsidRDefault="0060461B" w:rsidP="00B247C9">
      <w:pPr>
        <w:pStyle w:val="StyleJustifiedCharChar"/>
      </w:pPr>
      <w:r w:rsidRPr="00B247C9">
        <w:t>Who to call and where to get refills</w:t>
      </w:r>
    </w:p>
    <w:p w:rsidR="0060461B" w:rsidRPr="00B247C9" w:rsidRDefault="0060461B" w:rsidP="00B247C9">
      <w:pPr>
        <w:pStyle w:val="StyleJustifiedCharChar"/>
      </w:pPr>
      <w:r w:rsidRPr="00B247C9">
        <w:t>Who to call and where to go when clinical problems arise</w:t>
      </w:r>
    </w:p>
    <w:p w:rsidR="0060461B" w:rsidRPr="00B247C9" w:rsidRDefault="0060461B" w:rsidP="00B247C9">
      <w:pPr>
        <w:pStyle w:val="StyleJustifiedCharChar"/>
      </w:pPr>
      <w:r w:rsidRPr="00B247C9">
        <w:t>Who to call/where to go for assistance on social, spiritual and legal problems that might interfere with adherence to treatment</w:t>
      </w:r>
    </w:p>
    <w:p w:rsidR="0060461B" w:rsidRDefault="0060461B" w:rsidP="00BE5A5D">
      <w:pPr>
        <w:pStyle w:val="Heading2"/>
        <w:spacing w:before="120" w:after="120"/>
        <w:rPr>
          <w:b w:val="0"/>
          <w:color w:val="auto"/>
        </w:rPr>
      </w:pPr>
      <w:bookmarkStart w:id="624" w:name="_Toc374515291"/>
      <w:bookmarkStart w:id="625" w:name="_Toc378258222"/>
    </w:p>
    <w:p w:rsidR="0060461B" w:rsidRPr="00D45487" w:rsidRDefault="0060461B" w:rsidP="00BE5A5D">
      <w:pPr>
        <w:pStyle w:val="Heading2"/>
      </w:pPr>
      <w:bookmarkStart w:id="626" w:name="_Toc381351631"/>
      <w:r w:rsidRPr="00D45487">
        <w:t>9.4 WHAT ART REGIMEN TO START WITH (FIRST-LINE ART)</w:t>
      </w:r>
      <w:bookmarkEnd w:id="624"/>
      <w:bookmarkEnd w:id="625"/>
      <w:bookmarkEnd w:id="626"/>
    </w:p>
    <w:p w:rsidR="0060461B" w:rsidRPr="00D45487" w:rsidRDefault="0060461B" w:rsidP="00BE5A5D">
      <w:pPr>
        <w:pStyle w:val="Heading3"/>
      </w:pPr>
      <w:bookmarkStart w:id="627" w:name="_Toc374515292"/>
      <w:bookmarkStart w:id="628" w:name="_Toc378258223"/>
      <w:bookmarkStart w:id="629" w:name="_Toc381351632"/>
      <w:r w:rsidRPr="00D45487">
        <w:t>9.4.1 Introduction</w:t>
      </w:r>
      <w:bookmarkEnd w:id="627"/>
      <w:bookmarkEnd w:id="628"/>
      <w:bookmarkEnd w:id="629"/>
    </w:p>
    <w:p w:rsidR="0060461B" w:rsidRPr="00D731EE" w:rsidRDefault="0060461B" w:rsidP="00BE5A5D">
      <w:pPr>
        <w:spacing w:before="120" w:after="120" w:line="240" w:lineRule="auto"/>
        <w:jc w:val="both"/>
        <w:rPr>
          <w:rFonts w:ascii="Arial" w:hAnsi="Arial" w:cs="Arial"/>
        </w:rPr>
      </w:pPr>
      <w:r w:rsidRPr="00D731EE">
        <w:rPr>
          <w:rFonts w:ascii="Arial" w:hAnsi="Arial" w:cs="Arial"/>
        </w:rPr>
        <w:t xml:space="preserve">Antiretroviral therapy both in naïve patients and those who have received treatment before involves the use of a combination of drugs. Triple therapy consisting of 2 NRTI + 1 NNRTI or 2 NRTI + 1 PI or 3 NRTI’s is recommended. It is important to remember that there is no single combination that is best for every patient and/or that can be tolerated by all patients. Practitioners should be recommended on the basis of a patient’s clinical condition, lifestyle, and ability to tolerate the regimen. </w:t>
      </w:r>
    </w:p>
    <w:p w:rsidR="0060461B" w:rsidRPr="00D731EE" w:rsidRDefault="0060461B" w:rsidP="00BE5A5D">
      <w:pPr>
        <w:spacing w:before="120" w:after="120" w:line="240" w:lineRule="auto"/>
        <w:jc w:val="both"/>
        <w:rPr>
          <w:rFonts w:ascii="Arial" w:hAnsi="Arial" w:cs="Arial"/>
        </w:rPr>
      </w:pPr>
      <w:r w:rsidRPr="00D731EE">
        <w:rPr>
          <w:rFonts w:ascii="Arial" w:hAnsi="Arial" w:cs="Arial"/>
        </w:rPr>
        <w:t>Note: The recommended ARV regimen should be composed of at least 3 drugs. .</w:t>
      </w:r>
    </w:p>
    <w:p w:rsidR="0060461B" w:rsidRPr="00D45487" w:rsidRDefault="0060461B" w:rsidP="00BE5A5D">
      <w:pPr>
        <w:pStyle w:val="Heading3"/>
      </w:pPr>
      <w:bookmarkStart w:id="630" w:name="_Toc374515293"/>
      <w:bookmarkStart w:id="631" w:name="_Toc378258224"/>
      <w:bookmarkStart w:id="632" w:name="_Toc381351633"/>
      <w:r w:rsidRPr="00D45487">
        <w:t>9.4.2 First line ARV combination regimen for adults and adolescent ART naive patients</w:t>
      </w:r>
      <w:bookmarkEnd w:id="630"/>
      <w:bookmarkEnd w:id="631"/>
      <w:bookmarkEnd w:id="632"/>
    </w:p>
    <w:p w:rsidR="0060461B" w:rsidRPr="00D731EE" w:rsidRDefault="0060461B" w:rsidP="00BE5A5D">
      <w:pPr>
        <w:spacing w:before="120" w:after="120" w:line="240" w:lineRule="auto"/>
        <w:jc w:val="both"/>
        <w:rPr>
          <w:rFonts w:ascii="Arial" w:hAnsi="Arial" w:cs="Arial"/>
        </w:rPr>
      </w:pPr>
      <w:r w:rsidRPr="00D731EE">
        <w:rPr>
          <w:rFonts w:ascii="Arial" w:hAnsi="Arial" w:cs="Arial"/>
        </w:rPr>
        <w:t xml:space="preserve">The MoHSW recommends the following drugs combinations for first line treatment for adults and adolescents. They should be used according to indications and contraindications that govern the use of ARVs to minimize side effects and drug-drug interactions. </w:t>
      </w:r>
    </w:p>
    <w:p w:rsidR="0060461B" w:rsidRPr="002D46DE" w:rsidRDefault="0060461B" w:rsidP="00B247C9">
      <w:pPr>
        <w:pStyle w:val="StyleJustifiedCharChar"/>
      </w:pPr>
      <w:r w:rsidRPr="002D46DE">
        <w:t>TDF+3TC+EFV</w:t>
      </w:r>
    </w:p>
    <w:p w:rsidR="0060461B" w:rsidRPr="002D46DE" w:rsidRDefault="0060461B" w:rsidP="00B247C9">
      <w:pPr>
        <w:pStyle w:val="StyleJustifiedCharChar"/>
      </w:pPr>
      <w:r w:rsidRPr="002D46DE">
        <w:t>TDF+3TC+NVP</w:t>
      </w:r>
    </w:p>
    <w:p w:rsidR="0060461B" w:rsidRPr="002D46DE" w:rsidRDefault="0060461B" w:rsidP="00B247C9">
      <w:pPr>
        <w:pStyle w:val="StyleJustifiedCharChar"/>
      </w:pPr>
      <w:r w:rsidRPr="002D46DE">
        <w:t xml:space="preserve">TDF+FTC+EFV </w:t>
      </w:r>
    </w:p>
    <w:p w:rsidR="0060461B" w:rsidRPr="002D46DE" w:rsidRDefault="0060461B" w:rsidP="00B247C9">
      <w:pPr>
        <w:pStyle w:val="StyleJustifiedCharChar"/>
      </w:pPr>
      <w:r w:rsidRPr="002D46DE">
        <w:t>TDF+FTC +NVP</w:t>
      </w:r>
    </w:p>
    <w:p w:rsidR="0060461B" w:rsidRPr="002D46DE" w:rsidRDefault="0060461B" w:rsidP="00B247C9">
      <w:pPr>
        <w:pStyle w:val="StyleJustifiedCharChar"/>
      </w:pPr>
      <w:r w:rsidRPr="002D46DE">
        <w:t>AZT+ 3TC+EFV</w:t>
      </w:r>
    </w:p>
    <w:p w:rsidR="0060461B" w:rsidRPr="002D46DE" w:rsidRDefault="0060461B" w:rsidP="00B247C9">
      <w:pPr>
        <w:pStyle w:val="StyleJustifiedCharChar"/>
      </w:pPr>
      <w:r w:rsidRPr="002D46DE">
        <w:t xml:space="preserve">AZT+3TC+NVP </w:t>
      </w:r>
    </w:p>
    <w:p w:rsidR="0060461B" w:rsidRPr="000B26AE" w:rsidRDefault="0060461B" w:rsidP="00BE5A5D">
      <w:pPr>
        <w:spacing w:before="120" w:after="120"/>
        <w:ind w:left="720"/>
        <w:jc w:val="both"/>
        <w:rPr>
          <w:rFonts w:ascii="Arial Narrow" w:hAnsi="Arial Narrow"/>
          <w:sz w:val="24"/>
          <w:szCs w:val="24"/>
          <w:lang w:val="de-DE"/>
        </w:rPr>
      </w:pPr>
    </w:p>
    <w:p w:rsidR="0060461B" w:rsidRPr="00D731EE" w:rsidRDefault="0060461B" w:rsidP="00BE5A5D">
      <w:pPr>
        <w:spacing w:before="120" w:after="120" w:line="240" w:lineRule="auto"/>
        <w:jc w:val="both"/>
        <w:rPr>
          <w:rFonts w:ascii="Arial" w:hAnsi="Arial" w:cs="Arial"/>
        </w:rPr>
      </w:pPr>
      <w:r w:rsidRPr="00D731EE">
        <w:rPr>
          <w:rFonts w:ascii="Arial" w:hAnsi="Arial" w:cs="Arial"/>
        </w:rPr>
        <w:t>Note: The following drugs may appear in fixed drug combinations (FDC):</w:t>
      </w:r>
    </w:p>
    <w:p w:rsidR="0060461B" w:rsidRPr="002D46DE" w:rsidRDefault="0060461B" w:rsidP="00B247C9">
      <w:pPr>
        <w:pStyle w:val="StyleJustifiedCharChar"/>
      </w:pPr>
      <w:r w:rsidRPr="002D46DE">
        <w:t>TDF+3TC+EFV</w:t>
      </w:r>
    </w:p>
    <w:p w:rsidR="0060461B" w:rsidRPr="002D46DE" w:rsidRDefault="0060461B" w:rsidP="00B247C9">
      <w:pPr>
        <w:pStyle w:val="StyleJustifiedCharChar"/>
      </w:pPr>
      <w:r w:rsidRPr="002D46DE">
        <w:t>TDF+FTC+EFV</w:t>
      </w:r>
    </w:p>
    <w:p w:rsidR="0060461B" w:rsidRPr="002D46DE" w:rsidRDefault="0060461B" w:rsidP="00B247C9">
      <w:pPr>
        <w:pStyle w:val="StyleJustifiedCharChar"/>
      </w:pPr>
      <w:r w:rsidRPr="002D46DE">
        <w:t>TDF + 3TC</w:t>
      </w:r>
    </w:p>
    <w:p w:rsidR="0060461B" w:rsidRPr="002D46DE" w:rsidRDefault="0060461B" w:rsidP="00B247C9">
      <w:pPr>
        <w:pStyle w:val="StyleJustifiedCharChar"/>
      </w:pPr>
      <w:r w:rsidRPr="002D46DE">
        <w:t xml:space="preserve">TDF+FTC AZT+3TC </w:t>
      </w:r>
    </w:p>
    <w:p w:rsidR="0060461B" w:rsidRPr="00D731EE" w:rsidRDefault="0060461B" w:rsidP="00B247C9">
      <w:pPr>
        <w:pStyle w:val="StyleJustifiedCharChar"/>
      </w:pPr>
      <w:r w:rsidRPr="002D46DE">
        <w:t>AZT+3TC+NVP</w:t>
      </w:r>
      <w:r w:rsidRPr="00D731EE">
        <w:t xml:space="preserve"> </w:t>
      </w:r>
      <w:bookmarkStart w:id="633" w:name="_Toc74551415"/>
      <w:bookmarkStart w:id="634" w:name="_Toc81332608"/>
      <w:r w:rsidRPr="00D731EE">
        <w:tab/>
      </w:r>
    </w:p>
    <w:p w:rsidR="0060461B" w:rsidRPr="000B26AE" w:rsidRDefault="0060461B" w:rsidP="00BE5A5D">
      <w:pPr>
        <w:spacing w:before="120" w:after="120"/>
        <w:jc w:val="both"/>
        <w:rPr>
          <w:rFonts w:ascii="Arial Narrow" w:hAnsi="Arial Narrow"/>
          <w:sz w:val="24"/>
          <w:szCs w:val="24"/>
          <w:lang w:val="fr-FR"/>
        </w:rPr>
      </w:pPr>
    </w:p>
    <w:bookmarkEnd w:id="633"/>
    <w:bookmarkEnd w:id="634"/>
    <w:p w:rsidR="0060461B" w:rsidRPr="00D731EE" w:rsidRDefault="0060461B" w:rsidP="00BE5A5D">
      <w:pPr>
        <w:spacing w:before="120" w:after="120" w:line="240" w:lineRule="auto"/>
        <w:jc w:val="both"/>
        <w:rPr>
          <w:rFonts w:ascii="Arial" w:hAnsi="Arial" w:cs="Arial"/>
        </w:rPr>
      </w:pPr>
      <w:r w:rsidRPr="00D731EE">
        <w:rPr>
          <w:rFonts w:ascii="Arial" w:hAnsi="Arial" w:cs="Arial"/>
        </w:rPr>
        <w:t>The default first line regimen in Tanzania is:</w:t>
      </w:r>
    </w:p>
    <w:p w:rsidR="0060461B" w:rsidRPr="00D731EE" w:rsidRDefault="0060461B" w:rsidP="00BE5A5D">
      <w:pPr>
        <w:spacing w:before="120" w:after="120" w:line="240" w:lineRule="auto"/>
        <w:ind w:left="720"/>
        <w:jc w:val="both"/>
        <w:rPr>
          <w:rFonts w:ascii="Arial" w:hAnsi="Arial" w:cs="Arial"/>
        </w:rPr>
      </w:pPr>
      <w:r w:rsidRPr="00D731EE">
        <w:rPr>
          <w:rFonts w:ascii="Arial" w:hAnsi="Arial" w:cs="Arial"/>
        </w:rPr>
        <w:t>Tenofovir (TDF) 300 mg / Lamivudine (3TC) 150 mg / Efavirenz (EFV) 600 mg once daily at night</w:t>
      </w:r>
    </w:p>
    <w:p w:rsidR="0060461B" w:rsidRPr="00817F1A" w:rsidRDefault="0060461B" w:rsidP="00BE5A5D">
      <w:pPr>
        <w:spacing w:before="120" w:after="120" w:line="240" w:lineRule="auto"/>
        <w:jc w:val="both"/>
        <w:rPr>
          <w:rFonts w:ascii="Arial" w:hAnsi="Arial" w:cs="Arial"/>
        </w:rPr>
      </w:pPr>
      <w:r w:rsidRPr="00817F1A">
        <w:rPr>
          <w:rFonts w:ascii="Arial" w:hAnsi="Arial" w:cs="Arial"/>
        </w:rPr>
        <w:t>Note:</w:t>
      </w:r>
    </w:p>
    <w:p w:rsidR="0060461B" w:rsidRPr="00B247C9" w:rsidRDefault="0060461B" w:rsidP="00B247C9">
      <w:pPr>
        <w:pStyle w:val="StyleJustifiedCharChar"/>
      </w:pPr>
      <w:r w:rsidRPr="00B247C9">
        <w:t>For adolescents, the dose of TDF is 200 mg BD for a body weight of between 20-35 kgs.</w:t>
      </w:r>
    </w:p>
    <w:p w:rsidR="0060461B" w:rsidRPr="00B247C9" w:rsidRDefault="0060461B" w:rsidP="00B247C9">
      <w:pPr>
        <w:pStyle w:val="StyleJustifiedCharChar"/>
      </w:pPr>
      <w:r w:rsidRPr="00B247C9">
        <w:t xml:space="preserve">For patients with &lt;40kg, the dose of EFV should be &lt;600mg.  </w:t>
      </w:r>
    </w:p>
    <w:p w:rsidR="0060461B" w:rsidRPr="00B247C9" w:rsidRDefault="0060461B" w:rsidP="00B247C9">
      <w:pPr>
        <w:pStyle w:val="StyleJustifiedCharChar"/>
      </w:pPr>
      <w:r w:rsidRPr="00B247C9">
        <w:t>EFV is safe in pregnant and in women of reproductive age The TDF+3TC+EFV combination is the default combination to be prescribed to all patients if there is no contraindication.</w:t>
      </w:r>
    </w:p>
    <w:p w:rsidR="0060461B" w:rsidRPr="00B247C9" w:rsidRDefault="0060461B" w:rsidP="00B247C9">
      <w:pPr>
        <w:pStyle w:val="StyleJustifiedCharChar"/>
      </w:pPr>
      <w:r w:rsidRPr="00B247C9">
        <w:t>The regimen is useful in TB/HIV, HIV/HBV coinfection.</w:t>
      </w:r>
    </w:p>
    <w:p w:rsidR="0060461B" w:rsidRPr="000B26AE" w:rsidRDefault="0060461B" w:rsidP="00BE5A5D">
      <w:pPr>
        <w:spacing w:before="120" w:after="120"/>
        <w:jc w:val="both"/>
        <w:rPr>
          <w:rFonts w:ascii="Arial Narrow" w:hAnsi="Arial Narrow"/>
          <w:sz w:val="24"/>
          <w:szCs w:val="24"/>
        </w:rPr>
      </w:pPr>
    </w:p>
    <w:p w:rsidR="0060461B" w:rsidRPr="00817F1A" w:rsidRDefault="0060461B" w:rsidP="00BE5A5D">
      <w:pPr>
        <w:spacing w:before="120" w:after="120" w:line="240" w:lineRule="auto"/>
        <w:jc w:val="both"/>
        <w:rPr>
          <w:rFonts w:ascii="Arial" w:hAnsi="Arial" w:cs="Arial"/>
        </w:rPr>
      </w:pPr>
      <w:r w:rsidRPr="00817F1A">
        <w:rPr>
          <w:rFonts w:ascii="Arial" w:hAnsi="Arial" w:cs="Arial"/>
        </w:rPr>
        <w:t>Alternative first line regimens can be:</w:t>
      </w:r>
    </w:p>
    <w:p w:rsidR="0060461B" w:rsidRPr="00B247C9" w:rsidRDefault="0060461B" w:rsidP="00B247C9">
      <w:pPr>
        <w:pStyle w:val="StyleJustifiedCharChar"/>
      </w:pPr>
      <w:r w:rsidRPr="00B247C9">
        <w:t>Zidovudine (AZT)+Lamivudine(3TC)+Nevirapine (NVP)</w:t>
      </w:r>
    </w:p>
    <w:p w:rsidR="0060461B" w:rsidRPr="00817F1A" w:rsidRDefault="0060461B" w:rsidP="00BE5A5D">
      <w:pPr>
        <w:spacing w:before="120" w:after="120" w:line="240" w:lineRule="auto"/>
        <w:ind w:left="720"/>
        <w:jc w:val="both"/>
        <w:rPr>
          <w:rFonts w:ascii="Arial" w:hAnsi="Arial" w:cs="Arial"/>
        </w:rPr>
      </w:pPr>
      <w:r w:rsidRPr="00817F1A">
        <w:rPr>
          <w:rFonts w:ascii="Arial" w:hAnsi="Arial" w:cs="Arial"/>
        </w:rPr>
        <w:t xml:space="preserve">This regimen can be prescribed when Efavirenz is contraindicated, e.g. in Neuropsychiatric complications of Efevirenz.  </w:t>
      </w:r>
    </w:p>
    <w:p w:rsidR="0060461B" w:rsidRPr="00817F1A" w:rsidRDefault="0060461B" w:rsidP="00BE5A5D">
      <w:pPr>
        <w:spacing w:before="120" w:after="120" w:line="240" w:lineRule="auto"/>
        <w:jc w:val="both"/>
        <w:rPr>
          <w:rFonts w:ascii="Arial" w:hAnsi="Arial" w:cs="Arial"/>
        </w:rPr>
      </w:pPr>
      <w:r w:rsidRPr="00817F1A">
        <w:rPr>
          <w:rFonts w:ascii="Arial" w:hAnsi="Arial" w:cs="Arial"/>
        </w:rPr>
        <w:t>Note: Nevirapine challenge dosing is required during the beginning of treatment. In the first two weeks of treatment only half of the required daily dose of Nevirapine should be given, and a full dose if there are no side effects such as skin rash or hepatic toxicity. In summary, this means:</w:t>
      </w:r>
    </w:p>
    <w:p w:rsidR="0060461B" w:rsidRPr="00817F1A" w:rsidRDefault="0060461B" w:rsidP="00BE5A5D">
      <w:pPr>
        <w:spacing w:before="120" w:after="120" w:line="240" w:lineRule="auto"/>
        <w:ind w:left="720"/>
        <w:jc w:val="both"/>
        <w:rPr>
          <w:rFonts w:ascii="Arial" w:hAnsi="Arial" w:cs="Arial"/>
        </w:rPr>
      </w:pPr>
      <w:r w:rsidRPr="00817F1A">
        <w:rPr>
          <w:rFonts w:ascii="Arial" w:hAnsi="Arial" w:cs="Arial"/>
        </w:rPr>
        <w:t xml:space="preserve">(Zidovudine 300 mg/Lamivudine 150 mg/Nevirapine 200 mg in the morning + Zidovudine 300 mg/Lamivudine 150 mg OD. in the evening for the first 2 weeks. And if there are no problems, THEN Zidovudine 300 mg/Lamivudine 150 mg/Nevirapine 200 mg twice daily).  </w:t>
      </w:r>
      <w:bookmarkStart w:id="635" w:name="OLE_LINK7"/>
    </w:p>
    <w:bookmarkEnd w:id="635"/>
    <w:p w:rsidR="0060461B" w:rsidRPr="002D46DE" w:rsidRDefault="0060461B" w:rsidP="00B247C9">
      <w:pPr>
        <w:pStyle w:val="StyleJustifiedCharChar"/>
      </w:pPr>
      <w:r w:rsidRPr="002D46DE">
        <w:t>Tenofovir (TDF) + Emtricitabine (FTC) + Efavirenz (EFV)</w:t>
      </w:r>
    </w:p>
    <w:p w:rsidR="0060461B" w:rsidRPr="002D46DE" w:rsidRDefault="0060461B" w:rsidP="00B247C9">
      <w:pPr>
        <w:pStyle w:val="StyleJustifiedCharChar"/>
      </w:pPr>
      <w:r w:rsidRPr="002D46DE">
        <w:t>Tenofovir (TDF) + Lamivudine (3TC) + Nevirapine (NVP)</w:t>
      </w:r>
    </w:p>
    <w:p w:rsidR="0060461B" w:rsidRPr="002D46DE" w:rsidRDefault="0060461B" w:rsidP="00B247C9">
      <w:pPr>
        <w:pStyle w:val="StyleJustifiedCharChar"/>
      </w:pPr>
      <w:r w:rsidRPr="002D46DE">
        <w:t>Tenofovir (TDF) + Emtricitabine (FTC) + Nevirapine (NVP)</w:t>
      </w:r>
    </w:p>
    <w:p w:rsidR="0060461B" w:rsidRPr="00817F1A" w:rsidRDefault="0060461B" w:rsidP="00BE5A5D">
      <w:pPr>
        <w:spacing w:before="120" w:after="120" w:line="240" w:lineRule="auto"/>
        <w:jc w:val="both"/>
        <w:rPr>
          <w:rFonts w:ascii="Arial" w:hAnsi="Arial" w:cs="Arial"/>
        </w:rPr>
      </w:pPr>
      <w:r w:rsidRPr="00817F1A">
        <w:rPr>
          <w:rFonts w:ascii="Arial" w:hAnsi="Arial" w:cs="Arial"/>
        </w:rPr>
        <w:t xml:space="preserve">The major concern with Tenofovir-based treatment is renal safety. Tenofovir-associated nephrotoxicity is especially likely in patients with pre-existing renal dysfunction or those receiving other concomitant nephrotoxic medications, low birth weight, advanced age and lower CD4 cell counts. Otherwise the overall rate of discontinuation for renal events is extremely low. Routine renal toxicity monitoring is not required except in patients with the conditions associated with kidney disease such as diabetes, hypertension, obesity, and in patients with coadministrered nephrotoctic drugs using creatinine clearance. </w:t>
      </w:r>
    </w:p>
    <w:p w:rsidR="0060461B" w:rsidRPr="00817F1A" w:rsidRDefault="0060461B" w:rsidP="00BE5A5D">
      <w:pPr>
        <w:spacing w:before="120" w:after="120" w:line="240" w:lineRule="auto"/>
        <w:jc w:val="both"/>
        <w:rPr>
          <w:rFonts w:ascii="Arial" w:hAnsi="Arial" w:cs="Arial"/>
        </w:rPr>
      </w:pPr>
      <w:r w:rsidRPr="00817F1A">
        <w:rPr>
          <w:rFonts w:ascii="Arial" w:hAnsi="Arial" w:cs="Arial"/>
        </w:rPr>
        <w:t>In cases where neither Nevirapine nor Efavirenz cannot be used the patient should use boosted PI.</w:t>
      </w:r>
    </w:p>
    <w:p w:rsidR="0060461B" w:rsidRPr="00785003" w:rsidRDefault="0060461B" w:rsidP="00BE5A5D">
      <w:pPr>
        <w:pStyle w:val="Heading3"/>
      </w:pPr>
      <w:bookmarkStart w:id="636" w:name="_Toc374515295"/>
      <w:bookmarkStart w:id="637" w:name="_Toc378258226"/>
      <w:bookmarkStart w:id="638" w:name="_Toc381351634"/>
      <w:r w:rsidRPr="00785003">
        <w:t>9.4.3 ART in Women of Childbearing Potential or Pregnant Women</w:t>
      </w:r>
      <w:bookmarkEnd w:id="636"/>
      <w:bookmarkEnd w:id="637"/>
      <w:bookmarkEnd w:id="638"/>
    </w:p>
    <w:p w:rsidR="0060461B" w:rsidRPr="00817F1A" w:rsidRDefault="0060461B" w:rsidP="00BE5A5D">
      <w:pPr>
        <w:spacing w:before="120" w:after="120" w:line="240" w:lineRule="auto"/>
        <w:jc w:val="both"/>
        <w:rPr>
          <w:rFonts w:ascii="Arial" w:hAnsi="Arial" w:cs="Arial"/>
        </w:rPr>
      </w:pPr>
      <w:r w:rsidRPr="00817F1A">
        <w:rPr>
          <w:rFonts w:ascii="Arial" w:hAnsi="Arial" w:cs="Arial"/>
        </w:rPr>
        <w:t xml:space="preserve">All HIV infected pregnant women and lactating mothers are eligibile for ART regardless of CD4 count. The recommended first-line regimen for this patient subgroup is: TDF + 3TC + EFV. Alternative regimens for this group are the same as in adolescents and adults. </w:t>
      </w:r>
    </w:p>
    <w:p w:rsidR="0060461B" w:rsidRPr="00817F1A" w:rsidRDefault="0060461B" w:rsidP="00BE5A5D">
      <w:pPr>
        <w:spacing w:before="120" w:after="120" w:line="240" w:lineRule="auto"/>
        <w:jc w:val="both"/>
        <w:rPr>
          <w:rFonts w:ascii="Arial" w:hAnsi="Arial" w:cs="Arial"/>
        </w:rPr>
      </w:pPr>
      <w:r w:rsidRPr="00817F1A">
        <w:rPr>
          <w:rFonts w:ascii="Arial" w:hAnsi="Arial" w:cs="Arial"/>
        </w:rPr>
        <w:t xml:space="preserve">Note: ARV drugs have the potential to either decrease or increase the bioavailability of steroid hormones in hormonal contraceptives. Dual contraception with condoms and contraceptives is therefore recommended </w:t>
      </w:r>
    </w:p>
    <w:p w:rsidR="0060461B" w:rsidRPr="00785003" w:rsidRDefault="0060461B" w:rsidP="00BE5A5D">
      <w:pPr>
        <w:pStyle w:val="Heading3"/>
      </w:pPr>
      <w:bookmarkStart w:id="639" w:name="_Toc374515297"/>
      <w:bookmarkStart w:id="640" w:name="_Toc378258228"/>
      <w:bookmarkStart w:id="641" w:name="_Toc381351635"/>
      <w:r w:rsidRPr="00785003">
        <w:t>9.4.4 Antiretroviral drugs for People who Inject Drugs (PWID) on Medical Assisted Therapy</w:t>
      </w:r>
      <w:bookmarkEnd w:id="639"/>
      <w:bookmarkEnd w:id="640"/>
      <w:bookmarkEnd w:id="641"/>
    </w:p>
    <w:p w:rsidR="0060461B" w:rsidRPr="00817F1A" w:rsidRDefault="0060461B" w:rsidP="00BE5A5D">
      <w:pPr>
        <w:spacing w:before="120" w:after="120" w:line="240" w:lineRule="auto"/>
        <w:jc w:val="both"/>
        <w:rPr>
          <w:rFonts w:ascii="Arial" w:hAnsi="Arial" w:cs="Arial"/>
        </w:rPr>
      </w:pPr>
      <w:r w:rsidRPr="00817F1A">
        <w:rPr>
          <w:rFonts w:ascii="Arial" w:hAnsi="Arial" w:cs="Arial"/>
        </w:rPr>
        <w:t xml:space="preserve">Drug use and addiction do not preclude successful ARV treatment. HAART is as effective for HIV positive PWID as it is for other people with HIV/AIDS. Given appropriate support, former and active IDUs can adhere just as well as others and should have equal access to ART. Special attention should be paid to the particular needs of former and active PWID when administering ART, including those related to substance dependence, co-morbidities and co-infections. ART might be started not earlier than 2 -3 months after starting medical assisted therapy. There is an increased risk of interactions through cytochrome CYP 450 3A between Nevirapine, Efavirenz, Ritonavir and Methadone. </w:t>
      </w:r>
    </w:p>
    <w:p w:rsidR="0060461B" w:rsidRPr="005C6F46" w:rsidRDefault="0060461B" w:rsidP="00BE5A5D">
      <w:pPr>
        <w:spacing w:before="120" w:after="120" w:line="240" w:lineRule="auto"/>
        <w:jc w:val="both"/>
        <w:rPr>
          <w:rFonts w:ascii="Arial" w:hAnsi="Arial" w:cs="Arial"/>
          <w:b/>
        </w:rPr>
      </w:pPr>
      <w:r w:rsidRPr="005C6F46">
        <w:rPr>
          <w:rFonts w:ascii="Arial" w:hAnsi="Arial" w:cs="Arial"/>
          <w:b/>
        </w:rPr>
        <w:t>Once daily regimen:</w:t>
      </w:r>
    </w:p>
    <w:p w:rsidR="0060461B" w:rsidRPr="002D46DE" w:rsidRDefault="0060461B" w:rsidP="00B247C9">
      <w:pPr>
        <w:pStyle w:val="StyleJustifiedCharChar"/>
      </w:pPr>
      <w:r w:rsidRPr="002D46DE">
        <w:t xml:space="preserve">Tenofovir (TDF) 300mg+Emtricitabine (FTC) 200mg or Efavirenz (EFV) 600mg </w:t>
      </w:r>
    </w:p>
    <w:p w:rsidR="0060461B" w:rsidRPr="002D46DE" w:rsidRDefault="0060461B" w:rsidP="00B247C9">
      <w:pPr>
        <w:pStyle w:val="StyleJustifiedCharChar"/>
      </w:pPr>
      <w:r w:rsidRPr="002D46DE">
        <w:t>Efavirenz (EFV) 600mg+Abacavir (ABC) 600mg+Lamivudine (3TC) 300mg</w:t>
      </w:r>
    </w:p>
    <w:p w:rsidR="0060461B" w:rsidRPr="00817F1A" w:rsidRDefault="0060461B" w:rsidP="00BE5A5D">
      <w:pPr>
        <w:spacing w:before="120" w:after="120" w:line="240" w:lineRule="auto"/>
        <w:jc w:val="both"/>
        <w:rPr>
          <w:rFonts w:ascii="Arial" w:hAnsi="Arial" w:cs="Arial"/>
        </w:rPr>
      </w:pPr>
      <w:r w:rsidRPr="00817F1A">
        <w:rPr>
          <w:rFonts w:ascii="Arial" w:hAnsi="Arial" w:cs="Arial"/>
        </w:rPr>
        <w:t xml:space="preserve">Efavirenz decrease Methadone plasma concentration up to 50% it requires constant methadone dose correction. </w:t>
      </w:r>
    </w:p>
    <w:p w:rsidR="0060461B" w:rsidRPr="002D46DE" w:rsidRDefault="0060461B" w:rsidP="00B247C9">
      <w:pPr>
        <w:pStyle w:val="StyleJustifiedCharChar"/>
      </w:pPr>
      <w:r w:rsidRPr="002D46DE">
        <w:t>Nevirapine (NVP) 400mg +TDF300mg + FTC300mg</w:t>
      </w:r>
    </w:p>
    <w:p w:rsidR="0060461B" w:rsidRPr="002D46DE" w:rsidRDefault="0060461B" w:rsidP="00B247C9">
      <w:pPr>
        <w:pStyle w:val="StyleJustifiedCharChar"/>
      </w:pPr>
      <w:r w:rsidRPr="002D46DE">
        <w:t>Nevirapine 400mg + ABC600mg + Lamivudine300mg</w:t>
      </w:r>
    </w:p>
    <w:p w:rsidR="0060461B" w:rsidRPr="00817F1A" w:rsidRDefault="0060461B" w:rsidP="00BE5A5D">
      <w:pPr>
        <w:spacing w:before="120" w:after="120" w:line="240" w:lineRule="auto"/>
        <w:jc w:val="both"/>
        <w:rPr>
          <w:rFonts w:ascii="Arial" w:hAnsi="Arial" w:cs="Arial"/>
        </w:rPr>
      </w:pPr>
      <w:r w:rsidRPr="00817F1A">
        <w:rPr>
          <w:rFonts w:ascii="Arial" w:hAnsi="Arial" w:cs="Arial"/>
        </w:rPr>
        <w:t>Nevirapine decrease methadone plasma concentration by up tp 80% in addition increased propensity to liver toxicity and skin rash.</w:t>
      </w:r>
    </w:p>
    <w:p w:rsidR="0060461B" w:rsidRPr="005C6F46" w:rsidRDefault="0060461B" w:rsidP="00BE5A5D">
      <w:pPr>
        <w:spacing w:before="120" w:after="120" w:line="240" w:lineRule="auto"/>
        <w:jc w:val="both"/>
        <w:rPr>
          <w:rFonts w:ascii="Arial" w:hAnsi="Arial" w:cs="Arial"/>
          <w:b/>
        </w:rPr>
      </w:pPr>
      <w:r w:rsidRPr="005C6F46">
        <w:rPr>
          <w:rFonts w:ascii="Arial" w:hAnsi="Arial" w:cs="Arial"/>
          <w:b/>
        </w:rPr>
        <w:t>Combination for second line once daily regimen:</w:t>
      </w:r>
    </w:p>
    <w:p w:rsidR="0060461B" w:rsidRPr="002D46DE" w:rsidRDefault="0060461B" w:rsidP="00B247C9">
      <w:pPr>
        <w:pStyle w:val="StyleJustifiedCharChar"/>
      </w:pPr>
      <w:r w:rsidRPr="002D46DE">
        <w:t>Lopinavir 800mg/Ritonavir 200mg+TDF300mg+FTC200mg or</w:t>
      </w:r>
    </w:p>
    <w:p w:rsidR="0060461B" w:rsidRPr="002D46DE" w:rsidRDefault="0060461B" w:rsidP="00B247C9">
      <w:pPr>
        <w:pStyle w:val="StyleJustifiedCharChar"/>
      </w:pPr>
      <w:r w:rsidRPr="002D46DE">
        <w:t>Lopinavir800mg/Ritonavir200mg+Abacavir600mg+Lamivudine300mg. Associated with frequent diarrhea.</w:t>
      </w:r>
    </w:p>
    <w:p w:rsidR="0060461B" w:rsidRPr="002D46DE" w:rsidRDefault="0060461B" w:rsidP="00B247C9">
      <w:pPr>
        <w:pStyle w:val="StyleJustifiedCharChar"/>
      </w:pPr>
      <w:r w:rsidRPr="002D46DE">
        <w:t>Atazanavir300mg/Ritonavir100mg+TDF300mg+FTC200mg</w:t>
      </w:r>
    </w:p>
    <w:p w:rsidR="0060461B" w:rsidRPr="002D46DE" w:rsidRDefault="0060461B" w:rsidP="00B247C9">
      <w:pPr>
        <w:pStyle w:val="StyleJustifiedCharChar"/>
      </w:pPr>
      <w:r w:rsidRPr="002D46DE">
        <w:t>Atazanavir300mg/Ritonavir100mg+Abacavir600mg+Lamivudine300mg.</w:t>
      </w:r>
    </w:p>
    <w:p w:rsidR="0060461B" w:rsidRPr="00817F1A" w:rsidRDefault="0060461B" w:rsidP="00BE5A5D">
      <w:pPr>
        <w:spacing w:before="120" w:after="120" w:line="240" w:lineRule="auto"/>
        <w:ind w:left="360"/>
        <w:jc w:val="both"/>
        <w:rPr>
          <w:rFonts w:ascii="Arial" w:hAnsi="Arial" w:cs="Arial"/>
        </w:rPr>
      </w:pPr>
      <w:r w:rsidRPr="00817F1A">
        <w:rPr>
          <w:rFonts w:ascii="Arial" w:hAnsi="Arial" w:cs="Arial"/>
        </w:rPr>
        <w:t>Boosted Atazanavir has no interaction with Methadone, well tolerated and has high genetic barrier to resistance development. It’s contraindicated in liver failure.</w:t>
      </w:r>
    </w:p>
    <w:p w:rsidR="0060461B" w:rsidRPr="000B26AE" w:rsidRDefault="0060461B" w:rsidP="00BE5A5D">
      <w:pPr>
        <w:spacing w:before="120" w:after="120"/>
        <w:jc w:val="both"/>
        <w:rPr>
          <w:rFonts w:ascii="Arial Narrow" w:hAnsi="Arial Narrow"/>
          <w:sz w:val="24"/>
          <w:szCs w:val="24"/>
        </w:rPr>
      </w:pPr>
    </w:p>
    <w:p w:rsidR="0060461B" w:rsidRPr="00785003" w:rsidRDefault="0060461B" w:rsidP="00BE5A5D">
      <w:pPr>
        <w:pStyle w:val="Heading2"/>
      </w:pPr>
      <w:bookmarkStart w:id="642" w:name="_Toc374515298"/>
      <w:bookmarkStart w:id="643" w:name="_Toc378258229"/>
      <w:bookmarkStart w:id="644" w:name="_Toc381351636"/>
      <w:r w:rsidRPr="00785003">
        <w:t>9.5 CHANGING ANTIRETROVIRAL THERAPY</w:t>
      </w:r>
      <w:bookmarkEnd w:id="642"/>
      <w:bookmarkEnd w:id="643"/>
      <w:bookmarkEnd w:id="644"/>
    </w:p>
    <w:p w:rsidR="0060461B" w:rsidRPr="00817F1A" w:rsidRDefault="0060461B" w:rsidP="00BE5A5D">
      <w:pPr>
        <w:jc w:val="both"/>
        <w:rPr>
          <w:rFonts w:ascii="Arial" w:hAnsi="Arial" w:cs="Arial"/>
        </w:rPr>
      </w:pPr>
      <w:r w:rsidRPr="00817F1A">
        <w:rPr>
          <w:rFonts w:ascii="Arial" w:hAnsi="Arial" w:cs="Arial"/>
        </w:rPr>
        <w:t>There are multiple reasons which may prompt the need to change antiretroviral therapy. These can be grouped into two major categories:</w:t>
      </w:r>
    </w:p>
    <w:p w:rsidR="0060461B" w:rsidRPr="002D46DE" w:rsidRDefault="0060461B" w:rsidP="00B247C9">
      <w:pPr>
        <w:pStyle w:val="StyleJustifiedCharChar"/>
      </w:pPr>
      <w:r w:rsidRPr="002D46DE">
        <w:t>Drug adverse events (toxicity)</w:t>
      </w:r>
    </w:p>
    <w:p w:rsidR="0060461B" w:rsidRPr="002D46DE" w:rsidRDefault="0060461B" w:rsidP="00B247C9">
      <w:pPr>
        <w:pStyle w:val="StyleJustifiedCharChar"/>
      </w:pPr>
      <w:r w:rsidRPr="002D46DE">
        <w:t>Treatment failure</w:t>
      </w:r>
    </w:p>
    <w:p w:rsidR="0060461B" w:rsidRPr="00785003" w:rsidRDefault="0060461B" w:rsidP="00BE5A5D">
      <w:pPr>
        <w:pStyle w:val="Heading3"/>
        <w:jc w:val="both"/>
      </w:pPr>
      <w:bookmarkStart w:id="645" w:name="_Toc374515299"/>
      <w:bookmarkStart w:id="646" w:name="_Toc378258230"/>
      <w:bookmarkStart w:id="647" w:name="_Toc381351637"/>
      <w:r w:rsidRPr="00785003">
        <w:t>9.5.1 Changing antiretroviral therapy due to toxicity</w:t>
      </w:r>
      <w:bookmarkEnd w:id="645"/>
      <w:bookmarkEnd w:id="646"/>
      <w:bookmarkEnd w:id="647"/>
    </w:p>
    <w:p w:rsidR="0060461B" w:rsidRPr="00817F1A" w:rsidRDefault="0060461B" w:rsidP="00BE5A5D">
      <w:pPr>
        <w:jc w:val="both"/>
        <w:rPr>
          <w:rFonts w:ascii="Arial" w:hAnsi="Arial" w:cs="Arial"/>
        </w:rPr>
      </w:pPr>
      <w:r w:rsidRPr="00817F1A">
        <w:rPr>
          <w:rFonts w:ascii="Arial" w:hAnsi="Arial" w:cs="Arial"/>
        </w:rPr>
        <w:t xml:space="preserve">From a clinical perspective, it is generally recommended that when changing a client`s regimen due to toxicity, only the toxic drug(s) should be replaced, if possible. Table 8.3 below provides guidance on ARV drug combinations with some common toxicity substitution within first line regimens. </w:t>
      </w:r>
    </w:p>
    <w:tbl>
      <w:tblPr>
        <w:tblW w:w="90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150"/>
        <w:gridCol w:w="3018"/>
      </w:tblGrid>
      <w:tr w:rsidR="0060461B" w:rsidRPr="00817F1A" w:rsidTr="00BE5A5D">
        <w:trPr>
          <w:trHeight w:val="432"/>
        </w:trPr>
        <w:tc>
          <w:tcPr>
            <w:tcW w:w="9048" w:type="dxa"/>
            <w:gridSpan w:val="3"/>
            <w:tcBorders>
              <w:top w:val="nil"/>
              <w:left w:val="nil"/>
              <w:bottom w:val="nil"/>
              <w:right w:val="nil"/>
            </w:tcBorders>
            <w:vAlign w:val="bottom"/>
          </w:tcPr>
          <w:p w:rsidR="0060461B" w:rsidRPr="00817F1A" w:rsidRDefault="0060461B" w:rsidP="00BE5A5D">
            <w:pPr>
              <w:rPr>
                <w:rFonts w:ascii="Arial" w:hAnsi="Arial" w:cs="Arial"/>
              </w:rPr>
            </w:pPr>
            <w:bookmarkStart w:id="648" w:name="_Toc185678203"/>
            <w:bookmarkStart w:id="649" w:name="_Toc185678431"/>
            <w:bookmarkStart w:id="650" w:name="_Toc185736175"/>
            <w:bookmarkStart w:id="651" w:name="_Toc185737743"/>
            <w:bookmarkStart w:id="652" w:name="_Toc185738199"/>
            <w:bookmarkStart w:id="653" w:name="_Toc185738322"/>
            <w:r w:rsidRPr="00AD1BF6">
              <w:rPr>
                <w:rFonts w:ascii="Arial" w:hAnsi="Arial" w:cs="Arial"/>
                <w:b/>
              </w:rPr>
              <w:t>Table 9.</w:t>
            </w:r>
            <w:r>
              <w:rPr>
                <w:rFonts w:ascii="Arial" w:hAnsi="Arial" w:cs="Arial"/>
                <w:b/>
              </w:rPr>
              <w:t>1</w:t>
            </w:r>
            <w:r w:rsidRPr="00AD1BF6">
              <w:rPr>
                <w:rFonts w:ascii="Arial" w:hAnsi="Arial" w:cs="Arial"/>
                <w:b/>
              </w:rPr>
              <w:t>: Common toxicity substitution in first line drugs</w:t>
            </w:r>
            <w:bookmarkEnd w:id="648"/>
            <w:bookmarkEnd w:id="649"/>
            <w:bookmarkEnd w:id="650"/>
            <w:bookmarkEnd w:id="651"/>
            <w:bookmarkEnd w:id="652"/>
            <w:bookmarkEnd w:id="653"/>
          </w:p>
        </w:tc>
      </w:tr>
      <w:tr w:rsidR="0060461B" w:rsidRPr="00817F1A" w:rsidTr="00BE5A5D">
        <w:trPr>
          <w:trHeight w:val="432"/>
        </w:trPr>
        <w:tc>
          <w:tcPr>
            <w:tcW w:w="2880" w:type="dxa"/>
            <w:tcBorders>
              <w:top w:val="nil"/>
              <w:right w:val="single" w:sz="4" w:space="0" w:color="FFFFFF"/>
            </w:tcBorders>
            <w:shd w:val="clear" w:color="auto" w:fill="000000"/>
            <w:vAlign w:val="bottom"/>
          </w:tcPr>
          <w:p w:rsidR="0060461B" w:rsidRPr="005C6F46" w:rsidRDefault="0060461B" w:rsidP="00BE5A5D">
            <w:pPr>
              <w:rPr>
                <w:rFonts w:ascii="Arial" w:hAnsi="Arial" w:cs="Arial"/>
                <w:b/>
              </w:rPr>
            </w:pPr>
            <w:r w:rsidRPr="005C6F46">
              <w:rPr>
                <w:rFonts w:ascii="Arial" w:hAnsi="Arial" w:cs="Arial"/>
                <w:b/>
              </w:rPr>
              <w:t>First Line</w:t>
            </w:r>
          </w:p>
        </w:tc>
        <w:tc>
          <w:tcPr>
            <w:tcW w:w="3150" w:type="dxa"/>
            <w:tcBorders>
              <w:top w:val="nil"/>
              <w:left w:val="single" w:sz="4" w:space="0" w:color="FFFFFF"/>
              <w:right w:val="single" w:sz="4" w:space="0" w:color="FFFFFF"/>
            </w:tcBorders>
            <w:shd w:val="clear" w:color="auto" w:fill="000000"/>
            <w:vAlign w:val="bottom"/>
          </w:tcPr>
          <w:p w:rsidR="0060461B" w:rsidRPr="005C6F46" w:rsidRDefault="0060461B" w:rsidP="00BE5A5D">
            <w:pPr>
              <w:rPr>
                <w:rFonts w:ascii="Arial" w:hAnsi="Arial" w:cs="Arial"/>
                <w:b/>
              </w:rPr>
            </w:pPr>
            <w:r w:rsidRPr="005C6F46">
              <w:rPr>
                <w:rFonts w:ascii="Arial" w:hAnsi="Arial" w:cs="Arial"/>
                <w:b/>
              </w:rPr>
              <w:t>Problem</w:t>
            </w:r>
          </w:p>
        </w:tc>
        <w:tc>
          <w:tcPr>
            <w:tcW w:w="3018" w:type="dxa"/>
            <w:tcBorders>
              <w:top w:val="nil"/>
              <w:left w:val="single" w:sz="4" w:space="0" w:color="FFFFFF"/>
            </w:tcBorders>
            <w:shd w:val="clear" w:color="auto" w:fill="000000"/>
            <w:vAlign w:val="bottom"/>
          </w:tcPr>
          <w:p w:rsidR="0060461B" w:rsidRPr="005C6F46" w:rsidRDefault="0060461B" w:rsidP="00BE5A5D">
            <w:pPr>
              <w:rPr>
                <w:rFonts w:ascii="Arial" w:hAnsi="Arial" w:cs="Arial"/>
                <w:b/>
              </w:rPr>
            </w:pPr>
            <w:r w:rsidRPr="005C6F46">
              <w:rPr>
                <w:rFonts w:ascii="Arial" w:hAnsi="Arial" w:cs="Arial"/>
                <w:b/>
              </w:rPr>
              <w:t>Substitution</w:t>
            </w:r>
          </w:p>
        </w:tc>
      </w:tr>
      <w:tr w:rsidR="0060461B" w:rsidRPr="00817F1A" w:rsidTr="00BE5A5D">
        <w:trPr>
          <w:trHeight w:val="935"/>
        </w:trPr>
        <w:tc>
          <w:tcPr>
            <w:tcW w:w="2880" w:type="dxa"/>
            <w:shd w:val="clear" w:color="auto" w:fill="D9D9D9"/>
          </w:tcPr>
          <w:p w:rsidR="0060461B" w:rsidRPr="00817F1A" w:rsidRDefault="0060461B" w:rsidP="00BE5A5D">
            <w:pPr>
              <w:rPr>
                <w:rFonts w:ascii="Arial" w:hAnsi="Arial" w:cs="Arial"/>
              </w:rPr>
            </w:pPr>
            <w:r w:rsidRPr="00817F1A">
              <w:rPr>
                <w:rFonts w:ascii="Arial" w:hAnsi="Arial" w:cs="Arial"/>
              </w:rPr>
              <w:t xml:space="preserve">TDF + 3TC + EFV </w:t>
            </w:r>
          </w:p>
        </w:tc>
        <w:tc>
          <w:tcPr>
            <w:tcW w:w="3150" w:type="dxa"/>
            <w:shd w:val="clear" w:color="auto" w:fill="D9D9D9"/>
          </w:tcPr>
          <w:p w:rsidR="0060461B" w:rsidRPr="00817F1A" w:rsidRDefault="0060461B" w:rsidP="00BE5A5D">
            <w:pPr>
              <w:rPr>
                <w:rFonts w:ascii="Arial" w:hAnsi="Arial" w:cs="Arial"/>
              </w:rPr>
            </w:pPr>
            <w:r w:rsidRPr="00817F1A">
              <w:rPr>
                <w:rFonts w:ascii="Arial" w:hAnsi="Arial" w:cs="Arial"/>
              </w:rPr>
              <w:t>Nephrotoxicity due to TDF</w:t>
            </w:r>
          </w:p>
        </w:tc>
        <w:tc>
          <w:tcPr>
            <w:tcW w:w="3018" w:type="dxa"/>
            <w:shd w:val="clear" w:color="auto" w:fill="D9D9D9"/>
          </w:tcPr>
          <w:p w:rsidR="0060461B" w:rsidRPr="00817F1A" w:rsidRDefault="0060461B" w:rsidP="00BE5A5D">
            <w:pPr>
              <w:rPr>
                <w:rFonts w:ascii="Arial" w:hAnsi="Arial" w:cs="Arial"/>
              </w:rPr>
            </w:pPr>
            <w:r w:rsidRPr="00817F1A">
              <w:rPr>
                <w:rFonts w:ascii="Arial" w:hAnsi="Arial" w:cs="Arial"/>
              </w:rPr>
              <w:t xml:space="preserve">AZT  + 3TC + EFV </w:t>
            </w:r>
          </w:p>
        </w:tc>
      </w:tr>
      <w:tr w:rsidR="0060461B" w:rsidRPr="00817F1A" w:rsidTr="00BE5A5D">
        <w:trPr>
          <w:trHeight w:val="410"/>
        </w:trPr>
        <w:tc>
          <w:tcPr>
            <w:tcW w:w="2880" w:type="dxa"/>
            <w:vMerge w:val="restart"/>
          </w:tcPr>
          <w:p w:rsidR="0060461B" w:rsidRPr="00817F1A" w:rsidRDefault="0060461B" w:rsidP="00BE5A5D">
            <w:pPr>
              <w:rPr>
                <w:rFonts w:ascii="Arial" w:hAnsi="Arial" w:cs="Arial"/>
              </w:rPr>
            </w:pPr>
            <w:r w:rsidRPr="00817F1A">
              <w:rPr>
                <w:rFonts w:ascii="Arial" w:hAnsi="Arial" w:cs="Arial"/>
              </w:rPr>
              <w:t xml:space="preserve">TDF + 3TC + NVP </w:t>
            </w:r>
          </w:p>
        </w:tc>
        <w:tc>
          <w:tcPr>
            <w:tcW w:w="3150" w:type="dxa"/>
          </w:tcPr>
          <w:p w:rsidR="0060461B" w:rsidRPr="00817F1A" w:rsidRDefault="0060461B" w:rsidP="00BE5A5D">
            <w:pPr>
              <w:rPr>
                <w:rFonts w:ascii="Arial" w:hAnsi="Arial" w:cs="Arial"/>
              </w:rPr>
            </w:pPr>
            <w:r w:rsidRPr="00817F1A">
              <w:rPr>
                <w:rFonts w:ascii="Arial" w:hAnsi="Arial" w:cs="Arial"/>
              </w:rPr>
              <w:t>Nephrotoxicity due to TDF</w:t>
            </w:r>
          </w:p>
        </w:tc>
        <w:tc>
          <w:tcPr>
            <w:tcW w:w="3018" w:type="dxa"/>
          </w:tcPr>
          <w:p w:rsidR="0060461B" w:rsidRPr="00817F1A" w:rsidRDefault="0060461B" w:rsidP="00BE5A5D">
            <w:pPr>
              <w:rPr>
                <w:rFonts w:ascii="Arial" w:hAnsi="Arial" w:cs="Arial"/>
              </w:rPr>
            </w:pPr>
            <w:r w:rsidRPr="00817F1A">
              <w:rPr>
                <w:rFonts w:ascii="Arial" w:hAnsi="Arial" w:cs="Arial"/>
              </w:rPr>
              <w:t>AZT  + 3TC + NVP</w:t>
            </w:r>
          </w:p>
        </w:tc>
      </w:tr>
      <w:tr w:rsidR="0060461B" w:rsidRPr="00817F1A" w:rsidTr="00BE5A5D">
        <w:trPr>
          <w:trHeight w:val="410"/>
        </w:trPr>
        <w:tc>
          <w:tcPr>
            <w:tcW w:w="2880" w:type="dxa"/>
            <w:vMerge/>
          </w:tcPr>
          <w:p w:rsidR="0060461B" w:rsidRPr="00817F1A" w:rsidRDefault="0060461B" w:rsidP="00BE5A5D">
            <w:pPr>
              <w:rPr>
                <w:rFonts w:ascii="Arial" w:hAnsi="Arial" w:cs="Arial"/>
              </w:rPr>
            </w:pPr>
          </w:p>
        </w:tc>
        <w:tc>
          <w:tcPr>
            <w:tcW w:w="3150" w:type="dxa"/>
          </w:tcPr>
          <w:p w:rsidR="0060461B" w:rsidRPr="00817F1A" w:rsidRDefault="0060461B" w:rsidP="00BE5A5D">
            <w:pPr>
              <w:rPr>
                <w:rFonts w:ascii="Arial" w:hAnsi="Arial" w:cs="Arial"/>
              </w:rPr>
            </w:pPr>
            <w:r w:rsidRPr="00817F1A">
              <w:rPr>
                <w:rFonts w:ascii="Arial" w:hAnsi="Arial" w:cs="Arial"/>
              </w:rPr>
              <w:t>Hypersensitivity due to NVP</w:t>
            </w:r>
          </w:p>
        </w:tc>
        <w:tc>
          <w:tcPr>
            <w:tcW w:w="3018" w:type="dxa"/>
          </w:tcPr>
          <w:p w:rsidR="0060461B" w:rsidRPr="00817F1A" w:rsidRDefault="0060461B" w:rsidP="00BE5A5D">
            <w:pPr>
              <w:rPr>
                <w:rFonts w:ascii="Arial" w:hAnsi="Arial" w:cs="Arial"/>
              </w:rPr>
            </w:pPr>
            <w:r w:rsidRPr="00817F1A">
              <w:rPr>
                <w:rFonts w:ascii="Arial" w:hAnsi="Arial" w:cs="Arial"/>
              </w:rPr>
              <w:t xml:space="preserve">TDF + 3TC + EFV </w:t>
            </w:r>
          </w:p>
        </w:tc>
      </w:tr>
      <w:tr w:rsidR="0060461B" w:rsidRPr="00817F1A" w:rsidTr="00BE5A5D">
        <w:trPr>
          <w:trHeight w:val="890"/>
        </w:trPr>
        <w:tc>
          <w:tcPr>
            <w:tcW w:w="2880" w:type="dxa"/>
            <w:vMerge w:val="restart"/>
            <w:shd w:val="clear" w:color="auto" w:fill="D9D9D9"/>
          </w:tcPr>
          <w:p w:rsidR="0060461B" w:rsidRPr="00817F1A" w:rsidRDefault="0060461B" w:rsidP="00BE5A5D">
            <w:pPr>
              <w:rPr>
                <w:rFonts w:ascii="Arial" w:hAnsi="Arial" w:cs="Arial"/>
              </w:rPr>
            </w:pPr>
            <w:r w:rsidRPr="00817F1A">
              <w:rPr>
                <w:rFonts w:ascii="Arial" w:hAnsi="Arial" w:cs="Arial"/>
              </w:rPr>
              <w:t>AZT + 3TC + EFV or NVP</w:t>
            </w:r>
          </w:p>
        </w:tc>
        <w:tc>
          <w:tcPr>
            <w:tcW w:w="3150" w:type="dxa"/>
            <w:shd w:val="clear" w:color="auto" w:fill="D9D9D9"/>
          </w:tcPr>
          <w:p w:rsidR="0060461B" w:rsidRPr="00817F1A" w:rsidRDefault="0060461B" w:rsidP="00BE5A5D">
            <w:pPr>
              <w:rPr>
                <w:rFonts w:ascii="Arial" w:hAnsi="Arial" w:cs="Arial"/>
              </w:rPr>
            </w:pPr>
            <w:r w:rsidRPr="00817F1A">
              <w:rPr>
                <w:rFonts w:ascii="Arial" w:hAnsi="Arial" w:cs="Arial"/>
              </w:rPr>
              <w:t>Anemia due to AZT</w:t>
            </w:r>
          </w:p>
        </w:tc>
        <w:tc>
          <w:tcPr>
            <w:tcW w:w="3018" w:type="dxa"/>
            <w:shd w:val="clear" w:color="auto" w:fill="D9D9D9"/>
          </w:tcPr>
          <w:p w:rsidR="0060461B" w:rsidRPr="00817F1A" w:rsidRDefault="0060461B" w:rsidP="00BE5A5D">
            <w:pPr>
              <w:rPr>
                <w:rFonts w:ascii="Arial" w:hAnsi="Arial" w:cs="Arial"/>
              </w:rPr>
            </w:pPr>
            <w:r w:rsidRPr="00817F1A">
              <w:rPr>
                <w:rFonts w:ascii="Arial" w:hAnsi="Arial" w:cs="Arial"/>
              </w:rPr>
              <w:t>TDF + 3TC + NVP or EFV</w:t>
            </w:r>
          </w:p>
        </w:tc>
      </w:tr>
      <w:tr w:rsidR="0060461B" w:rsidRPr="00817F1A" w:rsidTr="00BE5A5D">
        <w:trPr>
          <w:trHeight w:val="410"/>
        </w:trPr>
        <w:tc>
          <w:tcPr>
            <w:tcW w:w="2880" w:type="dxa"/>
            <w:vMerge/>
          </w:tcPr>
          <w:p w:rsidR="0060461B" w:rsidRPr="00817F1A" w:rsidRDefault="0060461B" w:rsidP="00BE5A5D">
            <w:pPr>
              <w:rPr>
                <w:rFonts w:ascii="Arial" w:hAnsi="Arial" w:cs="Arial"/>
                <w:lang w:val="fr-FR"/>
              </w:rPr>
            </w:pPr>
          </w:p>
        </w:tc>
        <w:tc>
          <w:tcPr>
            <w:tcW w:w="3150" w:type="dxa"/>
            <w:shd w:val="clear" w:color="auto" w:fill="D9D9D9"/>
          </w:tcPr>
          <w:p w:rsidR="0060461B" w:rsidRPr="00817F1A" w:rsidRDefault="0060461B" w:rsidP="00BE5A5D">
            <w:pPr>
              <w:rPr>
                <w:rFonts w:ascii="Arial" w:hAnsi="Arial" w:cs="Arial"/>
              </w:rPr>
            </w:pPr>
            <w:r w:rsidRPr="00817F1A">
              <w:rPr>
                <w:rFonts w:ascii="Arial" w:hAnsi="Arial" w:cs="Arial"/>
              </w:rPr>
              <w:t>Lipodystrophy due to AZT</w:t>
            </w:r>
          </w:p>
        </w:tc>
        <w:tc>
          <w:tcPr>
            <w:tcW w:w="3018" w:type="dxa"/>
            <w:shd w:val="clear" w:color="auto" w:fill="D9D9D9"/>
          </w:tcPr>
          <w:p w:rsidR="0060461B" w:rsidRPr="00817F1A" w:rsidRDefault="0060461B" w:rsidP="00BE5A5D">
            <w:pPr>
              <w:rPr>
                <w:rFonts w:ascii="Arial" w:hAnsi="Arial" w:cs="Arial"/>
              </w:rPr>
            </w:pPr>
            <w:r w:rsidRPr="00817F1A">
              <w:rPr>
                <w:rFonts w:ascii="Arial" w:hAnsi="Arial" w:cs="Arial"/>
              </w:rPr>
              <w:t xml:space="preserve">TDF + 3TC + NVP or EFV </w:t>
            </w:r>
          </w:p>
        </w:tc>
      </w:tr>
    </w:tbl>
    <w:p w:rsidR="0060461B" w:rsidRPr="000B26AE" w:rsidRDefault="0060461B" w:rsidP="00BE5A5D">
      <w:pPr>
        <w:rPr>
          <w:rFonts w:ascii="Arial Narrow" w:hAnsi="Arial Narrow"/>
          <w:sz w:val="24"/>
          <w:szCs w:val="24"/>
        </w:rPr>
      </w:pPr>
    </w:p>
    <w:p w:rsidR="0060461B" w:rsidRDefault="0060461B" w:rsidP="00BE5A5D">
      <w:pPr>
        <w:rPr>
          <w:rFonts w:ascii="Arial Narrow" w:hAnsi="Arial Narrow"/>
          <w:sz w:val="24"/>
          <w:szCs w:val="24"/>
        </w:rPr>
      </w:pPr>
    </w:p>
    <w:p w:rsidR="00B247C9" w:rsidRDefault="00B247C9" w:rsidP="00BE5A5D">
      <w:pPr>
        <w:rPr>
          <w:rFonts w:ascii="Arial Narrow" w:hAnsi="Arial Narrow"/>
          <w:sz w:val="24"/>
          <w:szCs w:val="24"/>
        </w:rPr>
      </w:pPr>
    </w:p>
    <w:p w:rsidR="00B247C9" w:rsidRDefault="00B247C9" w:rsidP="00BE5A5D">
      <w:pPr>
        <w:rPr>
          <w:rFonts w:ascii="Arial Narrow" w:hAnsi="Arial Narrow"/>
          <w:sz w:val="24"/>
          <w:szCs w:val="24"/>
        </w:rPr>
      </w:pPr>
    </w:p>
    <w:p w:rsidR="00B247C9" w:rsidRDefault="00B247C9" w:rsidP="00BE5A5D">
      <w:pPr>
        <w:rPr>
          <w:rFonts w:ascii="Arial Narrow" w:hAnsi="Arial Narrow"/>
          <w:sz w:val="24"/>
          <w:szCs w:val="24"/>
        </w:rPr>
      </w:pPr>
    </w:p>
    <w:p w:rsidR="00B247C9" w:rsidRDefault="00B247C9" w:rsidP="00BE5A5D">
      <w:pPr>
        <w:rPr>
          <w:rFonts w:ascii="Arial Narrow" w:hAnsi="Arial Narrow"/>
          <w:sz w:val="24"/>
          <w:szCs w:val="24"/>
        </w:rPr>
      </w:pPr>
    </w:p>
    <w:p w:rsidR="0060461B" w:rsidRDefault="0060461B" w:rsidP="00BE5A5D">
      <w:pPr>
        <w:rPr>
          <w:rFonts w:ascii="Arial Narrow" w:hAnsi="Arial Narrow"/>
          <w:sz w:val="24"/>
          <w:szCs w:val="24"/>
        </w:rPr>
      </w:pPr>
    </w:p>
    <w:p w:rsidR="00B247C9" w:rsidRDefault="00B247C9" w:rsidP="00BE5A5D">
      <w:pPr>
        <w:rPr>
          <w:rFonts w:ascii="Arial Narrow" w:hAnsi="Arial Narrow"/>
          <w:sz w:val="24"/>
          <w:szCs w:val="24"/>
        </w:rPr>
      </w:pPr>
    </w:p>
    <w:p w:rsidR="0060461B" w:rsidRPr="00817F1A" w:rsidRDefault="0060461B" w:rsidP="00BE5A5D">
      <w:pPr>
        <w:rPr>
          <w:rFonts w:ascii="Arial" w:hAnsi="Arial" w:cs="Arial"/>
          <w:b/>
        </w:rPr>
      </w:pPr>
      <w:r w:rsidRPr="00817F1A">
        <w:rPr>
          <w:rFonts w:ascii="Arial" w:hAnsi="Arial" w:cs="Arial"/>
          <w:b/>
        </w:rPr>
        <w:t xml:space="preserve">Figure </w:t>
      </w:r>
      <w:r>
        <w:rPr>
          <w:rFonts w:ascii="Arial" w:hAnsi="Arial" w:cs="Arial"/>
          <w:b/>
        </w:rPr>
        <w:t>9.2</w:t>
      </w:r>
      <w:r w:rsidRPr="00817F1A">
        <w:rPr>
          <w:rFonts w:ascii="Arial" w:hAnsi="Arial" w:cs="Arial"/>
          <w:b/>
        </w:rPr>
        <w:t>: Substitution within First line Antiretroviral Regimens</w:t>
      </w:r>
    </w:p>
    <w:p w:rsidR="0060461B" w:rsidRPr="000B26AE" w:rsidRDefault="00AA771C" w:rsidP="00BE5A5D">
      <w:pPr>
        <w:rPr>
          <w:rFonts w:ascii="Arial Narrow" w:hAnsi="Arial Narrow"/>
          <w:sz w:val="24"/>
          <w:szCs w:val="24"/>
        </w:rPr>
      </w:pPr>
      <w:r>
        <w:rPr>
          <w:rFonts w:ascii="Arial Narrow" w:hAnsi="Arial Narrow"/>
          <w:noProof/>
          <w:sz w:val="24"/>
          <w:szCs w:val="24"/>
        </w:rPr>
        <mc:AlternateContent>
          <mc:Choice Requires="wpg">
            <w:drawing>
              <wp:anchor distT="0" distB="0" distL="114300" distR="114300" simplePos="0" relativeHeight="251787264" behindDoc="0" locked="0" layoutInCell="1" allowOverlap="1">
                <wp:simplePos x="0" y="0"/>
                <wp:positionH relativeFrom="column">
                  <wp:posOffset>-359410</wp:posOffset>
                </wp:positionH>
                <wp:positionV relativeFrom="paragraph">
                  <wp:posOffset>365760</wp:posOffset>
                </wp:positionV>
                <wp:extent cx="6948805" cy="3655060"/>
                <wp:effectExtent l="21590" t="22860" r="11430" b="8255"/>
                <wp:wrapNone/>
                <wp:docPr id="47"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805" cy="3655060"/>
                          <a:chOff x="1275" y="8730"/>
                          <a:chExt cx="8895" cy="4838"/>
                        </a:xfrm>
                      </wpg:grpSpPr>
                      <wps:wsp>
                        <wps:cNvPr id="48" name="AutoShape 814"/>
                        <wps:cNvSpPr>
                          <a:spLocks noChangeAspect="1" noChangeArrowheads="1"/>
                        </wps:cNvSpPr>
                        <wps:spPr bwMode="auto">
                          <a:xfrm>
                            <a:off x="1275" y="8730"/>
                            <a:ext cx="8895" cy="48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247C9" w:rsidRPr="00E61B5D" w:rsidRDefault="00B247C9"/>
                          </w:txbxContent>
                        </wps:txbx>
                        <wps:bodyPr rot="0" vert="horz" wrap="square" lIns="91440" tIns="45720" rIns="91440" bIns="45720" anchor="t" anchorCtr="0" upright="1">
                          <a:noAutofit/>
                        </wps:bodyPr>
                      </wps:wsp>
                      <wps:wsp>
                        <wps:cNvPr id="49" name="Text Box 815"/>
                        <wps:cNvSpPr txBox="1">
                          <a:spLocks noChangeArrowheads="1"/>
                        </wps:cNvSpPr>
                        <wps:spPr bwMode="auto">
                          <a:xfrm>
                            <a:off x="2313" y="9112"/>
                            <a:ext cx="1655" cy="627"/>
                          </a:xfrm>
                          <a:prstGeom prst="rect">
                            <a:avLst/>
                          </a:prstGeom>
                          <a:solidFill>
                            <a:srgbClr val="FFFFFF"/>
                          </a:solidFill>
                          <a:ln w="9525">
                            <a:solidFill>
                              <a:srgbClr val="000000"/>
                            </a:solidFill>
                            <a:miter lim="800000"/>
                            <a:headEnd/>
                            <a:tailEnd/>
                          </a:ln>
                        </wps:spPr>
                        <wps:txbx>
                          <w:txbxContent>
                            <w:p w:rsidR="00B247C9" w:rsidRPr="00E61B5D" w:rsidRDefault="00B247C9" w:rsidP="00BE5A5D">
                              <w:pPr>
                                <w:jc w:val="center"/>
                                <w:rPr>
                                  <w:b/>
                                  <w:sz w:val="28"/>
                                  <w:szCs w:val="28"/>
                                </w:rPr>
                              </w:pPr>
                              <w:r w:rsidRPr="00E61B5D">
                                <w:rPr>
                                  <w:b/>
                                  <w:sz w:val="28"/>
                                  <w:szCs w:val="28"/>
                                </w:rPr>
                                <w:t>TDF</w:t>
                              </w:r>
                            </w:p>
                            <w:p w:rsidR="00B247C9" w:rsidRDefault="00B247C9" w:rsidP="00BE5A5D">
                              <w:pPr>
                                <w:jc w:val="center"/>
                                <w:rPr>
                                  <w:sz w:val="20"/>
                                  <w:szCs w:val="20"/>
                                </w:rPr>
                              </w:pPr>
                            </w:p>
                          </w:txbxContent>
                        </wps:txbx>
                        <wps:bodyPr rot="0" vert="horz" wrap="square" lIns="91440" tIns="45720" rIns="91440" bIns="45720" anchor="t" anchorCtr="0" upright="1">
                          <a:noAutofit/>
                        </wps:bodyPr>
                      </wps:wsp>
                      <wps:wsp>
                        <wps:cNvPr id="50" name="Text Box 816"/>
                        <wps:cNvSpPr txBox="1">
                          <a:spLocks noChangeArrowheads="1"/>
                        </wps:cNvSpPr>
                        <wps:spPr bwMode="auto">
                          <a:xfrm>
                            <a:off x="4733" y="9161"/>
                            <a:ext cx="1656" cy="518"/>
                          </a:xfrm>
                          <a:prstGeom prst="rect">
                            <a:avLst/>
                          </a:prstGeom>
                          <a:solidFill>
                            <a:srgbClr val="FFFFFF"/>
                          </a:solidFill>
                          <a:ln w="9525">
                            <a:solidFill>
                              <a:srgbClr val="000000"/>
                            </a:solidFill>
                            <a:miter lim="800000"/>
                            <a:headEnd/>
                            <a:tailEnd/>
                          </a:ln>
                        </wps:spPr>
                        <wps:txbx>
                          <w:txbxContent>
                            <w:p w:rsidR="00B247C9" w:rsidRPr="00E61B5D" w:rsidRDefault="00B247C9" w:rsidP="00BE5A5D">
                              <w:pPr>
                                <w:jc w:val="center"/>
                                <w:rPr>
                                  <w:b/>
                                  <w:sz w:val="28"/>
                                  <w:szCs w:val="28"/>
                                </w:rPr>
                              </w:pPr>
                              <w:r w:rsidRPr="00E61B5D">
                                <w:rPr>
                                  <w:b/>
                                  <w:sz w:val="28"/>
                                  <w:szCs w:val="28"/>
                                </w:rPr>
                                <w:t>3TC</w:t>
                              </w:r>
                            </w:p>
                          </w:txbxContent>
                        </wps:txbx>
                        <wps:bodyPr rot="0" vert="horz" wrap="square" lIns="91440" tIns="45720" rIns="91440" bIns="45720" anchor="t" anchorCtr="0" upright="1">
                          <a:noAutofit/>
                        </wps:bodyPr>
                      </wps:wsp>
                      <wps:wsp>
                        <wps:cNvPr id="51" name="Text Box 817"/>
                        <wps:cNvSpPr txBox="1">
                          <a:spLocks noChangeArrowheads="1"/>
                        </wps:cNvSpPr>
                        <wps:spPr bwMode="auto">
                          <a:xfrm>
                            <a:off x="7565" y="9082"/>
                            <a:ext cx="1421" cy="628"/>
                          </a:xfrm>
                          <a:prstGeom prst="rect">
                            <a:avLst/>
                          </a:prstGeom>
                          <a:solidFill>
                            <a:srgbClr val="FFFFFF"/>
                          </a:solidFill>
                          <a:ln w="9525">
                            <a:solidFill>
                              <a:srgbClr val="000000"/>
                            </a:solidFill>
                            <a:miter lim="800000"/>
                            <a:headEnd/>
                            <a:tailEnd/>
                          </a:ln>
                        </wps:spPr>
                        <wps:txbx>
                          <w:txbxContent>
                            <w:p w:rsidR="00B247C9" w:rsidRPr="00E61B5D" w:rsidRDefault="00B247C9" w:rsidP="00BE5A5D">
                              <w:pPr>
                                <w:jc w:val="center"/>
                                <w:rPr>
                                  <w:b/>
                                  <w:sz w:val="28"/>
                                  <w:szCs w:val="28"/>
                                </w:rPr>
                              </w:pPr>
                              <w:r w:rsidRPr="00E61B5D">
                                <w:rPr>
                                  <w:b/>
                                  <w:sz w:val="28"/>
                                  <w:szCs w:val="28"/>
                                </w:rPr>
                                <w:t>EFV</w:t>
                              </w:r>
                            </w:p>
                          </w:txbxContent>
                        </wps:txbx>
                        <wps:bodyPr rot="0" vert="horz" wrap="square" lIns="91440" tIns="45720" rIns="91440" bIns="45720" anchor="t" anchorCtr="0" upright="1">
                          <a:noAutofit/>
                        </wps:bodyPr>
                      </wps:wsp>
                      <wps:wsp>
                        <wps:cNvPr id="52" name="Text Box 818"/>
                        <wps:cNvSpPr txBox="1">
                          <a:spLocks noChangeArrowheads="1"/>
                        </wps:cNvSpPr>
                        <wps:spPr bwMode="auto">
                          <a:xfrm>
                            <a:off x="1913" y="12201"/>
                            <a:ext cx="2271" cy="535"/>
                          </a:xfrm>
                          <a:prstGeom prst="rect">
                            <a:avLst/>
                          </a:prstGeom>
                          <a:solidFill>
                            <a:srgbClr val="FFFFFF"/>
                          </a:solidFill>
                          <a:ln w="9525">
                            <a:solidFill>
                              <a:srgbClr val="000000"/>
                            </a:solidFill>
                            <a:miter lim="800000"/>
                            <a:headEnd/>
                            <a:tailEnd/>
                          </a:ln>
                        </wps:spPr>
                        <wps:txbx>
                          <w:txbxContent>
                            <w:p w:rsidR="00B247C9" w:rsidRDefault="00B247C9" w:rsidP="00BE5A5D">
                              <w:pPr>
                                <w:jc w:val="center"/>
                              </w:pPr>
                              <w:r w:rsidRPr="00E61B5D">
                                <w:rPr>
                                  <w:b/>
                                  <w:sz w:val="28"/>
                                  <w:szCs w:val="28"/>
                                </w:rPr>
                                <w:t>AZT</w:t>
                              </w:r>
                            </w:p>
                          </w:txbxContent>
                        </wps:txbx>
                        <wps:bodyPr rot="0" vert="horz" wrap="square" lIns="91440" tIns="45720" rIns="91440" bIns="45720" anchor="t" anchorCtr="0" upright="1">
                          <a:noAutofit/>
                        </wps:bodyPr>
                      </wps:wsp>
                      <wps:wsp>
                        <wps:cNvPr id="53" name="Text Box 819"/>
                        <wps:cNvSpPr txBox="1">
                          <a:spLocks noChangeArrowheads="1"/>
                        </wps:cNvSpPr>
                        <wps:spPr bwMode="auto">
                          <a:xfrm>
                            <a:off x="4946" y="12217"/>
                            <a:ext cx="2215" cy="519"/>
                          </a:xfrm>
                          <a:prstGeom prst="rect">
                            <a:avLst/>
                          </a:prstGeom>
                          <a:solidFill>
                            <a:srgbClr val="FFFFFF"/>
                          </a:solidFill>
                          <a:ln w="9525">
                            <a:solidFill>
                              <a:srgbClr val="000000"/>
                            </a:solidFill>
                            <a:miter lim="800000"/>
                            <a:headEnd/>
                            <a:tailEnd/>
                          </a:ln>
                        </wps:spPr>
                        <wps:txbx>
                          <w:txbxContent>
                            <w:p w:rsidR="00B247C9" w:rsidRPr="00E61B5D" w:rsidRDefault="00B247C9" w:rsidP="00BE5A5D">
                              <w:pPr>
                                <w:jc w:val="center"/>
                                <w:rPr>
                                  <w:b/>
                                  <w:sz w:val="28"/>
                                  <w:szCs w:val="28"/>
                                </w:rPr>
                              </w:pPr>
                              <w:r w:rsidRPr="00E61B5D">
                                <w:rPr>
                                  <w:b/>
                                  <w:sz w:val="28"/>
                                  <w:szCs w:val="28"/>
                                </w:rPr>
                                <w:t>3TC or FTC</w:t>
                              </w:r>
                            </w:p>
                            <w:p w:rsidR="00B247C9" w:rsidRDefault="00B247C9" w:rsidP="00BE5A5D"/>
                          </w:txbxContent>
                        </wps:txbx>
                        <wps:bodyPr rot="0" vert="horz" wrap="square" lIns="91440" tIns="45720" rIns="91440" bIns="45720" anchor="t" anchorCtr="0" upright="1">
                          <a:noAutofit/>
                        </wps:bodyPr>
                      </wps:wsp>
                      <wps:wsp>
                        <wps:cNvPr id="54" name="Text Box 820"/>
                        <wps:cNvSpPr txBox="1">
                          <a:spLocks noChangeArrowheads="1"/>
                        </wps:cNvSpPr>
                        <wps:spPr bwMode="auto">
                          <a:xfrm>
                            <a:off x="7797" y="12217"/>
                            <a:ext cx="1257" cy="519"/>
                          </a:xfrm>
                          <a:prstGeom prst="rect">
                            <a:avLst/>
                          </a:prstGeom>
                          <a:solidFill>
                            <a:srgbClr val="FFFFFF"/>
                          </a:solidFill>
                          <a:ln w="6350">
                            <a:solidFill>
                              <a:srgbClr val="000000"/>
                            </a:solidFill>
                            <a:miter lim="800000"/>
                            <a:headEnd/>
                            <a:tailEnd/>
                          </a:ln>
                        </wps:spPr>
                        <wps:txbx>
                          <w:txbxContent>
                            <w:p w:rsidR="00B247C9" w:rsidRPr="0090211B" w:rsidRDefault="00B247C9" w:rsidP="00BE5A5D">
                              <w:pPr>
                                <w:jc w:val="center"/>
                                <w:rPr>
                                  <w:b/>
                                </w:rPr>
                              </w:pPr>
                              <w:r w:rsidRPr="00E61B5D">
                                <w:rPr>
                                  <w:b/>
                                  <w:sz w:val="28"/>
                                  <w:szCs w:val="28"/>
                                </w:rPr>
                                <w:t>NVP</w:t>
                              </w:r>
                            </w:p>
                          </w:txbxContent>
                        </wps:txbx>
                        <wps:bodyPr rot="0" vert="horz" wrap="square" lIns="91440" tIns="45720" rIns="91440" bIns="45720" anchor="t" anchorCtr="0" upright="1">
                          <a:noAutofit/>
                        </wps:bodyPr>
                      </wps:wsp>
                      <wps:wsp>
                        <wps:cNvPr id="55" name="Line 821"/>
                        <wps:cNvCnPr/>
                        <wps:spPr bwMode="auto">
                          <a:xfrm flipV="1">
                            <a:off x="3456" y="9822"/>
                            <a:ext cx="0" cy="2302"/>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822"/>
                        <wps:cNvCnPr/>
                        <wps:spPr bwMode="auto">
                          <a:xfrm>
                            <a:off x="3065" y="9902"/>
                            <a:ext cx="0" cy="2302"/>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Text Box 823"/>
                        <wps:cNvSpPr txBox="1">
                          <a:spLocks noChangeArrowheads="1"/>
                        </wps:cNvSpPr>
                        <wps:spPr bwMode="auto">
                          <a:xfrm>
                            <a:off x="3617" y="10257"/>
                            <a:ext cx="1381" cy="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7C9" w:rsidRPr="00E61B5D" w:rsidRDefault="00B247C9" w:rsidP="00BE5A5D">
                              <w:pPr>
                                <w:pBdr>
                                  <w:top w:val="single" w:sz="4" w:space="1" w:color="auto"/>
                                  <w:left w:val="single" w:sz="4" w:space="4" w:color="auto"/>
                                  <w:bottom w:val="single" w:sz="4" w:space="1" w:color="auto"/>
                                  <w:right w:val="single" w:sz="4" w:space="4" w:color="auto"/>
                                </w:pBdr>
                                <w:rPr>
                                  <w:sz w:val="18"/>
                                  <w:szCs w:val="18"/>
                                </w:rPr>
                              </w:pPr>
                              <w:r w:rsidRPr="00E61B5D">
                                <w:rPr>
                                  <w:sz w:val="18"/>
                                  <w:szCs w:val="18"/>
                                </w:rPr>
                                <w:t>Anaemia</w:t>
                              </w:r>
                            </w:p>
                          </w:txbxContent>
                        </wps:txbx>
                        <wps:bodyPr rot="0" vert="horz" wrap="square" lIns="91440" tIns="45720" rIns="91440" bIns="45720" anchor="t" anchorCtr="0" upright="1">
                          <a:noAutofit/>
                        </wps:bodyPr>
                      </wps:wsp>
                      <wps:wsp>
                        <wps:cNvPr id="58" name="Text Box 824"/>
                        <wps:cNvSpPr txBox="1">
                          <a:spLocks noChangeArrowheads="1"/>
                        </wps:cNvSpPr>
                        <wps:spPr bwMode="auto">
                          <a:xfrm>
                            <a:off x="2014" y="10257"/>
                            <a:ext cx="973" cy="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7C9" w:rsidRPr="00E61B5D" w:rsidRDefault="00B247C9" w:rsidP="00BE5A5D">
                              <w:pPr>
                                <w:pBdr>
                                  <w:top w:val="single" w:sz="4" w:space="1" w:color="auto"/>
                                  <w:left w:val="single" w:sz="4" w:space="4" w:color="auto"/>
                                  <w:bottom w:val="single" w:sz="4" w:space="1" w:color="auto"/>
                                  <w:right w:val="single" w:sz="4" w:space="4" w:color="auto"/>
                                </w:pBdr>
                                <w:rPr>
                                  <w:sz w:val="18"/>
                                  <w:szCs w:val="18"/>
                                </w:rPr>
                              </w:pPr>
                              <w:r w:rsidRPr="00E61B5D">
                                <w:rPr>
                                  <w:sz w:val="18"/>
                                  <w:szCs w:val="18"/>
                                </w:rPr>
                                <w:t>Nephrotoxicity</w:t>
                              </w:r>
                            </w:p>
                          </w:txbxContent>
                        </wps:txbx>
                        <wps:bodyPr rot="0" vert="horz" wrap="square" lIns="91440" tIns="45720" rIns="91440" bIns="45720" anchor="t" anchorCtr="0" upright="1">
                          <a:noAutofit/>
                        </wps:bodyPr>
                      </wps:wsp>
                      <wps:wsp>
                        <wps:cNvPr id="59" name="Line 825"/>
                        <wps:cNvCnPr/>
                        <wps:spPr bwMode="auto">
                          <a:xfrm>
                            <a:off x="8043" y="9727"/>
                            <a:ext cx="0" cy="2302"/>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826"/>
                        <wps:cNvCnPr/>
                        <wps:spPr bwMode="auto">
                          <a:xfrm flipV="1">
                            <a:off x="8732" y="9727"/>
                            <a:ext cx="0" cy="2302"/>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Text Box 827"/>
                        <wps:cNvSpPr txBox="1">
                          <a:spLocks noChangeArrowheads="1"/>
                        </wps:cNvSpPr>
                        <wps:spPr bwMode="auto">
                          <a:xfrm>
                            <a:off x="4148" y="9193"/>
                            <a:ext cx="54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Pr="00E61B5D" w:rsidRDefault="00B247C9" w:rsidP="00BE5A5D">
                              <w:pPr>
                                <w:rPr>
                                  <w:b/>
                                  <w:bCs/>
                                </w:rPr>
                              </w:pPr>
                              <w:r w:rsidRPr="00E61B5D">
                                <w:rPr>
                                  <w:b/>
                                  <w:bCs/>
                                </w:rPr>
                                <w:t>+</w:t>
                              </w:r>
                            </w:p>
                          </w:txbxContent>
                        </wps:txbx>
                        <wps:bodyPr rot="0" vert="horz" wrap="square" lIns="91440" tIns="45720" rIns="91440" bIns="45720" anchor="t" anchorCtr="0" upright="1">
                          <a:noAutofit/>
                        </wps:bodyPr>
                      </wps:wsp>
                      <wps:wsp>
                        <wps:cNvPr id="62" name="Text Box 828"/>
                        <wps:cNvSpPr txBox="1">
                          <a:spLocks noChangeArrowheads="1"/>
                        </wps:cNvSpPr>
                        <wps:spPr bwMode="auto">
                          <a:xfrm>
                            <a:off x="6751" y="9192"/>
                            <a:ext cx="472" cy="5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7C9" w:rsidRPr="00E61B5D" w:rsidRDefault="00B247C9" w:rsidP="00BE5A5D">
                              <w:pPr>
                                <w:rPr>
                                  <w:b/>
                                  <w:bCs/>
                                </w:rPr>
                              </w:pPr>
                              <w:r w:rsidRPr="00E61B5D">
                                <w:rPr>
                                  <w:b/>
                                  <w:bCs/>
                                </w:rPr>
                                <w:t>+</w:t>
                              </w:r>
                            </w:p>
                          </w:txbxContent>
                        </wps:txbx>
                        <wps:bodyPr rot="0" vert="horz" wrap="square" lIns="91440" tIns="45720" rIns="91440" bIns="45720" anchor="t" anchorCtr="0" upright="1">
                          <a:noAutofit/>
                        </wps:bodyPr>
                      </wps:wsp>
                      <wps:wsp>
                        <wps:cNvPr id="63" name="Text Box 829"/>
                        <wps:cNvSpPr txBox="1">
                          <a:spLocks noChangeArrowheads="1"/>
                        </wps:cNvSpPr>
                        <wps:spPr bwMode="auto">
                          <a:xfrm>
                            <a:off x="4369" y="12255"/>
                            <a:ext cx="473"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7C9" w:rsidRPr="00E61B5D" w:rsidRDefault="00B247C9" w:rsidP="00BE5A5D">
                              <w:pPr>
                                <w:rPr>
                                  <w:b/>
                                  <w:bCs/>
                                </w:rPr>
                              </w:pPr>
                              <w:r w:rsidRPr="00E61B5D">
                                <w:rPr>
                                  <w:b/>
                                  <w:bCs/>
                                </w:rPr>
                                <w:t>+</w:t>
                              </w:r>
                            </w:p>
                          </w:txbxContent>
                        </wps:txbx>
                        <wps:bodyPr rot="0" vert="horz" wrap="square" lIns="91440" tIns="45720" rIns="91440" bIns="45720" anchor="t" anchorCtr="0" upright="1">
                          <a:noAutofit/>
                        </wps:bodyPr>
                      </wps:wsp>
                      <wps:wsp>
                        <wps:cNvPr id="896" name="Text Box 830"/>
                        <wps:cNvSpPr txBox="1">
                          <a:spLocks noChangeArrowheads="1"/>
                        </wps:cNvSpPr>
                        <wps:spPr bwMode="auto">
                          <a:xfrm>
                            <a:off x="7303" y="12243"/>
                            <a:ext cx="235" cy="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7C9" w:rsidRPr="00E61B5D" w:rsidRDefault="00B247C9" w:rsidP="00BE5A5D">
                              <w:pPr>
                                <w:rPr>
                                  <w:rFonts w:ascii="Palatino Linotype" w:hAnsi="Palatino Linotype"/>
                                  <w:b/>
                                  <w:bCs/>
                                  <w:sz w:val="24"/>
                                  <w:szCs w:val="24"/>
                                </w:rPr>
                              </w:pPr>
                              <w:r w:rsidRPr="00E61B5D">
                                <w:rPr>
                                  <w:rFonts w:ascii="Palatino Linotype" w:hAnsi="Palatino Linotype"/>
                                  <w:b/>
                                  <w:bCs/>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3" o:spid="_x0000_s1421" style="position:absolute;margin-left:-28.3pt;margin-top:28.8pt;width:547.15pt;height:287.8pt;z-index:251787264;mso-position-horizontal-relative:text;mso-position-vertical-relative:text" coordorigin="1275,8730" coordsize="8895,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">
                <v:rect id="AutoShape 814" o:spid="_x0000_s1422" style="position:absolute;left:1275;top:8730;width:8895;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S8AA&#10;AADbAAAADwAAAGRycy9kb3ducmV2LnhtbERPz2vCMBS+C/sfwhO8aerQMaqxdENhJ2FuML09mmdS&#10;2ryUJtruvzeHwY4f3+9tMbpW3KkPtWcFy0UGgrjyumaj4PvrMH8FESKyxtYzKfilAMXuabLFXPuB&#10;P+l+ikakEA45KrAxdrmUobLkMCx8R5y4q+8dxgR7I3WPQwp3rXzOshfpsObUYLGjd0tVc7o5Bfvu&#10;cizXJsjyJ9pz49+Ggz0apWbTsdyAiDTGf/Gf+0MrWKW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aS8AAAADbAAAADwAAAAAAAAAAAAAAAACYAgAAZHJzL2Rvd25y&#10;ZXYueG1sUEsFBgAAAAAEAAQA9QAAAIUDAAAAAA==&#10;" filled="f">
                  <o:lock v:ext="edit" aspectratio="t"/>
                  <v:textbox>
                    <w:txbxContent>
                      <w:p w:rsidR="00B247C9" w:rsidRPr="00E61B5D" w:rsidRDefault="00B247C9"/>
                    </w:txbxContent>
                  </v:textbox>
                </v:rect>
                <v:shape id="Text Box 815" o:spid="_x0000_s1423" type="#_x0000_t202" style="position:absolute;left:2313;top:9112;width:1655;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B247C9" w:rsidRPr="00E61B5D" w:rsidRDefault="00B247C9" w:rsidP="00BE5A5D">
                        <w:pPr>
                          <w:jc w:val="center"/>
                          <w:rPr>
                            <w:b/>
                            <w:sz w:val="28"/>
                            <w:szCs w:val="28"/>
                          </w:rPr>
                        </w:pPr>
                        <w:r w:rsidRPr="00E61B5D">
                          <w:rPr>
                            <w:b/>
                            <w:sz w:val="28"/>
                            <w:szCs w:val="28"/>
                          </w:rPr>
                          <w:t>TDF</w:t>
                        </w:r>
                      </w:p>
                      <w:p w:rsidR="00B247C9" w:rsidRDefault="00B247C9" w:rsidP="00BE5A5D">
                        <w:pPr>
                          <w:jc w:val="center"/>
                          <w:rPr>
                            <w:sz w:val="20"/>
                            <w:szCs w:val="20"/>
                          </w:rPr>
                        </w:pPr>
                      </w:p>
                    </w:txbxContent>
                  </v:textbox>
                </v:shape>
                <v:shape id="Text Box 816" o:spid="_x0000_s1424" type="#_x0000_t202" style="position:absolute;left:4733;top:9161;width:165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B247C9" w:rsidRPr="00E61B5D" w:rsidRDefault="00B247C9" w:rsidP="00BE5A5D">
                        <w:pPr>
                          <w:jc w:val="center"/>
                          <w:rPr>
                            <w:b/>
                            <w:sz w:val="28"/>
                            <w:szCs w:val="28"/>
                          </w:rPr>
                        </w:pPr>
                        <w:r w:rsidRPr="00E61B5D">
                          <w:rPr>
                            <w:b/>
                            <w:sz w:val="28"/>
                            <w:szCs w:val="28"/>
                          </w:rPr>
                          <w:t>3TC</w:t>
                        </w:r>
                      </w:p>
                    </w:txbxContent>
                  </v:textbox>
                </v:shape>
                <v:shape id="Text Box 817" o:spid="_x0000_s1425" type="#_x0000_t202" style="position:absolute;left:7565;top:9082;width:1421;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B247C9" w:rsidRPr="00E61B5D" w:rsidRDefault="00B247C9" w:rsidP="00BE5A5D">
                        <w:pPr>
                          <w:jc w:val="center"/>
                          <w:rPr>
                            <w:b/>
                            <w:sz w:val="28"/>
                            <w:szCs w:val="28"/>
                          </w:rPr>
                        </w:pPr>
                        <w:r w:rsidRPr="00E61B5D">
                          <w:rPr>
                            <w:b/>
                            <w:sz w:val="28"/>
                            <w:szCs w:val="28"/>
                          </w:rPr>
                          <w:t>EFV</w:t>
                        </w:r>
                      </w:p>
                    </w:txbxContent>
                  </v:textbox>
                </v:shape>
                <v:shape id="Text Box 818" o:spid="_x0000_s1426" type="#_x0000_t202" style="position:absolute;left:1913;top:12201;width:2271;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B247C9" w:rsidRDefault="00B247C9" w:rsidP="00BE5A5D">
                        <w:pPr>
                          <w:jc w:val="center"/>
                        </w:pPr>
                        <w:r w:rsidRPr="00E61B5D">
                          <w:rPr>
                            <w:b/>
                            <w:sz w:val="28"/>
                            <w:szCs w:val="28"/>
                          </w:rPr>
                          <w:t>AZT</w:t>
                        </w:r>
                      </w:p>
                    </w:txbxContent>
                  </v:textbox>
                </v:shape>
                <v:shape id="Text Box 819" o:spid="_x0000_s1427" type="#_x0000_t202" style="position:absolute;left:4946;top:12217;width:2215;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B247C9" w:rsidRPr="00E61B5D" w:rsidRDefault="00B247C9" w:rsidP="00BE5A5D">
                        <w:pPr>
                          <w:jc w:val="center"/>
                          <w:rPr>
                            <w:b/>
                            <w:sz w:val="28"/>
                            <w:szCs w:val="28"/>
                          </w:rPr>
                        </w:pPr>
                        <w:r w:rsidRPr="00E61B5D">
                          <w:rPr>
                            <w:b/>
                            <w:sz w:val="28"/>
                            <w:szCs w:val="28"/>
                          </w:rPr>
                          <w:t>3TC or FTC</w:t>
                        </w:r>
                      </w:p>
                      <w:p w:rsidR="00B247C9" w:rsidRDefault="00B247C9" w:rsidP="00BE5A5D"/>
                    </w:txbxContent>
                  </v:textbox>
                </v:shape>
                <v:shape id="Text Box 820" o:spid="_x0000_s1428" type="#_x0000_t202" style="position:absolute;left:7797;top:12217;width:1257;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u6sEA&#10;AADbAAAADwAAAGRycy9kb3ducmV2LnhtbESPQYvCMBSE74L/IbwFb5qu7op0TYsKguxttRdvj+bZ&#10;lm1eShJt/fdGEDwOM/MNs84H04obOd9YVvA5S0AQl1Y3XCkoTvvpCoQPyBpby6TgTh7ybDxaY6pt&#10;z390O4ZKRAj7FBXUIXSplL6syaCf2Y44ehfrDIYoXSW1wz7CTSvnSbKUBhuOCzV2tKup/D9ejYLD&#10;chvOVOhfvZgvbF/I0l1ar9TkY9j8gAg0hHf41T5oBd9f8PwSf4D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WburBAAAA2wAAAA8AAAAAAAAAAAAAAAAAmAIAAGRycy9kb3du&#10;cmV2LnhtbFBLBQYAAAAABAAEAPUAAACGAwAAAAA=&#10;" strokeweight=".5pt">
                  <v:textbox>
                    <w:txbxContent>
                      <w:p w:rsidR="00B247C9" w:rsidRPr="0090211B" w:rsidRDefault="00B247C9" w:rsidP="00BE5A5D">
                        <w:pPr>
                          <w:jc w:val="center"/>
                          <w:rPr>
                            <w:b/>
                          </w:rPr>
                        </w:pPr>
                        <w:r w:rsidRPr="00E61B5D">
                          <w:rPr>
                            <w:b/>
                            <w:sz w:val="28"/>
                            <w:szCs w:val="28"/>
                          </w:rPr>
                          <w:t>NVP</w:t>
                        </w:r>
                      </w:p>
                    </w:txbxContent>
                  </v:textbox>
                </v:shape>
                <v:line id="Line 821" o:spid="_x0000_s1429" style="position:absolute;flip:y;visibility:visible;mso-wrap-style:square" from="3456,9822" to="3456,12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9bNMMAAADbAAAADwAAAGRycy9kb3ducmV2LnhtbESPT4vCMBTE7wt+h/AEb2vqiqLVKOIi&#10;eHBl/Xd/Ns+22rzUJmr99htB2OMwM79hxtPaFOJOlcstK+i0IxDEidU5pwr2u8XnAITzyBoLy6Tg&#10;SQ6mk8bHGGNtH7yh+9anIkDYxagg876MpXRJRgZd25bEwTvZyqAPskqlrvAR4KaQX1HUlwZzDgsZ&#10;ljTPKLlsb0ZBcTz40zfJn8Xw2u3+rm7PwfqcK9Vq1rMRCE+1/w+/20utoNeD15fwA+T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vWzTDAAAA2wAAAA8AAAAAAAAAAAAA&#10;AAAAoQIAAGRycy9kb3ducmV2LnhtbFBLBQYAAAAABAAEAPkAAACRAwAAAAA=&#10;" strokeweight="6pt">
                  <v:stroke endarrow="block"/>
                </v:line>
                <v:line id="Line 822" o:spid="_x0000_s1430" style="position:absolute;visibility:visible;mso-wrap-style:square" from="3065,9902" to="3065,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spMIAAADbAAAADwAAAGRycy9kb3ducmV2LnhtbESPQWvCQBSE74L/YXmCN91EUEp0FRFS&#10;eqhgo+j1kX1uotm3IbvV9N93hUKPw8x8w6w2vW3EgzpfO1aQThMQxKXTNRsFp2M+eQPhA7LGxjEp&#10;+CEPm/VwsMJMuyd/0aMIRkQI+wwVVCG0mZS+rMiin7qWOHpX11kMUXZG6g6fEW4bOUuShbRYc1yo&#10;sKVdReW9+LaRkhaX9/xAn3Ozv/acmnOS32ZKjUf9dgkiUB/+w3/tD61gvoDXl/gD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fspMIAAADbAAAADwAAAAAAAAAAAAAA&#10;AAChAgAAZHJzL2Rvd25yZXYueG1sUEsFBgAAAAAEAAQA+QAAAJADAAAAAA==&#10;" strokeweight="6pt">
                  <v:stroke endarrow="block"/>
                </v:line>
                <v:shape id="Text Box 823" o:spid="_x0000_s1431" type="#_x0000_t202" style="position:absolute;left:3617;top:10257;width:1381;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B247C9" w:rsidRPr="00E61B5D" w:rsidRDefault="00B247C9" w:rsidP="00BE5A5D">
                        <w:pPr>
                          <w:pBdr>
                            <w:top w:val="single" w:sz="4" w:space="1" w:color="auto"/>
                            <w:left w:val="single" w:sz="4" w:space="4" w:color="auto"/>
                            <w:bottom w:val="single" w:sz="4" w:space="1" w:color="auto"/>
                            <w:right w:val="single" w:sz="4" w:space="4" w:color="auto"/>
                          </w:pBdr>
                          <w:rPr>
                            <w:sz w:val="18"/>
                            <w:szCs w:val="18"/>
                          </w:rPr>
                        </w:pPr>
                        <w:r w:rsidRPr="00E61B5D">
                          <w:rPr>
                            <w:sz w:val="18"/>
                            <w:szCs w:val="18"/>
                          </w:rPr>
                          <w:t>Anaemia</w:t>
                        </w:r>
                      </w:p>
                    </w:txbxContent>
                  </v:textbox>
                </v:shape>
                <v:shape id="Text Box 824" o:spid="_x0000_s1432" type="#_x0000_t202" style="position:absolute;left:2014;top:10257;width:973;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B247C9" w:rsidRPr="00E61B5D" w:rsidRDefault="00B247C9" w:rsidP="00BE5A5D">
                        <w:pPr>
                          <w:pBdr>
                            <w:top w:val="single" w:sz="4" w:space="1" w:color="auto"/>
                            <w:left w:val="single" w:sz="4" w:space="4" w:color="auto"/>
                            <w:bottom w:val="single" w:sz="4" w:space="1" w:color="auto"/>
                            <w:right w:val="single" w:sz="4" w:space="4" w:color="auto"/>
                          </w:pBdr>
                          <w:rPr>
                            <w:sz w:val="18"/>
                            <w:szCs w:val="18"/>
                          </w:rPr>
                        </w:pPr>
                        <w:r w:rsidRPr="00E61B5D">
                          <w:rPr>
                            <w:sz w:val="18"/>
                            <w:szCs w:val="18"/>
                          </w:rPr>
                          <w:t>Nephrotoxicity</w:t>
                        </w:r>
                      </w:p>
                    </w:txbxContent>
                  </v:textbox>
                </v:shape>
                <v:line id="Line 825" o:spid="_x0000_s1433" style="position:absolute;visibility:visible;mso-wrap-style:square" from="8043,9727" to="8043,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41sMAAADbAAAADwAAAGRycy9kb3ducmV2LnhtbESPQWvCQBSE7wX/w/KE3uomgqVGVxEh&#10;0kMLbRS9PrLPTTT7NmRXTf99VxA8DjPzDTNf9rYRV+p87VhBOkpAEJdO12wU7Lb52wcIH5A1No5J&#10;wR95WC4GL3PMtLvxL12LYESEsM9QQRVCm0npy4os+pFriaN3dJ3FEGVnpO7wFuG2keMkeZcWa44L&#10;Fba0rqg8FxcbKWlx2OQ/9DUx38eeU7NP8tNYqddhv5qBCNSHZ/jR/tQKJlO4f4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YeNbDAAAA2wAAAA8AAAAAAAAAAAAA&#10;AAAAoQIAAGRycy9kb3ducmV2LnhtbFBLBQYAAAAABAAEAPkAAACRAwAAAAA=&#10;" strokeweight="6pt">
                  <v:stroke endarrow="block"/>
                </v:line>
                <v:line id="Line 826" o:spid="_x0000_s1434" style="position:absolute;flip:y;visibility:visible;mso-wrap-style:square" from="8732,9727" to="8732,1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yEcEAAADbAAAADwAAAGRycy9kb3ducmV2LnhtbERPy2rCQBTdC/2H4QrudKKCaJpRSiXg&#10;wha17f42c/NoM3diZozx752F4PJw3smmN7XoqHWVZQXTSQSCOLO64kLB91c6XoJwHlljbZkU3MjB&#10;Zv0ySDDW9spH6k6+ECGEXYwKSu+bWEqXlWTQTWxDHLjctgZ9gG0hdYvXEG5qOYuihTRYcWgosaH3&#10;krL/08UoqH9/fL4l+ZGuzvP5YX+5LT//KqVGw/7tFYSn3j/FD/dOK1iE9eFL+AF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9DIRwQAAANsAAAAPAAAAAAAAAAAAAAAA&#10;AKECAABkcnMvZG93bnJldi54bWxQSwUGAAAAAAQABAD5AAAAjwMAAAAA&#10;" strokeweight="6pt">
                  <v:stroke endarrow="block"/>
                </v:line>
                <v:shape id="Text Box 827" o:spid="_x0000_s1435" type="#_x0000_t202" style="position:absolute;left:4148;top:9193;width:54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B247C9" w:rsidRPr="00E61B5D" w:rsidRDefault="00B247C9" w:rsidP="00BE5A5D">
                        <w:pPr>
                          <w:rPr>
                            <w:b/>
                            <w:bCs/>
                          </w:rPr>
                        </w:pPr>
                        <w:r w:rsidRPr="00E61B5D">
                          <w:rPr>
                            <w:b/>
                            <w:bCs/>
                          </w:rPr>
                          <w:t>+</w:t>
                        </w:r>
                      </w:p>
                    </w:txbxContent>
                  </v:textbox>
                </v:shape>
                <v:shape id="Text Box 828" o:spid="_x0000_s1436" type="#_x0000_t202" style="position:absolute;left:6751;top:9192;width:472;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B247C9" w:rsidRPr="00E61B5D" w:rsidRDefault="00B247C9" w:rsidP="00BE5A5D">
                        <w:pPr>
                          <w:rPr>
                            <w:b/>
                            <w:bCs/>
                          </w:rPr>
                        </w:pPr>
                        <w:r w:rsidRPr="00E61B5D">
                          <w:rPr>
                            <w:b/>
                            <w:bCs/>
                          </w:rPr>
                          <w:t>+</w:t>
                        </w:r>
                      </w:p>
                    </w:txbxContent>
                  </v:textbox>
                </v:shape>
                <v:shape id="Text Box 829" o:spid="_x0000_s1437" type="#_x0000_t202" style="position:absolute;left:4369;top:12255;width:47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B247C9" w:rsidRPr="00E61B5D" w:rsidRDefault="00B247C9" w:rsidP="00BE5A5D">
                        <w:pPr>
                          <w:rPr>
                            <w:b/>
                            <w:bCs/>
                          </w:rPr>
                        </w:pPr>
                        <w:r w:rsidRPr="00E61B5D">
                          <w:rPr>
                            <w:b/>
                            <w:bCs/>
                          </w:rPr>
                          <w:t>+</w:t>
                        </w:r>
                      </w:p>
                    </w:txbxContent>
                  </v:textbox>
                </v:shape>
                <v:shape id="Text Box 830" o:spid="_x0000_s1438" type="#_x0000_t202" style="position:absolute;left:7303;top:12243;width:235;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x18MA&#10;AADcAAAADwAAAGRycy9kb3ducmV2LnhtbESP0YrCMBRE34X9h3CFfZE13UVb7RrFXVB8VfsB1+ba&#10;Fpub0kRb/94Igo/DzJxhFqve1OJGrassK/geRyCIc6srLhRkx83XDITzyBpry6TgTg5Wy4/BAlNt&#10;O97T7eALESDsUlRQet+kUrq8JINubBvi4J1ta9AH2RZSt9gFuKnlTxTF0mDFYaHEhv5Lyi+Hq1Fw&#10;3nWj6bw7bX2W7CfxH1bJyd6V+hz2618Qnnr/Dr/aO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x18MAAADcAAAADwAAAAAAAAAAAAAAAACYAgAAZHJzL2Rv&#10;d25yZXYueG1sUEsFBgAAAAAEAAQA9QAAAIgDAAAAAA==&#10;" stroked="f">
                  <v:textbox>
                    <w:txbxContent>
                      <w:p w:rsidR="00B247C9" w:rsidRPr="00E61B5D" w:rsidRDefault="00B247C9" w:rsidP="00BE5A5D">
                        <w:pPr>
                          <w:rPr>
                            <w:rFonts w:ascii="Palatino Linotype" w:hAnsi="Palatino Linotype"/>
                            <w:b/>
                            <w:bCs/>
                            <w:sz w:val="24"/>
                            <w:szCs w:val="24"/>
                          </w:rPr>
                        </w:pPr>
                        <w:r w:rsidRPr="00E61B5D">
                          <w:rPr>
                            <w:rFonts w:ascii="Palatino Linotype" w:hAnsi="Palatino Linotype"/>
                            <w:b/>
                            <w:bCs/>
                            <w:sz w:val="24"/>
                            <w:szCs w:val="24"/>
                          </w:rPr>
                          <w:t>+</w:t>
                        </w:r>
                      </w:p>
                    </w:txbxContent>
                  </v:textbox>
                </v:shape>
              </v:group>
            </w:pict>
          </mc:Fallback>
        </mc:AlternateContent>
      </w:r>
    </w:p>
    <w:p w:rsidR="0060461B" w:rsidRPr="000B26AE" w:rsidRDefault="0060461B" w:rsidP="00BE5A5D">
      <w:pPr>
        <w:rPr>
          <w:rFonts w:ascii="Arial Narrow" w:hAnsi="Arial Narrow"/>
          <w:sz w:val="24"/>
          <w:szCs w:val="24"/>
        </w:rPr>
      </w:pPr>
    </w:p>
    <w:p w:rsidR="0060461B" w:rsidRPr="000B26AE" w:rsidRDefault="0060461B" w:rsidP="00BE5A5D">
      <w:pPr>
        <w:rPr>
          <w:rFonts w:ascii="Arial Narrow" w:hAnsi="Arial Narrow"/>
          <w:sz w:val="24"/>
          <w:szCs w:val="24"/>
        </w:rPr>
      </w:pPr>
    </w:p>
    <w:p w:rsidR="0060461B" w:rsidRPr="000B26AE" w:rsidRDefault="0060461B" w:rsidP="00BE5A5D">
      <w:pPr>
        <w:rPr>
          <w:rFonts w:ascii="Arial Narrow" w:hAnsi="Arial Narrow"/>
          <w:sz w:val="24"/>
          <w:szCs w:val="24"/>
        </w:rPr>
      </w:pPr>
    </w:p>
    <w:p w:rsidR="0060461B" w:rsidRPr="000B26AE" w:rsidRDefault="00AA771C" w:rsidP="00BE5A5D">
      <w:pP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815936" behindDoc="0" locked="0" layoutInCell="1" allowOverlap="1">
                <wp:simplePos x="0" y="0"/>
                <wp:positionH relativeFrom="column">
                  <wp:posOffset>5617210</wp:posOffset>
                </wp:positionH>
                <wp:positionV relativeFrom="paragraph">
                  <wp:posOffset>226695</wp:posOffset>
                </wp:positionV>
                <wp:extent cx="805180" cy="778510"/>
                <wp:effectExtent l="0" t="0" r="0" b="4445"/>
                <wp:wrapNone/>
                <wp:docPr id="46"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778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7C9" w:rsidRPr="00E61B5D" w:rsidRDefault="00B247C9" w:rsidP="00BE5A5D">
                            <w:pPr>
                              <w:pBdr>
                                <w:top w:val="single" w:sz="4" w:space="1" w:color="auto"/>
                                <w:left w:val="single" w:sz="4" w:space="4" w:color="auto"/>
                                <w:bottom w:val="single" w:sz="4" w:space="1" w:color="auto"/>
                                <w:right w:val="single" w:sz="4" w:space="4" w:color="auto"/>
                              </w:pBdr>
                              <w:rPr>
                                <w:sz w:val="18"/>
                                <w:szCs w:val="18"/>
                              </w:rPr>
                            </w:pPr>
                            <w:r w:rsidRPr="00E61B5D">
                              <w:rPr>
                                <w:sz w:val="18"/>
                                <w:szCs w:val="18"/>
                              </w:rPr>
                              <w:t xml:space="preserve">NVP Intolerance, Severe skin rash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8" o:spid="_x0000_s1439" type="#_x0000_t202" style="position:absolute;margin-left:442.3pt;margin-top:17.85pt;width:63.4pt;height:61.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" stroked="f">
                <v:textbox>
                  <w:txbxContent>
                    <w:p w:rsidR="00B247C9" w:rsidRPr="00E61B5D" w:rsidRDefault="00B247C9" w:rsidP="00BE5A5D">
                      <w:pPr>
                        <w:pBdr>
                          <w:top w:val="single" w:sz="4" w:space="1" w:color="auto"/>
                          <w:left w:val="single" w:sz="4" w:space="4" w:color="auto"/>
                          <w:bottom w:val="single" w:sz="4" w:space="1" w:color="auto"/>
                          <w:right w:val="single" w:sz="4" w:space="4" w:color="auto"/>
                        </w:pBdr>
                        <w:rPr>
                          <w:sz w:val="18"/>
                          <w:szCs w:val="18"/>
                        </w:rPr>
                      </w:pPr>
                      <w:r w:rsidRPr="00E61B5D">
                        <w:rPr>
                          <w:sz w:val="18"/>
                          <w:szCs w:val="18"/>
                        </w:rPr>
                        <w:t xml:space="preserve">NVP Intolerance, Severe skin rash  </w:t>
                      </w:r>
                    </w:p>
                  </w:txbxContent>
                </v:textbox>
              </v:shape>
            </w:pict>
          </mc:Fallback>
        </mc:AlternateContent>
      </w:r>
      <w:r>
        <w:rPr>
          <w:rFonts w:ascii="Arial Narrow" w:hAnsi="Arial Narrow"/>
          <w:noProof/>
          <w:sz w:val="24"/>
          <w:szCs w:val="24"/>
        </w:rPr>
        <mc:AlternateContent>
          <mc:Choice Requires="wps">
            <w:drawing>
              <wp:anchor distT="0" distB="0" distL="114300" distR="114300" simplePos="0" relativeHeight="251814912" behindDoc="0" locked="0" layoutInCell="1" allowOverlap="1">
                <wp:simplePos x="0" y="0"/>
                <wp:positionH relativeFrom="column">
                  <wp:posOffset>3709670</wp:posOffset>
                </wp:positionH>
                <wp:positionV relativeFrom="paragraph">
                  <wp:posOffset>99695</wp:posOffset>
                </wp:positionV>
                <wp:extent cx="1033145" cy="989965"/>
                <wp:effectExtent l="4445" t="4445" r="635" b="0"/>
                <wp:wrapNone/>
                <wp:docPr id="45"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989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47C9" w:rsidRPr="00E61B5D" w:rsidRDefault="00B247C9" w:rsidP="00BE5A5D">
                            <w:pPr>
                              <w:pBdr>
                                <w:top w:val="single" w:sz="4" w:space="1" w:color="auto"/>
                                <w:left w:val="single" w:sz="4" w:space="4" w:color="auto"/>
                                <w:bottom w:val="single" w:sz="4" w:space="1" w:color="auto"/>
                                <w:right w:val="single" w:sz="4" w:space="4" w:color="auto"/>
                              </w:pBdr>
                              <w:rPr>
                                <w:sz w:val="18"/>
                                <w:szCs w:val="18"/>
                              </w:rPr>
                            </w:pPr>
                            <w:r w:rsidRPr="00E61B5D">
                              <w:rPr>
                                <w:sz w:val="18"/>
                                <w:szCs w:val="18"/>
                              </w:rPr>
                              <w:t xml:space="preserve">Severe persistent CNS toxicity, hypersensitivity reaction, male gynaecomastia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7" o:spid="_x0000_s1440" type="#_x0000_t202" style="position:absolute;margin-left:292.1pt;margin-top:7.85pt;width:81.35pt;height:77.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" stroked="f">
                <v:textbox>
                  <w:txbxContent>
                    <w:p w:rsidR="00B247C9" w:rsidRPr="00E61B5D" w:rsidRDefault="00B247C9" w:rsidP="00BE5A5D">
                      <w:pPr>
                        <w:pBdr>
                          <w:top w:val="single" w:sz="4" w:space="1" w:color="auto"/>
                          <w:left w:val="single" w:sz="4" w:space="4" w:color="auto"/>
                          <w:bottom w:val="single" w:sz="4" w:space="1" w:color="auto"/>
                          <w:right w:val="single" w:sz="4" w:space="4" w:color="auto"/>
                        </w:pBdr>
                        <w:rPr>
                          <w:sz w:val="18"/>
                          <w:szCs w:val="18"/>
                        </w:rPr>
                      </w:pPr>
                      <w:r w:rsidRPr="00E61B5D">
                        <w:rPr>
                          <w:sz w:val="18"/>
                          <w:szCs w:val="18"/>
                        </w:rPr>
                        <w:t xml:space="preserve">Severe persistent CNS toxicity, hypersensitivity reaction, male gynaecomastia  </w:t>
                      </w:r>
                    </w:p>
                  </w:txbxContent>
                </v:textbox>
              </v:shape>
            </w:pict>
          </mc:Fallback>
        </mc:AlternateContent>
      </w:r>
    </w:p>
    <w:p w:rsidR="0060461B" w:rsidRPr="000B26AE" w:rsidRDefault="0060461B" w:rsidP="00BE5A5D">
      <w:pPr>
        <w:rPr>
          <w:rFonts w:ascii="Arial Narrow" w:hAnsi="Arial Narrow"/>
          <w:sz w:val="24"/>
          <w:szCs w:val="24"/>
        </w:rPr>
      </w:pPr>
    </w:p>
    <w:p w:rsidR="0060461B" w:rsidRPr="000B26AE" w:rsidRDefault="0060461B" w:rsidP="00BE5A5D">
      <w:pPr>
        <w:rPr>
          <w:rFonts w:ascii="Arial Narrow" w:hAnsi="Arial Narrow"/>
          <w:sz w:val="24"/>
          <w:szCs w:val="24"/>
        </w:rPr>
      </w:pPr>
    </w:p>
    <w:p w:rsidR="0060461B" w:rsidRPr="000B26AE" w:rsidRDefault="0060461B" w:rsidP="00BE5A5D">
      <w:pPr>
        <w:rPr>
          <w:rFonts w:ascii="Arial Narrow" w:hAnsi="Arial Narrow"/>
          <w:sz w:val="24"/>
          <w:szCs w:val="24"/>
        </w:rPr>
      </w:pPr>
    </w:p>
    <w:p w:rsidR="0060461B" w:rsidRPr="000B26AE" w:rsidRDefault="0060461B" w:rsidP="00BE5A5D">
      <w:pPr>
        <w:rPr>
          <w:rFonts w:ascii="Arial Narrow" w:hAnsi="Arial Narrow"/>
          <w:sz w:val="24"/>
          <w:szCs w:val="24"/>
        </w:rPr>
      </w:pPr>
    </w:p>
    <w:p w:rsidR="0060461B" w:rsidRPr="000B26AE" w:rsidRDefault="0060461B" w:rsidP="00BE5A5D">
      <w:pPr>
        <w:rPr>
          <w:rFonts w:ascii="Arial Narrow" w:hAnsi="Arial Narrow"/>
          <w:sz w:val="24"/>
          <w:szCs w:val="24"/>
        </w:rPr>
      </w:pPr>
    </w:p>
    <w:p w:rsidR="0060461B" w:rsidRPr="000B26AE" w:rsidRDefault="0060461B" w:rsidP="00BE5A5D">
      <w:pPr>
        <w:rPr>
          <w:rFonts w:ascii="Arial Narrow" w:hAnsi="Arial Narrow"/>
          <w:sz w:val="24"/>
          <w:szCs w:val="24"/>
        </w:rPr>
      </w:pPr>
    </w:p>
    <w:p w:rsidR="0060461B" w:rsidRPr="000B26AE" w:rsidRDefault="0060461B" w:rsidP="00BE5A5D">
      <w:pPr>
        <w:rPr>
          <w:rFonts w:ascii="Arial Narrow" w:hAnsi="Arial Narrow"/>
          <w:sz w:val="24"/>
          <w:szCs w:val="24"/>
        </w:rPr>
      </w:pPr>
    </w:p>
    <w:p w:rsidR="0060461B" w:rsidRDefault="0060461B" w:rsidP="00BE5A5D"/>
    <w:p w:rsidR="0060461B" w:rsidRPr="00785003" w:rsidRDefault="0060461B" w:rsidP="00BE5A5D">
      <w:pPr>
        <w:pStyle w:val="Heading4"/>
      </w:pPr>
      <w:r w:rsidRPr="00785003">
        <w:t>9.5.1.1 Severity of adverse events due to ARVs</w:t>
      </w:r>
    </w:p>
    <w:p w:rsidR="0060461B" w:rsidRPr="00817F1A" w:rsidRDefault="0060461B" w:rsidP="00BE5A5D">
      <w:pPr>
        <w:jc w:val="both"/>
        <w:rPr>
          <w:rFonts w:ascii="Arial" w:hAnsi="Arial" w:cs="Arial"/>
        </w:rPr>
      </w:pPr>
      <w:r w:rsidRPr="00817F1A">
        <w:rPr>
          <w:rFonts w:ascii="Arial" w:hAnsi="Arial" w:cs="Arial"/>
        </w:rPr>
        <w:t xml:space="preserve">All adverse events shall be recorded in the adverse effects </w:t>
      </w:r>
      <w:r w:rsidR="00B247C9" w:rsidRPr="00B247C9">
        <w:rPr>
          <w:rFonts w:ascii="Arial" w:hAnsi="Arial" w:cs="Arial"/>
        </w:rPr>
        <w:t>forms</w:t>
      </w:r>
      <w:r w:rsidRPr="00B247C9">
        <w:rPr>
          <w:rFonts w:ascii="Arial" w:hAnsi="Arial" w:cs="Arial"/>
        </w:rPr>
        <w:t>.</w:t>
      </w:r>
      <w:r w:rsidRPr="00817F1A">
        <w:rPr>
          <w:rFonts w:ascii="Arial" w:hAnsi="Arial" w:cs="Arial"/>
        </w:rPr>
        <w:t xml:space="preserve"> Side effects or toxicities caused by ARVs can be classified into three broad categories: </w:t>
      </w:r>
    </w:p>
    <w:p w:rsidR="0060461B" w:rsidRPr="00AD1BF6" w:rsidRDefault="0060461B" w:rsidP="00BE5A5D">
      <w:pPr>
        <w:jc w:val="both"/>
        <w:rPr>
          <w:rFonts w:ascii="Arial" w:hAnsi="Arial" w:cs="Arial"/>
        </w:rPr>
      </w:pPr>
      <w:r w:rsidRPr="00AD1BF6">
        <w:rPr>
          <w:rFonts w:ascii="Arial" w:hAnsi="Arial" w:cs="Arial"/>
        </w:rPr>
        <w:t xml:space="preserve">First category: Symptoms are mild and transient and often require patient assurance that these symptoms are common and will decrease over time. These can be mild headaches, mild gastric upset, nausea, fatigue and the CNS disturbances particularly with EFV. ARV interruption is rarely indicated in this situation. </w:t>
      </w:r>
    </w:p>
    <w:p w:rsidR="0060461B" w:rsidRPr="00AD1BF6" w:rsidRDefault="0060461B" w:rsidP="00BE5A5D">
      <w:pPr>
        <w:jc w:val="both"/>
        <w:rPr>
          <w:rFonts w:ascii="Arial" w:hAnsi="Arial" w:cs="Arial"/>
        </w:rPr>
      </w:pPr>
      <w:r w:rsidRPr="00AD1BF6">
        <w:rPr>
          <w:rFonts w:ascii="Arial" w:hAnsi="Arial" w:cs="Arial"/>
        </w:rPr>
        <w:t>Second category: Symptoms are somewhat more severe and often respond to some medical intervention. They include more severe gastric upset with nausea and vomiting, more severe headaches and mild peripheral neuropathy that does not incapacitate or interfere with a patient’s lifestyle. These symptoms can often be successfully treated with anti-emetics, anti-diarrhoea medicines, analgesics, neuroleptics (e.g. Amitriptylin) and other medicines. ARV interruption is usually not indicated in this situation and often symptomatic treatment is only temporary. The mild rash associated with NVP (dealt with under a separate paragraph below) can often be treated with medical intervention.</w:t>
      </w:r>
    </w:p>
    <w:p w:rsidR="0060461B" w:rsidRPr="00AD1BF6" w:rsidRDefault="0060461B" w:rsidP="00BE5A5D">
      <w:pPr>
        <w:jc w:val="both"/>
        <w:rPr>
          <w:rFonts w:ascii="Arial" w:hAnsi="Arial" w:cs="Arial"/>
        </w:rPr>
      </w:pPr>
      <w:r w:rsidRPr="00AD1BF6">
        <w:rPr>
          <w:rFonts w:ascii="Arial" w:hAnsi="Arial" w:cs="Arial"/>
        </w:rPr>
        <w:t xml:space="preserve">Third category: Symptoms are severe such that ARV drugs must be stopped and replaced by an alternative drug. These include anaemia (haemoglobin &lt; 7.5 gm/dl or a falling haemoglobin, that often drops by 2 gm/dl) as can occur with the use of AZT. Severe symptoms noted in the first two categories can sometimes lead to the stopping of ARV due to severe toxicities such as nausea with severe discomfort and minimal intake for 3 or more days, vomiting all intake in 24 hours or dehydration due to vomiting, severe headache not responsive to non-narcotic analgesics, or fatigue reducing activity by more than 50%. In these situations, one or more ARVs should be replaced by another. </w:t>
      </w:r>
    </w:p>
    <w:p w:rsidR="0060461B" w:rsidRPr="00817F1A" w:rsidRDefault="0060461B" w:rsidP="00BE5A5D">
      <w:pPr>
        <w:jc w:val="both"/>
        <w:rPr>
          <w:rFonts w:ascii="Arial" w:hAnsi="Arial" w:cs="Arial"/>
        </w:rPr>
      </w:pPr>
      <w:r w:rsidRPr="00817F1A">
        <w:rPr>
          <w:rFonts w:ascii="Arial" w:hAnsi="Arial" w:cs="Arial"/>
        </w:rPr>
        <w:t>This also includes the hypersensitivity reaction to NVP which can include a severe rash or liver function test (LFT) elevations to grade III or &gt;5 times the upper limit of normal range.</w:t>
      </w:r>
    </w:p>
    <w:p w:rsidR="0060461B" w:rsidRPr="00785003" w:rsidRDefault="0060461B" w:rsidP="00BE5A5D">
      <w:pPr>
        <w:pStyle w:val="Heading4"/>
      </w:pPr>
      <w:r w:rsidRPr="00785003">
        <w:t>9.5.1.2 NVP hypersensitivity reactions</w:t>
      </w:r>
    </w:p>
    <w:p w:rsidR="0060461B" w:rsidRPr="00817F1A" w:rsidRDefault="0060461B" w:rsidP="00BE5A5D">
      <w:pPr>
        <w:jc w:val="both"/>
        <w:rPr>
          <w:rFonts w:ascii="Arial" w:hAnsi="Arial" w:cs="Arial"/>
        </w:rPr>
      </w:pPr>
      <w:r w:rsidRPr="00817F1A">
        <w:rPr>
          <w:rFonts w:ascii="Arial" w:hAnsi="Arial" w:cs="Arial"/>
        </w:rPr>
        <w:t xml:space="preserve">NVP hypersensitivity reactions can manifest as a rash and/or elevated LFTs. The rash can occur in up to 20 % of patients and usually occurs in the first 6-8 weeks of therapy. NVP will be initiated at a lower dose for the first 2 weeks when only one NVP dose is given per day for 14 days. If there are no clinical signs or symptoms of a NVP hypersensitivity or allergy, the LFT (ALAT) will be checked and the NVP dose will be escalated to 2 doses per day starting at the second week. </w:t>
      </w:r>
    </w:p>
    <w:p w:rsidR="0060461B" w:rsidRPr="00817F1A" w:rsidRDefault="0060461B" w:rsidP="00BE5A5D">
      <w:pPr>
        <w:jc w:val="both"/>
        <w:rPr>
          <w:rFonts w:ascii="Arial" w:hAnsi="Arial" w:cs="Arial"/>
        </w:rPr>
      </w:pPr>
      <w:r w:rsidRPr="00817F1A">
        <w:rPr>
          <w:rFonts w:ascii="Arial" w:hAnsi="Arial" w:cs="Arial"/>
        </w:rPr>
        <w:t xml:space="preserve">There are commonly two levels of severity in NVP-induced rashes. </w:t>
      </w:r>
    </w:p>
    <w:p w:rsidR="0060461B" w:rsidRPr="00817F1A" w:rsidRDefault="0060461B" w:rsidP="00BE5A5D">
      <w:pPr>
        <w:jc w:val="both"/>
        <w:rPr>
          <w:rFonts w:ascii="Arial" w:hAnsi="Arial" w:cs="Arial"/>
          <w:i/>
        </w:rPr>
      </w:pPr>
      <w:r w:rsidRPr="000B26AE">
        <w:rPr>
          <w:rFonts w:ascii="Arial Narrow" w:hAnsi="Arial Narrow"/>
          <w:i/>
          <w:sz w:val="24"/>
          <w:szCs w:val="24"/>
        </w:rPr>
        <w:t>i)</w:t>
      </w:r>
      <w:r w:rsidRPr="000B26AE">
        <w:rPr>
          <w:rFonts w:ascii="Arial Narrow" w:hAnsi="Arial Narrow"/>
          <w:i/>
          <w:sz w:val="24"/>
          <w:szCs w:val="24"/>
        </w:rPr>
        <w:tab/>
      </w:r>
      <w:r w:rsidRPr="00817F1A">
        <w:rPr>
          <w:rFonts w:ascii="Arial" w:hAnsi="Arial" w:cs="Arial"/>
          <w:i/>
        </w:rPr>
        <w:t>Mild NVP hypersensitivity reaction</w:t>
      </w:r>
    </w:p>
    <w:p w:rsidR="0060461B" w:rsidRPr="00817F1A" w:rsidRDefault="0060461B" w:rsidP="00BE5A5D">
      <w:pPr>
        <w:jc w:val="both"/>
        <w:rPr>
          <w:rFonts w:ascii="Arial" w:hAnsi="Arial" w:cs="Arial"/>
        </w:rPr>
      </w:pPr>
      <w:r w:rsidRPr="00817F1A">
        <w:rPr>
          <w:rFonts w:ascii="Arial" w:hAnsi="Arial" w:cs="Arial"/>
        </w:rPr>
        <w:t>A mild rash is defined as erythema, urticaria, intact skin, no blistering or sloughing of skin or desquamation, no involvement of mucous membranes, no angioedema, and no systemic signs (body aches, arthralgias, myalgias, fevers, lymphadenopathy or significantly elevated LFTs). If a mild drug-reaction type rash occurs, patients will continue treatment with caution and careful monitoring. LFTs that are less than grade III (&lt;5 times the upper limit of normal) can usually be followed until it is resolved. This rash will be treated with patient assurance, antihistamines and close follow up until resolved. NVP dose escalation will be delayed for up to one week until symptoms disappear. If symptoms worsen, this may indicate that the patient has severe hypersensitivity reaction and NVP will have to be stopped immediately and other medical interventions considered.</w:t>
      </w:r>
    </w:p>
    <w:p w:rsidR="0060461B" w:rsidRPr="00817F1A" w:rsidRDefault="0060461B" w:rsidP="00BE5A5D">
      <w:pPr>
        <w:jc w:val="both"/>
        <w:rPr>
          <w:rFonts w:ascii="Arial" w:hAnsi="Arial" w:cs="Arial"/>
          <w:i/>
        </w:rPr>
      </w:pPr>
      <w:r w:rsidRPr="00817F1A">
        <w:rPr>
          <w:rFonts w:ascii="Arial" w:hAnsi="Arial" w:cs="Arial"/>
          <w:i/>
        </w:rPr>
        <w:t>ii)</w:t>
      </w:r>
      <w:r w:rsidRPr="00817F1A">
        <w:rPr>
          <w:rFonts w:ascii="Arial" w:hAnsi="Arial" w:cs="Arial"/>
          <w:i/>
        </w:rPr>
        <w:tab/>
        <w:t xml:space="preserve">Severe NVP hypersensitivity reaction (Stevens - Johnson syndrome, SJS):  </w:t>
      </w:r>
    </w:p>
    <w:p w:rsidR="0060461B" w:rsidRPr="00817F1A" w:rsidRDefault="0060461B" w:rsidP="00BE5A5D">
      <w:pPr>
        <w:jc w:val="both"/>
        <w:rPr>
          <w:rFonts w:ascii="Arial" w:hAnsi="Arial" w:cs="Arial"/>
        </w:rPr>
      </w:pPr>
      <w:r w:rsidRPr="00817F1A">
        <w:rPr>
          <w:rFonts w:ascii="Arial" w:hAnsi="Arial" w:cs="Arial"/>
        </w:rPr>
        <w:t xml:space="preserve">A severe rash is defined as severe erythema, urticaria, moistening of skin (desquamation), skin blistering, sloughing of skin, exfoliative dermatitis, erythema multiforme (when severe and involving the mucous membranes known as SJS), anaphylaxis, involvement of mucous membranes, angioedema, cracked/fissured lips, or systemic signs (body aches, arthalgias, myalgias, fevers, lymphadenopathy or significantly elevated LFTs) LFTs can be grade III (&gt;5 times the upper limit of normal) or higher. If a severe drug-reaction type rash occurs, patients will discontinue NVP treatment, begin high dose prednisolone, antihistamines, analgesics, and be admitted to the hospital for IV fluids and careful monitoring. NVP will be stopped immediately and not re-introduced. Continue with remaining two drugs for one week then stop all. Once the patient recovers, 3 ARV drugs will be started that do not include NVP. The remaining 2 ARVs will be paired with a replacement ARV such as EFV, if not contraindicated. </w:t>
      </w:r>
    </w:p>
    <w:p w:rsidR="0060461B" w:rsidRPr="00785003" w:rsidRDefault="0060461B" w:rsidP="00BE5A5D">
      <w:pPr>
        <w:pStyle w:val="Heading4"/>
      </w:pPr>
      <w:r w:rsidRPr="00785003">
        <w:t>9.5.1.3 ABC (Abacavir) hypersensitivity</w:t>
      </w:r>
    </w:p>
    <w:p w:rsidR="0060461B" w:rsidRPr="00817F1A" w:rsidRDefault="0060461B" w:rsidP="00BE5A5D">
      <w:pPr>
        <w:jc w:val="both"/>
        <w:rPr>
          <w:rFonts w:ascii="Arial" w:hAnsi="Arial" w:cs="Arial"/>
        </w:rPr>
      </w:pPr>
      <w:r w:rsidRPr="00817F1A">
        <w:rPr>
          <w:rFonts w:ascii="Arial" w:hAnsi="Arial" w:cs="Arial"/>
        </w:rPr>
        <w:t xml:space="preserve">ABC hypersensitivity occurs in up to 5% of patients and can be fatal. Hypersensitivity symptoms include: flu symptoms, shortness of breath, cough, fever, aches and pains, a general ill feeling, fatigue/tiredness, swelling, abdominal pain, diarrhoea, nausea, muscle or joint aches, numbness, sore throat or rash. ABC will be stopped immediately and not re-started if this occurs. </w:t>
      </w:r>
    </w:p>
    <w:p w:rsidR="0060461B" w:rsidRPr="00817F1A" w:rsidRDefault="0060461B" w:rsidP="00BE5A5D">
      <w:pPr>
        <w:jc w:val="both"/>
        <w:rPr>
          <w:rFonts w:ascii="Arial" w:hAnsi="Arial" w:cs="Arial"/>
        </w:rPr>
      </w:pPr>
      <w:r w:rsidRPr="00817F1A">
        <w:rPr>
          <w:rFonts w:ascii="Arial" w:hAnsi="Arial" w:cs="Arial"/>
          <w:u w:val="single"/>
        </w:rPr>
        <w:t>Note</w:t>
      </w:r>
      <w:r w:rsidRPr="00817F1A">
        <w:rPr>
          <w:rFonts w:ascii="Arial" w:hAnsi="Arial" w:cs="Arial"/>
        </w:rPr>
        <w:t>: If there is a history of ABC hypersensitivity, then ABC is contraindicated.</w:t>
      </w:r>
    </w:p>
    <w:p w:rsidR="0060461B" w:rsidRPr="00785003" w:rsidRDefault="0060461B" w:rsidP="00BE5A5D">
      <w:pPr>
        <w:pStyle w:val="Heading4"/>
      </w:pPr>
      <w:r w:rsidRPr="00785003">
        <w:t>9.5.1.4 EFV (Efavirenz) Side effects</w:t>
      </w:r>
    </w:p>
    <w:p w:rsidR="0060461B" w:rsidRPr="00817F1A" w:rsidRDefault="0060461B" w:rsidP="00BE5A5D">
      <w:pPr>
        <w:jc w:val="both"/>
        <w:rPr>
          <w:rFonts w:ascii="Arial" w:hAnsi="Arial" w:cs="Arial"/>
        </w:rPr>
      </w:pPr>
      <w:r w:rsidRPr="00817F1A">
        <w:rPr>
          <w:rFonts w:ascii="Arial" w:hAnsi="Arial" w:cs="Arial"/>
        </w:rPr>
        <w:t>EFV can cause CNS side effects such as vivid dreams, nightmares, vertigo, or confusion. These symptoms are often mild and transient. Patients may benefit from assurance that these symptoms are common and will decrease over time.</w:t>
      </w:r>
    </w:p>
    <w:p w:rsidR="0060461B" w:rsidRPr="000B26AE" w:rsidRDefault="0060461B" w:rsidP="00BE5A5D">
      <w:pPr>
        <w:rPr>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9"/>
        <w:gridCol w:w="2687"/>
        <w:gridCol w:w="3204"/>
        <w:gridCol w:w="2906"/>
      </w:tblGrid>
      <w:tr w:rsidR="0060461B" w:rsidRPr="00817F1A" w:rsidTr="00BE5A5D">
        <w:trPr>
          <w:trHeight w:val="720"/>
        </w:trPr>
        <w:tc>
          <w:tcPr>
            <w:tcW w:w="9576" w:type="dxa"/>
            <w:gridSpan w:val="4"/>
            <w:tcBorders>
              <w:top w:val="nil"/>
              <w:left w:val="nil"/>
              <w:bottom w:val="single" w:sz="4" w:space="0" w:color="FFFFFF"/>
              <w:right w:val="nil"/>
            </w:tcBorders>
            <w:shd w:val="clear" w:color="auto" w:fill="auto"/>
            <w:vAlign w:val="bottom"/>
          </w:tcPr>
          <w:p w:rsidR="0060461B" w:rsidRPr="00AD1BF6" w:rsidRDefault="0060461B" w:rsidP="00BE5A5D">
            <w:pPr>
              <w:rPr>
                <w:rFonts w:ascii="Arial" w:hAnsi="Arial" w:cs="Arial"/>
                <w:b/>
              </w:rPr>
            </w:pPr>
            <w:r w:rsidRPr="00AD1BF6">
              <w:rPr>
                <w:rFonts w:ascii="Arial" w:hAnsi="Arial" w:cs="Arial"/>
                <w:b/>
              </w:rPr>
              <w:t>Table</w:t>
            </w:r>
            <w:r>
              <w:rPr>
                <w:rFonts w:ascii="Arial" w:hAnsi="Arial" w:cs="Arial"/>
                <w:b/>
              </w:rPr>
              <w:t xml:space="preserve"> 9.2</w:t>
            </w:r>
            <w:r w:rsidRPr="00AD1BF6">
              <w:rPr>
                <w:rFonts w:ascii="Arial" w:hAnsi="Arial" w:cs="Arial"/>
                <w:b/>
              </w:rPr>
              <w:t>: Types of toxicities associated with first and second line ARV drugs</w:t>
            </w:r>
          </w:p>
        </w:tc>
      </w:tr>
      <w:tr w:rsidR="0060461B" w:rsidRPr="00817F1A" w:rsidTr="00BE5A5D">
        <w:tc>
          <w:tcPr>
            <w:tcW w:w="738" w:type="dxa"/>
            <w:tcBorders>
              <w:top w:val="single" w:sz="4" w:space="0" w:color="FFFFFF"/>
              <w:left w:val="single" w:sz="4" w:space="0" w:color="FFFFFF"/>
              <w:bottom w:val="single" w:sz="4" w:space="0" w:color="FFFFFF"/>
              <w:right w:val="single" w:sz="4" w:space="0" w:color="FFFFFF"/>
            </w:tcBorders>
            <w:shd w:val="clear" w:color="auto" w:fill="000000"/>
          </w:tcPr>
          <w:p w:rsidR="0060461B" w:rsidRPr="00817F1A" w:rsidRDefault="0060461B" w:rsidP="00BE5A5D">
            <w:pPr>
              <w:rPr>
                <w:rFonts w:ascii="Arial" w:hAnsi="Arial" w:cs="Arial"/>
              </w:rPr>
            </w:pPr>
            <w:bookmarkStart w:id="654" w:name="_Toc379061276"/>
            <w:r w:rsidRPr="00817F1A">
              <w:rPr>
                <w:rFonts w:ascii="Arial" w:hAnsi="Arial" w:cs="Arial"/>
              </w:rPr>
              <w:t>ARV</w:t>
            </w:r>
            <w:bookmarkEnd w:id="654"/>
          </w:p>
        </w:tc>
        <w:tc>
          <w:tcPr>
            <w:tcW w:w="2790" w:type="dxa"/>
            <w:tcBorders>
              <w:top w:val="single" w:sz="4" w:space="0" w:color="FFFFFF"/>
              <w:left w:val="single" w:sz="4" w:space="0" w:color="FFFFFF"/>
              <w:bottom w:val="single" w:sz="4" w:space="0" w:color="FFFFFF"/>
              <w:right w:val="single" w:sz="4" w:space="0" w:color="FFFFFF"/>
            </w:tcBorders>
            <w:shd w:val="clear" w:color="auto" w:fill="000000"/>
          </w:tcPr>
          <w:p w:rsidR="0060461B" w:rsidRPr="00817F1A" w:rsidRDefault="0060461B" w:rsidP="00BE5A5D">
            <w:pPr>
              <w:rPr>
                <w:rFonts w:ascii="Arial" w:hAnsi="Arial" w:cs="Arial"/>
              </w:rPr>
            </w:pPr>
            <w:bookmarkStart w:id="655" w:name="_Toc379061277"/>
            <w:r w:rsidRPr="00817F1A">
              <w:rPr>
                <w:rFonts w:ascii="Arial" w:hAnsi="Arial" w:cs="Arial"/>
              </w:rPr>
              <w:t>Major types of toxicity</w:t>
            </w:r>
            <w:bookmarkEnd w:id="655"/>
          </w:p>
        </w:tc>
        <w:tc>
          <w:tcPr>
            <w:tcW w:w="3600" w:type="dxa"/>
            <w:tcBorders>
              <w:top w:val="single" w:sz="4" w:space="0" w:color="FFFFFF"/>
              <w:left w:val="single" w:sz="4" w:space="0" w:color="FFFFFF"/>
              <w:bottom w:val="single" w:sz="4" w:space="0" w:color="FFFFFF"/>
              <w:right w:val="single" w:sz="4" w:space="0" w:color="FFFFFF"/>
            </w:tcBorders>
            <w:shd w:val="clear" w:color="auto" w:fill="000000"/>
          </w:tcPr>
          <w:p w:rsidR="0060461B" w:rsidRPr="00817F1A" w:rsidRDefault="0060461B" w:rsidP="00BE5A5D">
            <w:pPr>
              <w:rPr>
                <w:rFonts w:ascii="Arial" w:hAnsi="Arial" w:cs="Arial"/>
              </w:rPr>
            </w:pPr>
            <w:bookmarkStart w:id="656" w:name="_Toc379061278"/>
            <w:r w:rsidRPr="00817F1A">
              <w:rPr>
                <w:rFonts w:ascii="Arial" w:hAnsi="Arial" w:cs="Arial"/>
              </w:rPr>
              <w:t>Risk factors</w:t>
            </w:r>
            <w:bookmarkEnd w:id="656"/>
          </w:p>
        </w:tc>
        <w:tc>
          <w:tcPr>
            <w:tcW w:w="2448" w:type="dxa"/>
            <w:tcBorders>
              <w:top w:val="single" w:sz="4" w:space="0" w:color="FFFFFF"/>
              <w:left w:val="single" w:sz="4" w:space="0" w:color="FFFFFF"/>
              <w:bottom w:val="single" w:sz="4" w:space="0" w:color="FFFFFF"/>
              <w:right w:val="single" w:sz="4" w:space="0" w:color="FFFFFF"/>
            </w:tcBorders>
            <w:shd w:val="clear" w:color="auto" w:fill="000000"/>
          </w:tcPr>
          <w:p w:rsidR="0060461B" w:rsidRPr="00817F1A" w:rsidRDefault="0060461B" w:rsidP="00BE5A5D">
            <w:pPr>
              <w:rPr>
                <w:rFonts w:ascii="Arial" w:hAnsi="Arial" w:cs="Arial"/>
              </w:rPr>
            </w:pPr>
            <w:bookmarkStart w:id="657" w:name="_Toc379061279"/>
            <w:r w:rsidRPr="00817F1A">
              <w:rPr>
                <w:rFonts w:ascii="Arial" w:hAnsi="Arial" w:cs="Arial"/>
              </w:rPr>
              <w:t>Suggested management</w:t>
            </w:r>
            <w:bookmarkEnd w:id="657"/>
          </w:p>
        </w:tc>
      </w:tr>
      <w:tr w:rsidR="0060461B" w:rsidRPr="00817F1A" w:rsidTr="00BE5A5D">
        <w:tc>
          <w:tcPr>
            <w:tcW w:w="738" w:type="dxa"/>
            <w:vMerge w:val="restart"/>
            <w:tcBorders>
              <w:top w:val="single" w:sz="4" w:space="0" w:color="FFFFFF"/>
            </w:tcBorders>
            <w:shd w:val="clear" w:color="auto" w:fill="D9D9D9"/>
          </w:tcPr>
          <w:p w:rsidR="0060461B" w:rsidRPr="00817F1A" w:rsidRDefault="0060461B" w:rsidP="00BE5A5D">
            <w:pPr>
              <w:rPr>
                <w:rFonts w:ascii="Arial" w:hAnsi="Arial" w:cs="Arial"/>
              </w:rPr>
            </w:pPr>
            <w:r w:rsidRPr="00817F1A">
              <w:rPr>
                <w:rFonts w:ascii="Arial" w:hAnsi="Arial" w:cs="Arial"/>
              </w:rPr>
              <w:t>TDF</w:t>
            </w:r>
          </w:p>
        </w:tc>
        <w:tc>
          <w:tcPr>
            <w:tcW w:w="2790" w:type="dxa"/>
            <w:tcBorders>
              <w:top w:val="single" w:sz="4" w:space="0" w:color="FFFFFF"/>
            </w:tcBorders>
            <w:shd w:val="clear" w:color="auto" w:fill="D9D9D9"/>
          </w:tcPr>
          <w:p w:rsidR="0060461B" w:rsidRPr="00817F1A" w:rsidRDefault="0060461B" w:rsidP="00BE5A5D">
            <w:pPr>
              <w:rPr>
                <w:rFonts w:ascii="Arial" w:hAnsi="Arial" w:cs="Arial"/>
              </w:rPr>
            </w:pPr>
            <w:r w:rsidRPr="00817F1A">
              <w:rPr>
                <w:rFonts w:ascii="Arial" w:hAnsi="Arial" w:cs="Arial"/>
              </w:rPr>
              <w:t>Tubular renal dysfunction, Fanconi syndrome</w:t>
            </w:r>
          </w:p>
        </w:tc>
        <w:tc>
          <w:tcPr>
            <w:tcW w:w="3600" w:type="dxa"/>
            <w:tcBorders>
              <w:top w:val="single" w:sz="4" w:space="0" w:color="FFFFFF"/>
            </w:tcBorders>
            <w:shd w:val="clear" w:color="auto" w:fill="D9D9D9"/>
          </w:tcPr>
          <w:p w:rsidR="0060461B" w:rsidRPr="00817F1A" w:rsidRDefault="0060461B" w:rsidP="00BE5A5D">
            <w:pPr>
              <w:rPr>
                <w:rFonts w:ascii="Arial" w:hAnsi="Arial" w:cs="Arial"/>
              </w:rPr>
            </w:pPr>
            <w:r w:rsidRPr="00817F1A">
              <w:rPr>
                <w:rFonts w:ascii="Arial" w:hAnsi="Arial" w:cs="Arial"/>
              </w:rPr>
              <w:t>Underlying renal disease</w:t>
            </w:r>
          </w:p>
          <w:p w:rsidR="0060461B" w:rsidRPr="00817F1A" w:rsidRDefault="0060461B" w:rsidP="00BE5A5D">
            <w:pPr>
              <w:rPr>
                <w:rFonts w:ascii="Arial" w:hAnsi="Arial" w:cs="Arial"/>
              </w:rPr>
            </w:pPr>
            <w:r w:rsidRPr="00817F1A">
              <w:rPr>
                <w:rFonts w:ascii="Arial" w:hAnsi="Arial" w:cs="Arial"/>
              </w:rPr>
              <w:t>Older age</w:t>
            </w:r>
          </w:p>
          <w:p w:rsidR="0060461B" w:rsidRPr="00817F1A" w:rsidRDefault="0060461B" w:rsidP="00BE5A5D">
            <w:pPr>
              <w:rPr>
                <w:rFonts w:ascii="Arial" w:hAnsi="Arial" w:cs="Arial"/>
              </w:rPr>
            </w:pPr>
            <w:r w:rsidRPr="00817F1A">
              <w:rPr>
                <w:rFonts w:ascii="Arial" w:hAnsi="Arial" w:cs="Arial"/>
              </w:rPr>
              <w:t>BMI &lt;18.5 (or body weight &lt;50 kg)</w:t>
            </w:r>
          </w:p>
          <w:p w:rsidR="0060461B" w:rsidRPr="00817F1A" w:rsidRDefault="0060461B" w:rsidP="00BE5A5D">
            <w:pPr>
              <w:rPr>
                <w:rFonts w:ascii="Arial" w:hAnsi="Arial" w:cs="Arial"/>
              </w:rPr>
            </w:pPr>
            <w:r w:rsidRPr="00817F1A">
              <w:rPr>
                <w:rFonts w:ascii="Arial" w:hAnsi="Arial" w:cs="Arial"/>
              </w:rPr>
              <w:t>Untreated diabetes mellitus</w:t>
            </w:r>
          </w:p>
          <w:p w:rsidR="0060461B" w:rsidRPr="00817F1A" w:rsidRDefault="0060461B" w:rsidP="00BE5A5D">
            <w:pPr>
              <w:rPr>
                <w:rFonts w:ascii="Arial" w:hAnsi="Arial" w:cs="Arial"/>
              </w:rPr>
            </w:pPr>
            <w:r w:rsidRPr="00817F1A">
              <w:rPr>
                <w:rFonts w:ascii="Arial" w:hAnsi="Arial" w:cs="Arial"/>
              </w:rPr>
              <w:t>Untreated hypertension</w:t>
            </w:r>
          </w:p>
          <w:p w:rsidR="0060461B" w:rsidRPr="00817F1A" w:rsidRDefault="0060461B" w:rsidP="00BE5A5D">
            <w:pPr>
              <w:rPr>
                <w:rFonts w:ascii="Arial" w:hAnsi="Arial" w:cs="Arial"/>
              </w:rPr>
            </w:pPr>
            <w:r w:rsidRPr="00817F1A">
              <w:rPr>
                <w:rFonts w:ascii="Arial" w:hAnsi="Arial" w:cs="Arial"/>
              </w:rPr>
              <w:t>Concomitant use of</w:t>
            </w:r>
          </w:p>
          <w:p w:rsidR="0060461B" w:rsidRPr="00817F1A" w:rsidRDefault="0060461B" w:rsidP="00BE5A5D">
            <w:pPr>
              <w:rPr>
                <w:rFonts w:ascii="Arial" w:hAnsi="Arial" w:cs="Arial"/>
              </w:rPr>
            </w:pPr>
            <w:r w:rsidRPr="00817F1A">
              <w:rPr>
                <w:rFonts w:ascii="Arial" w:hAnsi="Arial" w:cs="Arial"/>
              </w:rPr>
              <w:t>nephrotoxic drugs or a boosted PI</w:t>
            </w:r>
          </w:p>
        </w:tc>
        <w:tc>
          <w:tcPr>
            <w:tcW w:w="2448" w:type="dxa"/>
            <w:vMerge w:val="restart"/>
            <w:tcBorders>
              <w:top w:val="single" w:sz="4" w:space="0" w:color="FFFFFF"/>
            </w:tcBorders>
            <w:shd w:val="clear" w:color="auto" w:fill="D9D9D9"/>
          </w:tcPr>
          <w:p w:rsidR="0060461B" w:rsidRPr="00817F1A" w:rsidRDefault="0060461B" w:rsidP="00BE5A5D">
            <w:pPr>
              <w:rPr>
                <w:rFonts w:ascii="Arial" w:hAnsi="Arial" w:cs="Arial"/>
              </w:rPr>
            </w:pPr>
          </w:p>
          <w:p w:rsidR="0060461B" w:rsidRPr="00817F1A" w:rsidRDefault="0060461B" w:rsidP="00BE5A5D">
            <w:pPr>
              <w:rPr>
                <w:rFonts w:ascii="Arial" w:hAnsi="Arial" w:cs="Arial"/>
              </w:rPr>
            </w:pPr>
            <w:r w:rsidRPr="00817F1A">
              <w:rPr>
                <w:rFonts w:ascii="Arial" w:hAnsi="Arial" w:cs="Arial"/>
              </w:rPr>
              <w:t>If TDF is being used in first-line ART, substitute with</w:t>
            </w:r>
          </w:p>
          <w:p w:rsidR="0060461B" w:rsidRPr="00817F1A" w:rsidRDefault="0060461B" w:rsidP="00BE5A5D">
            <w:pPr>
              <w:rPr>
                <w:rFonts w:ascii="Arial" w:hAnsi="Arial" w:cs="Arial"/>
              </w:rPr>
            </w:pPr>
            <w:r w:rsidRPr="00817F1A">
              <w:rPr>
                <w:rFonts w:ascii="Arial" w:hAnsi="Arial" w:cs="Arial"/>
              </w:rPr>
              <w:t>AZT or ABC</w:t>
            </w:r>
          </w:p>
          <w:p w:rsidR="0060461B" w:rsidRPr="00817F1A" w:rsidRDefault="0060461B" w:rsidP="00BE5A5D">
            <w:pPr>
              <w:rPr>
                <w:rFonts w:ascii="Arial" w:hAnsi="Arial" w:cs="Arial"/>
              </w:rPr>
            </w:pPr>
          </w:p>
          <w:p w:rsidR="0060461B" w:rsidRPr="00817F1A" w:rsidRDefault="0060461B" w:rsidP="00BE5A5D">
            <w:pPr>
              <w:rPr>
                <w:rFonts w:ascii="Arial" w:hAnsi="Arial" w:cs="Arial"/>
              </w:rPr>
            </w:pPr>
            <w:r w:rsidRPr="00817F1A">
              <w:rPr>
                <w:rFonts w:ascii="Arial" w:hAnsi="Arial" w:cs="Arial"/>
              </w:rPr>
              <w:t>If TDF is being used in second-line ART (AZT use in first line ART), substitute with ABC</w:t>
            </w:r>
          </w:p>
        </w:tc>
      </w:tr>
      <w:tr w:rsidR="0060461B" w:rsidRPr="00817F1A" w:rsidTr="00BE5A5D">
        <w:tc>
          <w:tcPr>
            <w:tcW w:w="738" w:type="dxa"/>
            <w:vMerge/>
            <w:shd w:val="clear" w:color="auto" w:fill="D9D9D9"/>
          </w:tcPr>
          <w:p w:rsidR="0060461B" w:rsidRPr="00817F1A" w:rsidRDefault="0060461B" w:rsidP="00BE5A5D">
            <w:pPr>
              <w:rPr>
                <w:rFonts w:ascii="Arial" w:hAnsi="Arial" w:cs="Arial"/>
              </w:rPr>
            </w:pPr>
          </w:p>
        </w:tc>
        <w:tc>
          <w:tcPr>
            <w:tcW w:w="2790" w:type="dxa"/>
            <w:shd w:val="clear" w:color="auto" w:fill="D9D9D9"/>
          </w:tcPr>
          <w:p w:rsidR="0060461B" w:rsidRPr="00817F1A" w:rsidRDefault="0060461B" w:rsidP="00BE5A5D">
            <w:pPr>
              <w:rPr>
                <w:rFonts w:ascii="Arial" w:hAnsi="Arial" w:cs="Arial"/>
              </w:rPr>
            </w:pPr>
            <w:r w:rsidRPr="00817F1A">
              <w:rPr>
                <w:rFonts w:ascii="Arial" w:hAnsi="Arial" w:cs="Arial"/>
              </w:rPr>
              <w:t>Decreases in bone mineral density</w:t>
            </w:r>
          </w:p>
        </w:tc>
        <w:tc>
          <w:tcPr>
            <w:tcW w:w="3600" w:type="dxa"/>
            <w:shd w:val="clear" w:color="auto" w:fill="D9D9D9"/>
          </w:tcPr>
          <w:p w:rsidR="0060461B" w:rsidRPr="00817F1A" w:rsidRDefault="0060461B" w:rsidP="00BE5A5D">
            <w:pPr>
              <w:rPr>
                <w:rFonts w:ascii="Arial" w:hAnsi="Arial" w:cs="Arial"/>
              </w:rPr>
            </w:pPr>
            <w:r w:rsidRPr="00817F1A">
              <w:rPr>
                <w:rFonts w:ascii="Arial" w:hAnsi="Arial" w:cs="Arial"/>
              </w:rPr>
              <w:t>History of osteomalacia and pathological fracture</w:t>
            </w:r>
          </w:p>
          <w:p w:rsidR="0060461B" w:rsidRPr="00817F1A" w:rsidRDefault="0060461B" w:rsidP="00BE5A5D">
            <w:pPr>
              <w:rPr>
                <w:rFonts w:ascii="Arial" w:hAnsi="Arial" w:cs="Arial"/>
              </w:rPr>
            </w:pPr>
            <w:r w:rsidRPr="00817F1A">
              <w:rPr>
                <w:rFonts w:ascii="Arial" w:hAnsi="Arial" w:cs="Arial"/>
              </w:rPr>
              <w:t>Risk factors for osteoporosis or bone loss</w:t>
            </w:r>
          </w:p>
        </w:tc>
        <w:tc>
          <w:tcPr>
            <w:tcW w:w="2448" w:type="dxa"/>
            <w:vMerge/>
            <w:shd w:val="clear" w:color="auto" w:fill="D9D9D9"/>
          </w:tcPr>
          <w:p w:rsidR="0060461B" w:rsidRPr="00817F1A" w:rsidRDefault="0060461B" w:rsidP="00BE5A5D">
            <w:pPr>
              <w:rPr>
                <w:rFonts w:ascii="Arial" w:hAnsi="Arial" w:cs="Arial"/>
              </w:rPr>
            </w:pPr>
          </w:p>
        </w:tc>
      </w:tr>
      <w:tr w:rsidR="0060461B" w:rsidRPr="00817F1A" w:rsidTr="00BE5A5D">
        <w:tc>
          <w:tcPr>
            <w:tcW w:w="738" w:type="dxa"/>
            <w:vMerge/>
            <w:shd w:val="clear" w:color="auto" w:fill="D9D9D9"/>
          </w:tcPr>
          <w:p w:rsidR="0060461B" w:rsidRPr="00817F1A" w:rsidRDefault="0060461B" w:rsidP="00BE5A5D">
            <w:pPr>
              <w:rPr>
                <w:rFonts w:ascii="Arial" w:hAnsi="Arial" w:cs="Arial"/>
              </w:rPr>
            </w:pPr>
          </w:p>
        </w:tc>
        <w:tc>
          <w:tcPr>
            <w:tcW w:w="2790" w:type="dxa"/>
            <w:shd w:val="clear" w:color="auto" w:fill="D9D9D9"/>
          </w:tcPr>
          <w:p w:rsidR="0060461B" w:rsidRPr="00817F1A" w:rsidRDefault="0060461B" w:rsidP="00BE5A5D">
            <w:pPr>
              <w:rPr>
                <w:rFonts w:ascii="Arial" w:hAnsi="Arial" w:cs="Arial"/>
              </w:rPr>
            </w:pPr>
            <w:r w:rsidRPr="00817F1A">
              <w:rPr>
                <w:rFonts w:ascii="Arial" w:hAnsi="Arial" w:cs="Arial"/>
              </w:rPr>
              <w:t>Lactic acidosis or severe</w:t>
            </w:r>
          </w:p>
          <w:p w:rsidR="0060461B" w:rsidRPr="00817F1A" w:rsidRDefault="0060461B" w:rsidP="00BE5A5D">
            <w:pPr>
              <w:rPr>
                <w:rFonts w:ascii="Arial" w:hAnsi="Arial" w:cs="Arial"/>
              </w:rPr>
            </w:pPr>
            <w:r w:rsidRPr="00817F1A">
              <w:rPr>
                <w:rFonts w:ascii="Arial" w:hAnsi="Arial" w:cs="Arial"/>
              </w:rPr>
              <w:t>hepatomegaly with steatosis</w:t>
            </w:r>
          </w:p>
        </w:tc>
        <w:tc>
          <w:tcPr>
            <w:tcW w:w="3600" w:type="dxa"/>
            <w:shd w:val="clear" w:color="auto" w:fill="D9D9D9"/>
          </w:tcPr>
          <w:p w:rsidR="0060461B" w:rsidRPr="00817F1A" w:rsidRDefault="0060461B" w:rsidP="00BE5A5D">
            <w:pPr>
              <w:rPr>
                <w:rFonts w:ascii="Arial" w:hAnsi="Arial" w:cs="Arial"/>
              </w:rPr>
            </w:pPr>
            <w:r w:rsidRPr="00817F1A">
              <w:rPr>
                <w:rFonts w:ascii="Arial" w:hAnsi="Arial" w:cs="Arial"/>
              </w:rPr>
              <w:t>Prolonged exposure to nucleoside analogues</w:t>
            </w:r>
          </w:p>
          <w:p w:rsidR="0060461B" w:rsidRPr="00817F1A" w:rsidRDefault="0060461B" w:rsidP="00BE5A5D">
            <w:pPr>
              <w:rPr>
                <w:rFonts w:ascii="Arial" w:hAnsi="Arial" w:cs="Arial"/>
              </w:rPr>
            </w:pPr>
            <w:r w:rsidRPr="00817F1A">
              <w:rPr>
                <w:rFonts w:ascii="Arial" w:hAnsi="Arial" w:cs="Arial"/>
              </w:rPr>
              <w:t>Obesity</w:t>
            </w:r>
          </w:p>
        </w:tc>
        <w:tc>
          <w:tcPr>
            <w:tcW w:w="2448" w:type="dxa"/>
            <w:vMerge/>
            <w:shd w:val="clear" w:color="auto" w:fill="D9D9D9"/>
          </w:tcPr>
          <w:p w:rsidR="0060461B" w:rsidRPr="00817F1A" w:rsidRDefault="0060461B" w:rsidP="00BE5A5D">
            <w:pPr>
              <w:rPr>
                <w:rFonts w:ascii="Arial" w:hAnsi="Arial" w:cs="Arial"/>
              </w:rPr>
            </w:pPr>
          </w:p>
        </w:tc>
      </w:tr>
      <w:tr w:rsidR="0060461B" w:rsidRPr="00817F1A" w:rsidTr="00BE5A5D">
        <w:tc>
          <w:tcPr>
            <w:tcW w:w="738" w:type="dxa"/>
            <w:vMerge/>
            <w:shd w:val="clear" w:color="auto" w:fill="D9D9D9"/>
          </w:tcPr>
          <w:p w:rsidR="0060461B" w:rsidRPr="00817F1A" w:rsidRDefault="0060461B" w:rsidP="00BE5A5D">
            <w:pPr>
              <w:rPr>
                <w:rFonts w:ascii="Arial" w:hAnsi="Arial" w:cs="Arial"/>
              </w:rPr>
            </w:pPr>
          </w:p>
        </w:tc>
        <w:tc>
          <w:tcPr>
            <w:tcW w:w="2790" w:type="dxa"/>
            <w:shd w:val="clear" w:color="auto" w:fill="D9D9D9"/>
          </w:tcPr>
          <w:p w:rsidR="0060461B" w:rsidRPr="00817F1A" w:rsidRDefault="0060461B" w:rsidP="00BE5A5D">
            <w:pPr>
              <w:rPr>
                <w:rFonts w:ascii="Arial" w:hAnsi="Arial" w:cs="Arial"/>
              </w:rPr>
            </w:pPr>
            <w:r w:rsidRPr="00817F1A">
              <w:rPr>
                <w:rFonts w:ascii="Arial" w:hAnsi="Arial" w:cs="Arial"/>
              </w:rPr>
              <w:t>Exacerbation of hepatitis B (hepatic flares)</w:t>
            </w:r>
          </w:p>
        </w:tc>
        <w:tc>
          <w:tcPr>
            <w:tcW w:w="3600" w:type="dxa"/>
            <w:shd w:val="clear" w:color="auto" w:fill="D9D9D9"/>
          </w:tcPr>
          <w:p w:rsidR="0060461B" w:rsidRPr="00817F1A" w:rsidRDefault="0060461B" w:rsidP="00BE5A5D">
            <w:pPr>
              <w:rPr>
                <w:rFonts w:ascii="Arial" w:hAnsi="Arial" w:cs="Arial"/>
              </w:rPr>
            </w:pPr>
            <w:r w:rsidRPr="00817F1A">
              <w:rPr>
                <w:rFonts w:ascii="Arial" w:hAnsi="Arial" w:cs="Arial"/>
              </w:rPr>
              <w:t>Discontinuation of TDF due to toxicity</w:t>
            </w:r>
          </w:p>
        </w:tc>
        <w:tc>
          <w:tcPr>
            <w:tcW w:w="2448" w:type="dxa"/>
            <w:shd w:val="clear" w:color="auto" w:fill="D9D9D9"/>
          </w:tcPr>
          <w:p w:rsidR="0060461B" w:rsidRPr="00817F1A" w:rsidRDefault="0060461B" w:rsidP="00BE5A5D">
            <w:pPr>
              <w:rPr>
                <w:rFonts w:ascii="Arial" w:hAnsi="Arial" w:cs="Arial"/>
                <w:b/>
              </w:rPr>
            </w:pPr>
            <w:bookmarkStart w:id="658" w:name="_Toc381344340"/>
            <w:r w:rsidRPr="00817F1A">
              <w:rPr>
                <w:rFonts w:ascii="Arial" w:hAnsi="Arial" w:cs="Arial"/>
                <w:b/>
              </w:rPr>
              <w:t>No available alternative drug in the country for treatment of hepatitis B e.g. Entecavir</w:t>
            </w:r>
            <w:bookmarkEnd w:id="658"/>
          </w:p>
        </w:tc>
      </w:tr>
      <w:tr w:rsidR="0060461B" w:rsidRPr="00817F1A" w:rsidTr="00BE5A5D">
        <w:tc>
          <w:tcPr>
            <w:tcW w:w="738" w:type="dxa"/>
          </w:tcPr>
          <w:p w:rsidR="0060461B" w:rsidRPr="00817F1A" w:rsidRDefault="0060461B" w:rsidP="00BE5A5D">
            <w:pPr>
              <w:rPr>
                <w:rFonts w:ascii="Arial" w:hAnsi="Arial" w:cs="Arial"/>
                <w:b/>
              </w:rPr>
            </w:pPr>
            <w:bookmarkStart w:id="659" w:name="_Toc381344341"/>
            <w:r w:rsidRPr="00817F1A">
              <w:rPr>
                <w:rFonts w:ascii="Arial" w:hAnsi="Arial" w:cs="Arial"/>
                <w:b/>
              </w:rPr>
              <w:t>ABC</w:t>
            </w:r>
            <w:bookmarkEnd w:id="659"/>
          </w:p>
        </w:tc>
        <w:tc>
          <w:tcPr>
            <w:tcW w:w="2790" w:type="dxa"/>
          </w:tcPr>
          <w:p w:rsidR="0060461B" w:rsidRPr="00817F1A" w:rsidRDefault="0060461B" w:rsidP="00BE5A5D">
            <w:pPr>
              <w:rPr>
                <w:rFonts w:ascii="Arial" w:hAnsi="Arial" w:cs="Arial"/>
                <w:b/>
              </w:rPr>
            </w:pPr>
            <w:bookmarkStart w:id="660" w:name="_Toc381344342"/>
            <w:r w:rsidRPr="00817F1A">
              <w:rPr>
                <w:rFonts w:ascii="Arial" w:hAnsi="Arial" w:cs="Arial"/>
                <w:b/>
              </w:rPr>
              <w:t>Hypersensitivity reaction</w:t>
            </w:r>
            <w:bookmarkEnd w:id="660"/>
          </w:p>
        </w:tc>
        <w:tc>
          <w:tcPr>
            <w:tcW w:w="3600" w:type="dxa"/>
          </w:tcPr>
          <w:p w:rsidR="0060461B" w:rsidRPr="00817F1A" w:rsidRDefault="0060461B" w:rsidP="00BE5A5D">
            <w:pPr>
              <w:rPr>
                <w:rFonts w:ascii="Arial" w:hAnsi="Arial" w:cs="Arial"/>
                <w:b/>
              </w:rPr>
            </w:pPr>
            <w:bookmarkStart w:id="661" w:name="_Toc381344343"/>
            <w:r w:rsidRPr="00817F1A">
              <w:rPr>
                <w:rFonts w:ascii="Arial" w:hAnsi="Arial" w:cs="Arial"/>
                <w:b/>
              </w:rPr>
              <w:t>Genetic predisposition (HLA-B * 5701 gene)</w:t>
            </w:r>
            <w:bookmarkEnd w:id="661"/>
          </w:p>
        </w:tc>
        <w:tc>
          <w:tcPr>
            <w:tcW w:w="2448" w:type="dxa"/>
          </w:tcPr>
          <w:p w:rsidR="0060461B" w:rsidRPr="00817F1A" w:rsidRDefault="0060461B" w:rsidP="00BE5A5D">
            <w:pPr>
              <w:rPr>
                <w:rFonts w:ascii="Arial" w:hAnsi="Arial" w:cs="Arial"/>
              </w:rPr>
            </w:pPr>
            <w:r w:rsidRPr="00817F1A">
              <w:rPr>
                <w:rFonts w:ascii="Arial" w:hAnsi="Arial" w:cs="Arial"/>
              </w:rPr>
              <w:t>If ABC is being used in first-line ART, substitute with TDF or AZT</w:t>
            </w:r>
          </w:p>
        </w:tc>
      </w:tr>
      <w:tr w:rsidR="0060461B" w:rsidRPr="00817F1A" w:rsidTr="00BE5A5D">
        <w:tc>
          <w:tcPr>
            <w:tcW w:w="738" w:type="dxa"/>
            <w:vMerge w:val="restart"/>
            <w:shd w:val="clear" w:color="auto" w:fill="D9D9D9"/>
          </w:tcPr>
          <w:p w:rsidR="0060461B" w:rsidRPr="00817F1A" w:rsidRDefault="0060461B" w:rsidP="00BE5A5D">
            <w:pPr>
              <w:rPr>
                <w:rFonts w:ascii="Arial" w:hAnsi="Arial" w:cs="Arial"/>
              </w:rPr>
            </w:pPr>
            <w:r w:rsidRPr="00817F1A">
              <w:rPr>
                <w:rFonts w:ascii="Arial" w:hAnsi="Arial" w:cs="Arial"/>
              </w:rPr>
              <w:t>AZT</w:t>
            </w:r>
          </w:p>
        </w:tc>
        <w:tc>
          <w:tcPr>
            <w:tcW w:w="2790" w:type="dxa"/>
            <w:shd w:val="clear" w:color="auto" w:fill="D9D9D9"/>
          </w:tcPr>
          <w:p w:rsidR="0060461B" w:rsidRPr="00817F1A" w:rsidRDefault="0060461B" w:rsidP="00BE5A5D">
            <w:pPr>
              <w:rPr>
                <w:rFonts w:ascii="Arial" w:hAnsi="Arial" w:cs="Arial"/>
              </w:rPr>
            </w:pPr>
            <w:r w:rsidRPr="00817F1A">
              <w:rPr>
                <w:rFonts w:ascii="Arial" w:hAnsi="Arial" w:cs="Arial"/>
              </w:rPr>
              <w:t>Anaemia, neutropaenia,</w:t>
            </w:r>
          </w:p>
          <w:p w:rsidR="0060461B" w:rsidRPr="00817F1A" w:rsidRDefault="0060461B" w:rsidP="00BE5A5D">
            <w:pPr>
              <w:rPr>
                <w:rFonts w:ascii="Arial" w:hAnsi="Arial" w:cs="Arial"/>
              </w:rPr>
            </w:pPr>
            <w:r w:rsidRPr="00817F1A">
              <w:rPr>
                <w:rFonts w:ascii="Arial" w:hAnsi="Arial" w:cs="Arial"/>
              </w:rPr>
              <w:t>myopathy, lipoatrophy or lipodystrophy</w:t>
            </w:r>
          </w:p>
        </w:tc>
        <w:tc>
          <w:tcPr>
            <w:tcW w:w="3600" w:type="dxa"/>
            <w:shd w:val="clear" w:color="auto" w:fill="D9D9D9"/>
          </w:tcPr>
          <w:p w:rsidR="0060461B" w:rsidRPr="00817F1A" w:rsidRDefault="0060461B" w:rsidP="00BE5A5D">
            <w:pPr>
              <w:rPr>
                <w:rFonts w:ascii="Arial" w:hAnsi="Arial" w:cs="Arial"/>
              </w:rPr>
            </w:pPr>
            <w:r w:rsidRPr="00817F1A">
              <w:rPr>
                <w:rFonts w:ascii="Arial" w:hAnsi="Arial" w:cs="Arial"/>
              </w:rPr>
              <w:t>Baseline anaemia or Neutropaenia</w:t>
            </w:r>
          </w:p>
          <w:p w:rsidR="0060461B" w:rsidRPr="00817F1A" w:rsidRDefault="0060461B" w:rsidP="00BE5A5D">
            <w:pPr>
              <w:rPr>
                <w:rFonts w:ascii="Arial" w:hAnsi="Arial" w:cs="Arial"/>
              </w:rPr>
            </w:pPr>
            <w:r w:rsidRPr="00817F1A">
              <w:rPr>
                <w:rFonts w:ascii="Arial" w:hAnsi="Arial" w:cs="Arial"/>
              </w:rPr>
              <w:t>CD4 count ≤200 cells/mm</w:t>
            </w:r>
            <w:r w:rsidRPr="00817F1A">
              <w:rPr>
                <w:rFonts w:ascii="Arial" w:hAnsi="Arial" w:cs="Arial"/>
                <w:vertAlign w:val="superscript"/>
              </w:rPr>
              <w:t>3</w:t>
            </w:r>
          </w:p>
        </w:tc>
        <w:tc>
          <w:tcPr>
            <w:tcW w:w="2448" w:type="dxa"/>
            <w:vMerge w:val="restart"/>
            <w:shd w:val="clear" w:color="auto" w:fill="D9D9D9"/>
          </w:tcPr>
          <w:p w:rsidR="0060461B" w:rsidRPr="00817F1A" w:rsidRDefault="0060461B" w:rsidP="00BE5A5D">
            <w:pPr>
              <w:rPr>
                <w:rFonts w:ascii="Arial" w:hAnsi="Arial" w:cs="Arial"/>
              </w:rPr>
            </w:pPr>
            <w:r w:rsidRPr="00817F1A">
              <w:rPr>
                <w:rFonts w:ascii="Arial" w:hAnsi="Arial" w:cs="Arial"/>
              </w:rPr>
              <w:t>If AZT is being used in first-line ART, substitute with TDF or ABC</w:t>
            </w:r>
          </w:p>
          <w:p w:rsidR="0060461B" w:rsidRPr="00817F1A" w:rsidRDefault="0060461B" w:rsidP="00BE5A5D">
            <w:pPr>
              <w:rPr>
                <w:rFonts w:ascii="Arial" w:hAnsi="Arial" w:cs="Arial"/>
              </w:rPr>
            </w:pPr>
          </w:p>
          <w:p w:rsidR="0060461B" w:rsidRPr="00817F1A" w:rsidRDefault="0060461B" w:rsidP="00BE5A5D">
            <w:pPr>
              <w:rPr>
                <w:rFonts w:ascii="Arial" w:hAnsi="Arial" w:cs="Arial"/>
              </w:rPr>
            </w:pPr>
            <w:r w:rsidRPr="00817F1A">
              <w:rPr>
                <w:rFonts w:ascii="Arial" w:hAnsi="Arial" w:cs="Arial"/>
              </w:rPr>
              <w:t>If AZT is being used in second-line ART, substitute with ABC</w:t>
            </w:r>
          </w:p>
        </w:tc>
      </w:tr>
      <w:tr w:rsidR="0060461B" w:rsidRPr="00817F1A" w:rsidTr="00BE5A5D">
        <w:tc>
          <w:tcPr>
            <w:tcW w:w="738" w:type="dxa"/>
            <w:vMerge/>
          </w:tcPr>
          <w:p w:rsidR="0060461B" w:rsidRPr="00817F1A" w:rsidRDefault="0060461B" w:rsidP="00BE5A5D">
            <w:pPr>
              <w:rPr>
                <w:rFonts w:ascii="Arial" w:hAnsi="Arial" w:cs="Arial"/>
              </w:rPr>
            </w:pPr>
          </w:p>
        </w:tc>
        <w:tc>
          <w:tcPr>
            <w:tcW w:w="2790" w:type="dxa"/>
            <w:shd w:val="clear" w:color="auto" w:fill="D9D9D9"/>
          </w:tcPr>
          <w:p w:rsidR="0060461B" w:rsidRPr="00817F1A" w:rsidRDefault="0060461B" w:rsidP="00BE5A5D">
            <w:pPr>
              <w:rPr>
                <w:rFonts w:ascii="Arial" w:hAnsi="Arial" w:cs="Arial"/>
              </w:rPr>
            </w:pPr>
            <w:r w:rsidRPr="00817F1A">
              <w:rPr>
                <w:rFonts w:ascii="Arial" w:hAnsi="Arial" w:cs="Arial"/>
              </w:rPr>
              <w:t>Lactic acidosis or severe</w:t>
            </w:r>
          </w:p>
          <w:p w:rsidR="0060461B" w:rsidRPr="00817F1A" w:rsidRDefault="0060461B" w:rsidP="00BE5A5D">
            <w:pPr>
              <w:rPr>
                <w:rFonts w:ascii="Arial" w:hAnsi="Arial" w:cs="Arial"/>
              </w:rPr>
            </w:pPr>
            <w:r w:rsidRPr="00817F1A">
              <w:rPr>
                <w:rFonts w:ascii="Arial" w:hAnsi="Arial" w:cs="Arial"/>
              </w:rPr>
              <w:t>hepatomegaly with steatosis</w:t>
            </w:r>
          </w:p>
        </w:tc>
        <w:tc>
          <w:tcPr>
            <w:tcW w:w="3600" w:type="dxa"/>
            <w:shd w:val="clear" w:color="auto" w:fill="D9D9D9"/>
          </w:tcPr>
          <w:p w:rsidR="0060461B" w:rsidRPr="00817F1A" w:rsidRDefault="0060461B" w:rsidP="00BE5A5D">
            <w:pPr>
              <w:rPr>
                <w:rFonts w:ascii="Arial" w:hAnsi="Arial" w:cs="Arial"/>
              </w:rPr>
            </w:pPr>
            <w:r w:rsidRPr="00817F1A">
              <w:rPr>
                <w:rFonts w:ascii="Arial" w:hAnsi="Arial" w:cs="Arial"/>
              </w:rPr>
              <w:t>BMI &gt;25 (or body weight &gt;75 kg)</w:t>
            </w:r>
          </w:p>
          <w:p w:rsidR="0060461B" w:rsidRPr="00817F1A" w:rsidRDefault="0060461B" w:rsidP="00BE5A5D">
            <w:pPr>
              <w:rPr>
                <w:rFonts w:ascii="Arial" w:hAnsi="Arial" w:cs="Arial"/>
              </w:rPr>
            </w:pPr>
            <w:r w:rsidRPr="00817F1A">
              <w:rPr>
                <w:rFonts w:ascii="Arial" w:hAnsi="Arial" w:cs="Arial"/>
              </w:rPr>
              <w:t>Prolonged exposure to nucleoside analogues</w:t>
            </w:r>
          </w:p>
        </w:tc>
        <w:tc>
          <w:tcPr>
            <w:tcW w:w="2448" w:type="dxa"/>
            <w:vMerge/>
          </w:tcPr>
          <w:p w:rsidR="0060461B" w:rsidRPr="00817F1A" w:rsidRDefault="0060461B" w:rsidP="00BE5A5D">
            <w:pPr>
              <w:rPr>
                <w:rFonts w:ascii="Arial" w:hAnsi="Arial" w:cs="Arial"/>
              </w:rPr>
            </w:pPr>
          </w:p>
        </w:tc>
      </w:tr>
      <w:tr w:rsidR="0060461B" w:rsidRPr="00817F1A" w:rsidTr="00BE5A5D">
        <w:tc>
          <w:tcPr>
            <w:tcW w:w="738" w:type="dxa"/>
            <w:vMerge w:val="restart"/>
          </w:tcPr>
          <w:p w:rsidR="0060461B" w:rsidRPr="00817F1A" w:rsidRDefault="0060461B" w:rsidP="00BE5A5D">
            <w:pPr>
              <w:rPr>
                <w:rFonts w:ascii="Arial" w:hAnsi="Arial" w:cs="Arial"/>
              </w:rPr>
            </w:pPr>
          </w:p>
          <w:p w:rsidR="0060461B" w:rsidRPr="00817F1A" w:rsidRDefault="0060461B" w:rsidP="00BE5A5D">
            <w:pPr>
              <w:rPr>
                <w:rFonts w:ascii="Arial" w:hAnsi="Arial" w:cs="Arial"/>
              </w:rPr>
            </w:pPr>
          </w:p>
          <w:p w:rsidR="0060461B" w:rsidRPr="00817F1A" w:rsidRDefault="0060461B" w:rsidP="00BE5A5D">
            <w:pPr>
              <w:rPr>
                <w:rFonts w:ascii="Arial" w:hAnsi="Arial" w:cs="Arial"/>
              </w:rPr>
            </w:pPr>
          </w:p>
          <w:p w:rsidR="0060461B" w:rsidRPr="00817F1A" w:rsidRDefault="0060461B" w:rsidP="00BE5A5D">
            <w:pPr>
              <w:rPr>
                <w:rFonts w:ascii="Arial" w:hAnsi="Arial" w:cs="Arial"/>
              </w:rPr>
            </w:pPr>
          </w:p>
          <w:p w:rsidR="0060461B" w:rsidRPr="00817F1A" w:rsidRDefault="0060461B" w:rsidP="00BE5A5D">
            <w:pPr>
              <w:rPr>
                <w:rFonts w:ascii="Arial" w:hAnsi="Arial" w:cs="Arial"/>
              </w:rPr>
            </w:pPr>
            <w:r w:rsidRPr="00817F1A">
              <w:rPr>
                <w:rFonts w:ascii="Arial" w:hAnsi="Arial" w:cs="Arial"/>
              </w:rPr>
              <w:t>LPV/r</w:t>
            </w:r>
          </w:p>
        </w:tc>
        <w:tc>
          <w:tcPr>
            <w:tcW w:w="2790" w:type="dxa"/>
          </w:tcPr>
          <w:p w:rsidR="0060461B" w:rsidRPr="00817F1A" w:rsidRDefault="0060461B" w:rsidP="00BE5A5D">
            <w:pPr>
              <w:rPr>
                <w:rFonts w:ascii="Arial" w:hAnsi="Arial" w:cs="Arial"/>
                <w:b/>
              </w:rPr>
            </w:pPr>
            <w:bookmarkStart w:id="662" w:name="_Toc381344344"/>
            <w:r w:rsidRPr="00817F1A">
              <w:rPr>
                <w:rFonts w:ascii="Arial" w:hAnsi="Arial" w:cs="Arial"/>
                <w:b/>
              </w:rPr>
              <w:t>Hepatotoxicity</w:t>
            </w:r>
            <w:bookmarkEnd w:id="662"/>
          </w:p>
          <w:p w:rsidR="0060461B" w:rsidRPr="00817F1A" w:rsidRDefault="0060461B" w:rsidP="00BE5A5D">
            <w:pPr>
              <w:rPr>
                <w:rFonts w:ascii="Arial" w:hAnsi="Arial" w:cs="Arial"/>
                <w:b/>
              </w:rPr>
            </w:pPr>
          </w:p>
        </w:tc>
        <w:tc>
          <w:tcPr>
            <w:tcW w:w="3600" w:type="dxa"/>
          </w:tcPr>
          <w:p w:rsidR="0060461B" w:rsidRPr="00817F1A" w:rsidRDefault="0060461B" w:rsidP="00BE5A5D">
            <w:pPr>
              <w:rPr>
                <w:rFonts w:ascii="Arial" w:hAnsi="Arial" w:cs="Arial"/>
              </w:rPr>
            </w:pPr>
            <w:r w:rsidRPr="00817F1A">
              <w:rPr>
                <w:rFonts w:ascii="Arial" w:hAnsi="Arial" w:cs="Arial"/>
              </w:rPr>
              <w:t>Underlying hepatic disease</w:t>
            </w:r>
          </w:p>
          <w:p w:rsidR="0060461B" w:rsidRPr="00817F1A" w:rsidRDefault="0060461B" w:rsidP="00BE5A5D">
            <w:pPr>
              <w:rPr>
                <w:rFonts w:ascii="Arial" w:hAnsi="Arial" w:cs="Arial"/>
              </w:rPr>
            </w:pPr>
            <w:r w:rsidRPr="00817F1A">
              <w:rPr>
                <w:rFonts w:ascii="Arial" w:hAnsi="Arial" w:cs="Arial"/>
              </w:rPr>
              <w:t>HBV and HCV co</w:t>
            </w:r>
            <w:r w:rsidR="00B247C9">
              <w:rPr>
                <w:rFonts w:ascii="Arial" w:hAnsi="Arial" w:cs="Arial"/>
              </w:rPr>
              <w:t>-</w:t>
            </w:r>
            <w:r w:rsidRPr="00817F1A">
              <w:rPr>
                <w:rFonts w:ascii="Arial" w:hAnsi="Arial" w:cs="Arial"/>
              </w:rPr>
              <w:t>infection</w:t>
            </w:r>
          </w:p>
          <w:p w:rsidR="0060461B" w:rsidRPr="00817F1A" w:rsidRDefault="0060461B" w:rsidP="00BE5A5D">
            <w:pPr>
              <w:rPr>
                <w:rFonts w:ascii="Arial" w:hAnsi="Arial" w:cs="Arial"/>
              </w:rPr>
            </w:pPr>
            <w:r w:rsidRPr="00817F1A">
              <w:rPr>
                <w:rFonts w:ascii="Arial" w:hAnsi="Arial" w:cs="Arial"/>
              </w:rPr>
              <w:t>Concomitant use of hepatotoxic drugs</w:t>
            </w:r>
          </w:p>
        </w:tc>
        <w:tc>
          <w:tcPr>
            <w:tcW w:w="2448" w:type="dxa"/>
            <w:vMerge w:val="restart"/>
          </w:tcPr>
          <w:p w:rsidR="0060461B" w:rsidRPr="00817F1A" w:rsidRDefault="0060461B" w:rsidP="00BE5A5D">
            <w:pPr>
              <w:rPr>
                <w:rFonts w:ascii="Arial" w:hAnsi="Arial" w:cs="Arial"/>
                <w:b/>
              </w:rPr>
            </w:pPr>
          </w:p>
          <w:p w:rsidR="0060461B" w:rsidRPr="00817F1A" w:rsidRDefault="0060461B" w:rsidP="00BE5A5D">
            <w:pPr>
              <w:rPr>
                <w:rFonts w:ascii="Arial" w:hAnsi="Arial" w:cs="Arial"/>
                <w:b/>
              </w:rPr>
            </w:pPr>
          </w:p>
          <w:p w:rsidR="0060461B" w:rsidRPr="00817F1A" w:rsidRDefault="0060461B" w:rsidP="00BE5A5D">
            <w:pPr>
              <w:rPr>
                <w:rFonts w:ascii="Arial" w:hAnsi="Arial" w:cs="Arial"/>
                <w:b/>
              </w:rPr>
            </w:pPr>
          </w:p>
          <w:p w:rsidR="0060461B" w:rsidRPr="00817F1A" w:rsidRDefault="0060461B" w:rsidP="00BE5A5D">
            <w:pPr>
              <w:rPr>
                <w:rFonts w:ascii="Arial" w:hAnsi="Arial" w:cs="Arial"/>
                <w:b/>
              </w:rPr>
            </w:pPr>
          </w:p>
          <w:p w:rsidR="0060461B" w:rsidRPr="00817F1A" w:rsidRDefault="0060461B" w:rsidP="00BE5A5D">
            <w:pPr>
              <w:rPr>
                <w:rFonts w:ascii="Arial" w:hAnsi="Arial" w:cs="Arial"/>
                <w:b/>
              </w:rPr>
            </w:pPr>
            <w:bookmarkStart w:id="663" w:name="_Toc381344345"/>
            <w:r w:rsidRPr="00817F1A">
              <w:rPr>
                <w:rFonts w:ascii="Arial" w:hAnsi="Arial" w:cs="Arial"/>
                <w:b/>
              </w:rPr>
              <w:t>Replace with ATV/r</w:t>
            </w:r>
            <w:bookmarkEnd w:id="663"/>
          </w:p>
          <w:p w:rsidR="0060461B" w:rsidRPr="00817F1A" w:rsidRDefault="0060461B" w:rsidP="00BE5A5D">
            <w:pPr>
              <w:rPr>
                <w:rFonts w:ascii="Arial" w:hAnsi="Arial" w:cs="Arial"/>
              </w:rPr>
            </w:pPr>
          </w:p>
        </w:tc>
      </w:tr>
      <w:tr w:rsidR="0060461B" w:rsidRPr="00817F1A" w:rsidTr="00BE5A5D">
        <w:tc>
          <w:tcPr>
            <w:tcW w:w="738" w:type="dxa"/>
            <w:vMerge/>
          </w:tcPr>
          <w:p w:rsidR="0060461B" w:rsidRPr="00817F1A" w:rsidRDefault="0060461B" w:rsidP="00BE5A5D">
            <w:pPr>
              <w:rPr>
                <w:rFonts w:ascii="Arial" w:hAnsi="Arial" w:cs="Arial"/>
              </w:rPr>
            </w:pPr>
          </w:p>
        </w:tc>
        <w:tc>
          <w:tcPr>
            <w:tcW w:w="2790" w:type="dxa"/>
          </w:tcPr>
          <w:p w:rsidR="0060461B" w:rsidRPr="00817F1A" w:rsidRDefault="0060461B" w:rsidP="00BE5A5D">
            <w:pPr>
              <w:rPr>
                <w:rFonts w:ascii="Arial" w:hAnsi="Arial" w:cs="Arial"/>
                <w:b/>
              </w:rPr>
            </w:pPr>
            <w:bookmarkStart w:id="664" w:name="_Toc381344346"/>
            <w:r w:rsidRPr="00817F1A">
              <w:rPr>
                <w:rFonts w:ascii="Arial" w:hAnsi="Arial" w:cs="Arial"/>
                <w:b/>
              </w:rPr>
              <w:t>Pancreatitis</w:t>
            </w:r>
            <w:bookmarkEnd w:id="664"/>
          </w:p>
        </w:tc>
        <w:tc>
          <w:tcPr>
            <w:tcW w:w="3600" w:type="dxa"/>
          </w:tcPr>
          <w:p w:rsidR="0060461B" w:rsidRPr="00817F1A" w:rsidRDefault="0060461B" w:rsidP="00BE5A5D">
            <w:pPr>
              <w:rPr>
                <w:rFonts w:ascii="Arial" w:hAnsi="Arial" w:cs="Arial"/>
                <w:b/>
              </w:rPr>
            </w:pPr>
            <w:bookmarkStart w:id="665" w:name="_Toc381344347"/>
            <w:r w:rsidRPr="00817F1A">
              <w:rPr>
                <w:rFonts w:ascii="Arial" w:hAnsi="Arial" w:cs="Arial"/>
                <w:b/>
              </w:rPr>
              <w:t>Advanced HIV disease</w:t>
            </w:r>
            <w:bookmarkEnd w:id="665"/>
          </w:p>
        </w:tc>
        <w:tc>
          <w:tcPr>
            <w:tcW w:w="2448" w:type="dxa"/>
            <w:vMerge/>
          </w:tcPr>
          <w:p w:rsidR="0060461B" w:rsidRPr="00817F1A" w:rsidRDefault="0060461B" w:rsidP="00BE5A5D">
            <w:pPr>
              <w:rPr>
                <w:rFonts w:ascii="Arial" w:hAnsi="Arial" w:cs="Arial"/>
              </w:rPr>
            </w:pPr>
          </w:p>
        </w:tc>
      </w:tr>
      <w:tr w:rsidR="0060461B" w:rsidRPr="00817F1A" w:rsidTr="00BE5A5D">
        <w:tc>
          <w:tcPr>
            <w:tcW w:w="738" w:type="dxa"/>
            <w:vMerge/>
          </w:tcPr>
          <w:p w:rsidR="0060461B" w:rsidRPr="00817F1A" w:rsidRDefault="0060461B" w:rsidP="00BE5A5D">
            <w:pPr>
              <w:rPr>
                <w:rFonts w:ascii="Arial" w:hAnsi="Arial" w:cs="Arial"/>
              </w:rPr>
            </w:pPr>
          </w:p>
        </w:tc>
        <w:tc>
          <w:tcPr>
            <w:tcW w:w="2790" w:type="dxa"/>
          </w:tcPr>
          <w:p w:rsidR="0060461B" w:rsidRPr="00817F1A" w:rsidRDefault="0060461B" w:rsidP="00BE5A5D">
            <w:pPr>
              <w:rPr>
                <w:rFonts w:ascii="Arial" w:hAnsi="Arial" w:cs="Arial"/>
                <w:b/>
              </w:rPr>
            </w:pPr>
            <w:bookmarkStart w:id="666" w:name="_Toc381344348"/>
            <w:r w:rsidRPr="00817F1A">
              <w:rPr>
                <w:rFonts w:ascii="Arial" w:hAnsi="Arial" w:cs="Arial"/>
                <w:b/>
              </w:rPr>
              <w:t>Lipoatrophy or metabolic syndrome dyslipidaemia, severe diarrhoea</w:t>
            </w:r>
            <w:bookmarkEnd w:id="666"/>
          </w:p>
        </w:tc>
        <w:tc>
          <w:tcPr>
            <w:tcW w:w="3600" w:type="dxa"/>
          </w:tcPr>
          <w:p w:rsidR="0060461B" w:rsidRPr="00817F1A" w:rsidRDefault="0060461B" w:rsidP="00BE5A5D">
            <w:pPr>
              <w:rPr>
                <w:rFonts w:ascii="Arial" w:hAnsi="Arial" w:cs="Arial"/>
                <w:b/>
              </w:rPr>
            </w:pPr>
            <w:bookmarkStart w:id="667" w:name="_Toc381344349"/>
            <w:r w:rsidRPr="00817F1A">
              <w:rPr>
                <w:rFonts w:ascii="Arial" w:hAnsi="Arial" w:cs="Arial"/>
                <w:b/>
                <w:bCs/>
              </w:rPr>
              <w:t>Risk factors u</w:t>
            </w:r>
            <w:r w:rsidRPr="00817F1A">
              <w:rPr>
                <w:rFonts w:ascii="Arial" w:hAnsi="Arial" w:cs="Arial"/>
                <w:b/>
              </w:rPr>
              <w:t>nknown</w:t>
            </w:r>
            <w:bookmarkEnd w:id="667"/>
          </w:p>
        </w:tc>
        <w:tc>
          <w:tcPr>
            <w:tcW w:w="2448" w:type="dxa"/>
            <w:vMerge/>
          </w:tcPr>
          <w:p w:rsidR="0060461B" w:rsidRPr="00817F1A" w:rsidRDefault="0060461B" w:rsidP="00BE5A5D">
            <w:pPr>
              <w:rPr>
                <w:rFonts w:ascii="Arial" w:hAnsi="Arial" w:cs="Arial"/>
              </w:rPr>
            </w:pPr>
          </w:p>
        </w:tc>
      </w:tr>
      <w:tr w:rsidR="0060461B" w:rsidRPr="00817F1A" w:rsidTr="00BE5A5D">
        <w:tc>
          <w:tcPr>
            <w:tcW w:w="738" w:type="dxa"/>
            <w:vMerge w:val="restart"/>
            <w:shd w:val="clear" w:color="auto" w:fill="D9D9D9"/>
          </w:tcPr>
          <w:p w:rsidR="0060461B" w:rsidRPr="00817F1A" w:rsidRDefault="0060461B" w:rsidP="00BE5A5D">
            <w:pPr>
              <w:rPr>
                <w:rFonts w:ascii="Arial" w:hAnsi="Arial" w:cs="Arial"/>
              </w:rPr>
            </w:pPr>
            <w:r w:rsidRPr="00817F1A">
              <w:rPr>
                <w:rFonts w:ascii="Arial" w:hAnsi="Arial" w:cs="Arial"/>
              </w:rPr>
              <w:t>ATV/r</w:t>
            </w:r>
          </w:p>
        </w:tc>
        <w:tc>
          <w:tcPr>
            <w:tcW w:w="2790" w:type="dxa"/>
            <w:shd w:val="clear" w:color="auto" w:fill="D9D9D9"/>
          </w:tcPr>
          <w:p w:rsidR="0060461B" w:rsidRPr="00817F1A" w:rsidRDefault="0060461B" w:rsidP="00BE5A5D">
            <w:pPr>
              <w:rPr>
                <w:rFonts w:ascii="Arial" w:hAnsi="Arial" w:cs="Arial"/>
                <w:b/>
              </w:rPr>
            </w:pPr>
            <w:bookmarkStart w:id="668" w:name="_Toc381344350"/>
            <w:r w:rsidRPr="00817F1A">
              <w:rPr>
                <w:rFonts w:ascii="Arial" w:hAnsi="Arial" w:cs="Arial"/>
                <w:b/>
              </w:rPr>
              <w:t>Indirect hyperbilirubinaemia (clinical jaundice)</w:t>
            </w:r>
            <w:bookmarkEnd w:id="668"/>
            <w:r w:rsidRPr="00817F1A">
              <w:rPr>
                <w:rFonts w:ascii="Arial" w:hAnsi="Arial" w:cs="Arial"/>
                <w:b/>
              </w:rPr>
              <w:t xml:space="preserve"> </w:t>
            </w:r>
          </w:p>
          <w:p w:rsidR="0060461B" w:rsidRPr="00817F1A" w:rsidRDefault="0060461B" w:rsidP="00BE5A5D">
            <w:pPr>
              <w:rPr>
                <w:rFonts w:ascii="Arial" w:hAnsi="Arial" w:cs="Arial"/>
              </w:rPr>
            </w:pPr>
          </w:p>
          <w:p w:rsidR="0060461B" w:rsidRPr="00817F1A" w:rsidRDefault="0060461B" w:rsidP="00BE5A5D">
            <w:pPr>
              <w:rPr>
                <w:rFonts w:ascii="Arial" w:hAnsi="Arial" w:cs="Arial"/>
                <w:b/>
              </w:rPr>
            </w:pPr>
          </w:p>
        </w:tc>
        <w:tc>
          <w:tcPr>
            <w:tcW w:w="3600" w:type="dxa"/>
            <w:shd w:val="clear" w:color="auto" w:fill="D9D9D9"/>
          </w:tcPr>
          <w:p w:rsidR="0060461B" w:rsidRPr="00817F1A" w:rsidRDefault="0060461B" w:rsidP="00BE5A5D">
            <w:pPr>
              <w:rPr>
                <w:rFonts w:ascii="Arial" w:hAnsi="Arial" w:cs="Arial"/>
              </w:rPr>
            </w:pPr>
            <w:r w:rsidRPr="00817F1A">
              <w:rPr>
                <w:rFonts w:ascii="Arial" w:hAnsi="Arial" w:cs="Arial"/>
              </w:rPr>
              <w:t>Underlying hepatic disease</w:t>
            </w:r>
          </w:p>
          <w:p w:rsidR="0060461B" w:rsidRPr="00817F1A" w:rsidRDefault="0060461B" w:rsidP="00BE5A5D">
            <w:pPr>
              <w:rPr>
                <w:rFonts w:ascii="Arial" w:hAnsi="Arial" w:cs="Arial"/>
              </w:rPr>
            </w:pPr>
            <w:r w:rsidRPr="00817F1A">
              <w:rPr>
                <w:rFonts w:ascii="Arial" w:hAnsi="Arial" w:cs="Arial"/>
              </w:rPr>
              <w:t>HBV and HCV co infection</w:t>
            </w:r>
          </w:p>
          <w:p w:rsidR="0060461B" w:rsidRPr="00817F1A" w:rsidRDefault="0060461B" w:rsidP="00BE5A5D">
            <w:pPr>
              <w:rPr>
                <w:rFonts w:ascii="Arial" w:hAnsi="Arial" w:cs="Arial"/>
              </w:rPr>
            </w:pPr>
            <w:r w:rsidRPr="00817F1A">
              <w:rPr>
                <w:rFonts w:ascii="Arial" w:hAnsi="Arial" w:cs="Arial"/>
              </w:rPr>
              <w:t>Concomitant use of hepatotoxic drugs</w:t>
            </w:r>
          </w:p>
        </w:tc>
        <w:tc>
          <w:tcPr>
            <w:tcW w:w="2448" w:type="dxa"/>
            <w:shd w:val="clear" w:color="auto" w:fill="D9D9D9"/>
          </w:tcPr>
          <w:p w:rsidR="0060461B" w:rsidRPr="00817F1A" w:rsidRDefault="0060461B" w:rsidP="00BE5A5D">
            <w:pPr>
              <w:rPr>
                <w:rFonts w:ascii="Arial" w:hAnsi="Arial" w:cs="Arial"/>
                <w:b/>
              </w:rPr>
            </w:pPr>
            <w:bookmarkStart w:id="669" w:name="_Toc381344351"/>
            <w:r w:rsidRPr="00817F1A">
              <w:rPr>
                <w:rFonts w:ascii="Arial" w:hAnsi="Arial" w:cs="Arial"/>
                <w:b/>
              </w:rPr>
              <w:t>ATV/r should be replaced with LPV/r if severe jaundice develops with significantly raised transaminases, otherwise the indirect  hyperbilirunemia is usually transient and ATV/r can be continued</w:t>
            </w:r>
            <w:bookmarkEnd w:id="669"/>
          </w:p>
        </w:tc>
      </w:tr>
      <w:tr w:rsidR="0060461B" w:rsidRPr="00817F1A" w:rsidTr="00BE5A5D">
        <w:tc>
          <w:tcPr>
            <w:tcW w:w="738" w:type="dxa"/>
            <w:vMerge/>
            <w:shd w:val="clear" w:color="auto" w:fill="D9D9D9"/>
          </w:tcPr>
          <w:p w:rsidR="0060461B" w:rsidRPr="00817F1A" w:rsidRDefault="0060461B" w:rsidP="00BE5A5D">
            <w:pPr>
              <w:rPr>
                <w:rFonts w:ascii="Arial" w:hAnsi="Arial" w:cs="Arial"/>
              </w:rPr>
            </w:pPr>
          </w:p>
        </w:tc>
        <w:tc>
          <w:tcPr>
            <w:tcW w:w="2790" w:type="dxa"/>
            <w:shd w:val="clear" w:color="auto" w:fill="D9D9D9"/>
          </w:tcPr>
          <w:p w:rsidR="0060461B" w:rsidRPr="00817F1A" w:rsidRDefault="0060461B" w:rsidP="00BE5A5D">
            <w:pPr>
              <w:rPr>
                <w:rFonts w:ascii="Arial" w:hAnsi="Arial" w:cs="Arial"/>
                <w:b/>
              </w:rPr>
            </w:pPr>
            <w:bookmarkStart w:id="670" w:name="_Toc381344352"/>
            <w:r w:rsidRPr="00817F1A">
              <w:rPr>
                <w:rFonts w:ascii="Arial" w:hAnsi="Arial" w:cs="Arial"/>
                <w:b/>
              </w:rPr>
              <w:t>Nephrolithiasis and risk of prematurity</w:t>
            </w:r>
            <w:bookmarkEnd w:id="670"/>
            <w:r w:rsidRPr="00817F1A">
              <w:rPr>
                <w:rFonts w:ascii="Arial" w:hAnsi="Arial" w:cs="Arial"/>
                <w:b/>
              </w:rPr>
              <w:t xml:space="preserve"> </w:t>
            </w:r>
          </w:p>
        </w:tc>
        <w:tc>
          <w:tcPr>
            <w:tcW w:w="3600" w:type="dxa"/>
            <w:shd w:val="clear" w:color="auto" w:fill="D9D9D9"/>
          </w:tcPr>
          <w:p w:rsidR="0060461B" w:rsidRPr="00817F1A" w:rsidRDefault="0060461B" w:rsidP="00BE5A5D">
            <w:pPr>
              <w:rPr>
                <w:rFonts w:ascii="Arial" w:hAnsi="Arial" w:cs="Arial"/>
                <w:b/>
              </w:rPr>
            </w:pPr>
            <w:bookmarkStart w:id="671" w:name="_Toc381344353"/>
            <w:r w:rsidRPr="00817F1A">
              <w:rPr>
                <w:rFonts w:ascii="Arial" w:hAnsi="Arial" w:cs="Arial"/>
                <w:b/>
              </w:rPr>
              <w:t>Risk factors unknown</w:t>
            </w:r>
            <w:bookmarkEnd w:id="671"/>
            <w:r w:rsidRPr="00817F1A">
              <w:rPr>
                <w:rFonts w:ascii="Arial" w:hAnsi="Arial" w:cs="Arial"/>
                <w:b/>
              </w:rPr>
              <w:t xml:space="preserve"> </w:t>
            </w:r>
          </w:p>
        </w:tc>
        <w:tc>
          <w:tcPr>
            <w:tcW w:w="2448" w:type="dxa"/>
            <w:shd w:val="clear" w:color="auto" w:fill="D9D9D9"/>
          </w:tcPr>
          <w:p w:rsidR="0060461B" w:rsidRPr="00817F1A" w:rsidRDefault="0060461B" w:rsidP="00BE5A5D">
            <w:pPr>
              <w:rPr>
                <w:rFonts w:ascii="Arial" w:hAnsi="Arial" w:cs="Arial"/>
                <w:b/>
              </w:rPr>
            </w:pPr>
            <w:bookmarkStart w:id="672" w:name="_Toc381344354"/>
            <w:r w:rsidRPr="00817F1A">
              <w:rPr>
                <w:rFonts w:ascii="Arial" w:hAnsi="Arial" w:cs="Arial"/>
                <w:b/>
              </w:rPr>
              <w:t>Replace with LPV/r</w:t>
            </w:r>
            <w:bookmarkEnd w:id="672"/>
            <w:r w:rsidRPr="00817F1A">
              <w:rPr>
                <w:rFonts w:ascii="Arial" w:hAnsi="Arial" w:cs="Arial"/>
                <w:b/>
              </w:rPr>
              <w:t xml:space="preserve"> </w:t>
            </w:r>
          </w:p>
          <w:p w:rsidR="0060461B" w:rsidRPr="00817F1A" w:rsidRDefault="0060461B" w:rsidP="00BE5A5D">
            <w:pPr>
              <w:rPr>
                <w:rFonts w:ascii="Arial" w:hAnsi="Arial" w:cs="Arial"/>
                <w:b/>
              </w:rPr>
            </w:pPr>
          </w:p>
        </w:tc>
      </w:tr>
      <w:tr w:rsidR="0060461B" w:rsidRPr="00817F1A" w:rsidTr="00BE5A5D">
        <w:tc>
          <w:tcPr>
            <w:tcW w:w="738" w:type="dxa"/>
            <w:vMerge w:val="restart"/>
          </w:tcPr>
          <w:p w:rsidR="0060461B" w:rsidRPr="00817F1A" w:rsidRDefault="0060461B" w:rsidP="00BE5A5D">
            <w:pPr>
              <w:rPr>
                <w:rFonts w:ascii="Arial" w:hAnsi="Arial" w:cs="Arial"/>
                <w:b/>
                <w:shd w:val="clear" w:color="auto" w:fill="FFFFFF"/>
              </w:rPr>
            </w:pPr>
          </w:p>
          <w:p w:rsidR="0060461B" w:rsidRPr="00817F1A" w:rsidRDefault="0060461B" w:rsidP="00BE5A5D">
            <w:pPr>
              <w:rPr>
                <w:rFonts w:ascii="Arial" w:hAnsi="Arial" w:cs="Arial"/>
                <w:b/>
                <w:shd w:val="clear" w:color="auto" w:fill="FFFFFF"/>
              </w:rPr>
            </w:pPr>
          </w:p>
          <w:p w:rsidR="0060461B" w:rsidRPr="00817F1A" w:rsidRDefault="0060461B" w:rsidP="00BE5A5D">
            <w:pPr>
              <w:rPr>
                <w:rFonts w:ascii="Arial" w:hAnsi="Arial" w:cs="Arial"/>
                <w:b/>
                <w:shd w:val="clear" w:color="auto" w:fill="FFFFFF"/>
              </w:rPr>
            </w:pPr>
          </w:p>
          <w:p w:rsidR="0060461B" w:rsidRPr="00817F1A" w:rsidRDefault="0060461B" w:rsidP="00BE5A5D">
            <w:pPr>
              <w:rPr>
                <w:rFonts w:ascii="Arial" w:hAnsi="Arial" w:cs="Arial"/>
                <w:b/>
                <w:shd w:val="clear" w:color="auto" w:fill="FFFFFF"/>
              </w:rPr>
            </w:pPr>
          </w:p>
          <w:p w:rsidR="0060461B" w:rsidRPr="00817F1A" w:rsidRDefault="0060461B" w:rsidP="00BE5A5D">
            <w:pPr>
              <w:rPr>
                <w:rFonts w:ascii="Arial" w:hAnsi="Arial" w:cs="Arial"/>
                <w:b/>
                <w:shd w:val="clear" w:color="auto" w:fill="FFFFFF"/>
              </w:rPr>
            </w:pPr>
          </w:p>
          <w:p w:rsidR="0060461B" w:rsidRPr="00817F1A" w:rsidRDefault="0060461B" w:rsidP="00BE5A5D">
            <w:pPr>
              <w:rPr>
                <w:rFonts w:ascii="Arial" w:hAnsi="Arial" w:cs="Arial"/>
                <w:b/>
              </w:rPr>
            </w:pPr>
            <w:bookmarkStart w:id="673" w:name="_Toc381344355"/>
            <w:r w:rsidRPr="00817F1A">
              <w:rPr>
                <w:rFonts w:ascii="Arial" w:hAnsi="Arial" w:cs="Arial"/>
                <w:b/>
                <w:shd w:val="clear" w:color="auto" w:fill="FFFFFF"/>
              </w:rPr>
              <w:t>E</w:t>
            </w:r>
            <w:r w:rsidRPr="00817F1A">
              <w:rPr>
                <w:rFonts w:ascii="Arial" w:hAnsi="Arial" w:cs="Arial"/>
                <w:b/>
              </w:rPr>
              <w:t>FV</w:t>
            </w:r>
            <w:bookmarkEnd w:id="673"/>
          </w:p>
          <w:p w:rsidR="0060461B" w:rsidRPr="00817F1A" w:rsidRDefault="0060461B" w:rsidP="00BE5A5D">
            <w:pPr>
              <w:rPr>
                <w:rFonts w:ascii="Arial" w:hAnsi="Arial" w:cs="Arial"/>
              </w:rPr>
            </w:pPr>
          </w:p>
        </w:tc>
        <w:tc>
          <w:tcPr>
            <w:tcW w:w="2790" w:type="dxa"/>
          </w:tcPr>
          <w:p w:rsidR="0060461B" w:rsidRPr="00817F1A" w:rsidRDefault="0060461B" w:rsidP="00BE5A5D">
            <w:pPr>
              <w:rPr>
                <w:rFonts w:ascii="Arial" w:hAnsi="Arial" w:cs="Arial"/>
              </w:rPr>
            </w:pPr>
            <w:r w:rsidRPr="00817F1A">
              <w:rPr>
                <w:rFonts w:ascii="Arial" w:hAnsi="Arial" w:cs="Arial"/>
              </w:rPr>
              <w:t>Persistent central nervous system toxicity (such as abnormal dreams, depression or mental confusion)</w:t>
            </w:r>
          </w:p>
        </w:tc>
        <w:tc>
          <w:tcPr>
            <w:tcW w:w="3600" w:type="dxa"/>
          </w:tcPr>
          <w:p w:rsidR="0060461B" w:rsidRPr="00817F1A" w:rsidRDefault="0060461B" w:rsidP="00BE5A5D">
            <w:pPr>
              <w:rPr>
                <w:rFonts w:ascii="Arial" w:hAnsi="Arial" w:cs="Arial"/>
              </w:rPr>
            </w:pPr>
            <w:r w:rsidRPr="00817F1A">
              <w:rPr>
                <w:rFonts w:ascii="Arial" w:hAnsi="Arial" w:cs="Arial"/>
              </w:rPr>
              <w:t>Depression or other mental disorder (previous or at baseline)</w:t>
            </w:r>
          </w:p>
          <w:p w:rsidR="0060461B" w:rsidRPr="00817F1A" w:rsidRDefault="0060461B" w:rsidP="00BE5A5D">
            <w:pPr>
              <w:rPr>
                <w:rFonts w:ascii="Arial" w:hAnsi="Arial" w:cs="Arial"/>
              </w:rPr>
            </w:pPr>
            <w:r w:rsidRPr="00817F1A">
              <w:rPr>
                <w:rFonts w:ascii="Arial" w:hAnsi="Arial" w:cs="Arial"/>
              </w:rPr>
              <w:t>Daytime dosing</w:t>
            </w:r>
          </w:p>
        </w:tc>
        <w:tc>
          <w:tcPr>
            <w:tcW w:w="2448" w:type="dxa"/>
            <w:vMerge w:val="restart"/>
            <w:vAlign w:val="center"/>
          </w:tcPr>
          <w:p w:rsidR="0060461B" w:rsidRPr="00817F1A" w:rsidRDefault="0060461B" w:rsidP="00BE5A5D">
            <w:pPr>
              <w:rPr>
                <w:rFonts w:ascii="Arial" w:hAnsi="Arial" w:cs="Arial"/>
              </w:rPr>
            </w:pPr>
            <w:r w:rsidRPr="00817F1A">
              <w:rPr>
                <w:rFonts w:ascii="Arial" w:hAnsi="Arial" w:cs="Arial"/>
              </w:rPr>
              <w:t>Replace with NVP. If the person cannot tolerate either NNRTI, use boosted PIs</w:t>
            </w:r>
          </w:p>
        </w:tc>
      </w:tr>
      <w:tr w:rsidR="0060461B" w:rsidRPr="00817F1A" w:rsidTr="00BE5A5D">
        <w:tc>
          <w:tcPr>
            <w:tcW w:w="738" w:type="dxa"/>
            <w:vMerge/>
          </w:tcPr>
          <w:p w:rsidR="0060461B" w:rsidRPr="00817F1A" w:rsidRDefault="0060461B" w:rsidP="00BE5A5D">
            <w:pPr>
              <w:rPr>
                <w:rFonts w:ascii="Arial" w:hAnsi="Arial" w:cs="Arial"/>
              </w:rPr>
            </w:pPr>
          </w:p>
        </w:tc>
        <w:tc>
          <w:tcPr>
            <w:tcW w:w="2790" w:type="dxa"/>
          </w:tcPr>
          <w:p w:rsidR="0060461B" w:rsidRPr="00817F1A" w:rsidRDefault="0060461B" w:rsidP="00BE5A5D">
            <w:pPr>
              <w:rPr>
                <w:rFonts w:ascii="Arial" w:hAnsi="Arial" w:cs="Arial"/>
                <w:b/>
              </w:rPr>
            </w:pPr>
            <w:bookmarkStart w:id="674" w:name="_Toc381344356"/>
            <w:r w:rsidRPr="00817F1A">
              <w:rPr>
                <w:rFonts w:ascii="Arial" w:hAnsi="Arial" w:cs="Arial"/>
                <w:b/>
              </w:rPr>
              <w:t>Hepatotoxicity</w:t>
            </w:r>
            <w:bookmarkEnd w:id="674"/>
            <w:r w:rsidRPr="00817F1A">
              <w:rPr>
                <w:rFonts w:ascii="Arial" w:hAnsi="Arial" w:cs="Arial"/>
                <w:b/>
              </w:rPr>
              <w:t xml:space="preserve"> </w:t>
            </w:r>
          </w:p>
        </w:tc>
        <w:tc>
          <w:tcPr>
            <w:tcW w:w="3600" w:type="dxa"/>
          </w:tcPr>
          <w:p w:rsidR="0060461B" w:rsidRPr="00817F1A" w:rsidRDefault="0060461B" w:rsidP="00BE5A5D">
            <w:pPr>
              <w:rPr>
                <w:rFonts w:ascii="Arial" w:hAnsi="Arial" w:cs="Arial"/>
              </w:rPr>
            </w:pPr>
            <w:r w:rsidRPr="00817F1A">
              <w:rPr>
                <w:rFonts w:ascii="Arial" w:hAnsi="Arial" w:cs="Arial"/>
              </w:rPr>
              <w:t>Underlying hepatic disease – HBV and HCV co infection</w:t>
            </w:r>
          </w:p>
          <w:p w:rsidR="0060461B" w:rsidRPr="00817F1A" w:rsidRDefault="0060461B" w:rsidP="00BE5A5D">
            <w:pPr>
              <w:rPr>
                <w:rFonts w:ascii="Arial" w:hAnsi="Arial" w:cs="Arial"/>
              </w:rPr>
            </w:pPr>
            <w:r w:rsidRPr="00817F1A">
              <w:rPr>
                <w:rFonts w:ascii="Arial" w:hAnsi="Arial" w:cs="Arial"/>
              </w:rPr>
              <w:t>Concomitant use of hepatotoxic drug</w:t>
            </w:r>
          </w:p>
        </w:tc>
        <w:tc>
          <w:tcPr>
            <w:tcW w:w="2448" w:type="dxa"/>
            <w:vMerge/>
          </w:tcPr>
          <w:p w:rsidR="0060461B" w:rsidRPr="00817F1A" w:rsidRDefault="0060461B" w:rsidP="00BE5A5D">
            <w:pPr>
              <w:rPr>
                <w:rFonts w:ascii="Arial" w:hAnsi="Arial" w:cs="Arial"/>
              </w:rPr>
            </w:pPr>
          </w:p>
        </w:tc>
      </w:tr>
      <w:tr w:rsidR="0060461B" w:rsidRPr="00817F1A" w:rsidTr="00BE5A5D">
        <w:trPr>
          <w:trHeight w:val="251"/>
        </w:trPr>
        <w:tc>
          <w:tcPr>
            <w:tcW w:w="738" w:type="dxa"/>
            <w:vMerge/>
          </w:tcPr>
          <w:p w:rsidR="0060461B" w:rsidRPr="00817F1A" w:rsidRDefault="0060461B" w:rsidP="00BE5A5D">
            <w:pPr>
              <w:rPr>
                <w:rFonts w:ascii="Arial" w:hAnsi="Arial" w:cs="Arial"/>
              </w:rPr>
            </w:pPr>
          </w:p>
        </w:tc>
        <w:tc>
          <w:tcPr>
            <w:tcW w:w="2790" w:type="dxa"/>
          </w:tcPr>
          <w:p w:rsidR="0060461B" w:rsidRPr="00817F1A" w:rsidRDefault="0060461B" w:rsidP="00BE5A5D">
            <w:pPr>
              <w:rPr>
                <w:rFonts w:ascii="Arial" w:hAnsi="Arial" w:cs="Arial"/>
              </w:rPr>
            </w:pPr>
            <w:r w:rsidRPr="00817F1A">
              <w:rPr>
                <w:rFonts w:ascii="Arial" w:hAnsi="Arial" w:cs="Arial"/>
              </w:rPr>
              <w:t>Convulsions</w:t>
            </w:r>
          </w:p>
        </w:tc>
        <w:tc>
          <w:tcPr>
            <w:tcW w:w="3600" w:type="dxa"/>
          </w:tcPr>
          <w:p w:rsidR="0060461B" w:rsidRPr="00817F1A" w:rsidRDefault="0060461B" w:rsidP="00BE5A5D">
            <w:pPr>
              <w:rPr>
                <w:rFonts w:ascii="Arial" w:hAnsi="Arial" w:cs="Arial"/>
                <w:b/>
              </w:rPr>
            </w:pPr>
            <w:bookmarkStart w:id="675" w:name="_Toc381344357"/>
            <w:r w:rsidRPr="00817F1A">
              <w:rPr>
                <w:rFonts w:ascii="Arial" w:hAnsi="Arial" w:cs="Arial"/>
                <w:b/>
              </w:rPr>
              <w:t>History of seizure</w:t>
            </w:r>
            <w:bookmarkEnd w:id="675"/>
          </w:p>
        </w:tc>
        <w:tc>
          <w:tcPr>
            <w:tcW w:w="2448" w:type="dxa"/>
            <w:vMerge/>
          </w:tcPr>
          <w:p w:rsidR="0060461B" w:rsidRPr="00817F1A" w:rsidRDefault="0060461B" w:rsidP="00BE5A5D">
            <w:pPr>
              <w:rPr>
                <w:rFonts w:ascii="Arial" w:hAnsi="Arial" w:cs="Arial"/>
              </w:rPr>
            </w:pPr>
          </w:p>
        </w:tc>
      </w:tr>
      <w:tr w:rsidR="0060461B" w:rsidRPr="00817F1A" w:rsidTr="00BE5A5D">
        <w:tc>
          <w:tcPr>
            <w:tcW w:w="738" w:type="dxa"/>
            <w:vMerge/>
          </w:tcPr>
          <w:p w:rsidR="0060461B" w:rsidRPr="00817F1A" w:rsidRDefault="0060461B" w:rsidP="00BE5A5D">
            <w:pPr>
              <w:rPr>
                <w:rFonts w:ascii="Arial" w:hAnsi="Arial" w:cs="Arial"/>
              </w:rPr>
            </w:pPr>
          </w:p>
        </w:tc>
        <w:tc>
          <w:tcPr>
            <w:tcW w:w="2790" w:type="dxa"/>
          </w:tcPr>
          <w:p w:rsidR="0060461B" w:rsidRPr="00817F1A" w:rsidRDefault="0060461B" w:rsidP="00BE5A5D">
            <w:pPr>
              <w:rPr>
                <w:rFonts w:ascii="Arial" w:hAnsi="Arial" w:cs="Arial"/>
              </w:rPr>
            </w:pPr>
            <w:r w:rsidRPr="00817F1A">
              <w:rPr>
                <w:rFonts w:ascii="Arial" w:hAnsi="Arial" w:cs="Arial"/>
              </w:rPr>
              <w:t>Hypersensitivity reaction, Stevens-Johnson syndrome</w:t>
            </w:r>
          </w:p>
        </w:tc>
        <w:tc>
          <w:tcPr>
            <w:tcW w:w="3600" w:type="dxa"/>
            <w:vMerge w:val="restart"/>
          </w:tcPr>
          <w:p w:rsidR="0060461B" w:rsidRPr="00817F1A" w:rsidRDefault="0060461B" w:rsidP="00BE5A5D">
            <w:pPr>
              <w:rPr>
                <w:rFonts w:ascii="Arial" w:hAnsi="Arial" w:cs="Arial"/>
                <w:b/>
              </w:rPr>
            </w:pPr>
          </w:p>
          <w:p w:rsidR="0060461B" w:rsidRPr="00817F1A" w:rsidRDefault="0060461B" w:rsidP="00BE5A5D">
            <w:pPr>
              <w:rPr>
                <w:rFonts w:ascii="Arial" w:hAnsi="Arial" w:cs="Arial"/>
                <w:b/>
              </w:rPr>
            </w:pPr>
          </w:p>
          <w:p w:rsidR="0060461B" w:rsidRPr="00817F1A" w:rsidRDefault="0060461B" w:rsidP="00BE5A5D">
            <w:pPr>
              <w:rPr>
                <w:rFonts w:ascii="Arial" w:hAnsi="Arial" w:cs="Arial"/>
                <w:b/>
              </w:rPr>
            </w:pPr>
            <w:bookmarkStart w:id="676" w:name="_Toc381344358"/>
            <w:r w:rsidRPr="00817F1A">
              <w:rPr>
                <w:rFonts w:ascii="Arial" w:hAnsi="Arial" w:cs="Arial"/>
                <w:b/>
              </w:rPr>
              <w:t>Risk factors unknown</w:t>
            </w:r>
            <w:bookmarkEnd w:id="676"/>
          </w:p>
        </w:tc>
        <w:tc>
          <w:tcPr>
            <w:tcW w:w="2448" w:type="dxa"/>
            <w:vMerge/>
          </w:tcPr>
          <w:p w:rsidR="0060461B" w:rsidRPr="00817F1A" w:rsidRDefault="0060461B" w:rsidP="00BE5A5D">
            <w:pPr>
              <w:rPr>
                <w:rFonts w:ascii="Arial" w:hAnsi="Arial" w:cs="Arial"/>
              </w:rPr>
            </w:pPr>
          </w:p>
        </w:tc>
      </w:tr>
      <w:tr w:rsidR="0060461B" w:rsidRPr="00817F1A" w:rsidTr="00BE5A5D">
        <w:tc>
          <w:tcPr>
            <w:tcW w:w="738" w:type="dxa"/>
            <w:vMerge/>
          </w:tcPr>
          <w:p w:rsidR="0060461B" w:rsidRPr="00817F1A" w:rsidRDefault="0060461B" w:rsidP="00BE5A5D">
            <w:pPr>
              <w:rPr>
                <w:rFonts w:ascii="Arial" w:hAnsi="Arial" w:cs="Arial"/>
              </w:rPr>
            </w:pPr>
          </w:p>
        </w:tc>
        <w:tc>
          <w:tcPr>
            <w:tcW w:w="2790" w:type="dxa"/>
          </w:tcPr>
          <w:p w:rsidR="0060461B" w:rsidRPr="00817F1A" w:rsidRDefault="0060461B" w:rsidP="00BE5A5D">
            <w:pPr>
              <w:rPr>
                <w:rFonts w:ascii="Arial" w:hAnsi="Arial" w:cs="Arial"/>
              </w:rPr>
            </w:pPr>
            <w:r w:rsidRPr="00817F1A">
              <w:rPr>
                <w:rFonts w:ascii="Arial" w:hAnsi="Arial" w:cs="Arial"/>
              </w:rPr>
              <w:t>Potential risk of neural tube birth defects</w:t>
            </w:r>
          </w:p>
          <w:p w:rsidR="0060461B" w:rsidRPr="00817F1A" w:rsidRDefault="0060461B" w:rsidP="00BE5A5D">
            <w:pPr>
              <w:rPr>
                <w:rFonts w:ascii="Arial" w:hAnsi="Arial" w:cs="Arial"/>
              </w:rPr>
            </w:pPr>
            <w:r w:rsidRPr="00817F1A">
              <w:rPr>
                <w:rFonts w:ascii="Arial" w:hAnsi="Arial" w:cs="Arial"/>
              </w:rPr>
              <w:t>(very low risk in humans)</w:t>
            </w:r>
          </w:p>
        </w:tc>
        <w:tc>
          <w:tcPr>
            <w:tcW w:w="3600" w:type="dxa"/>
            <w:vMerge/>
          </w:tcPr>
          <w:p w:rsidR="0060461B" w:rsidRPr="00817F1A" w:rsidRDefault="0060461B" w:rsidP="00BE5A5D">
            <w:pPr>
              <w:rPr>
                <w:rFonts w:ascii="Arial" w:hAnsi="Arial" w:cs="Arial"/>
              </w:rPr>
            </w:pPr>
          </w:p>
        </w:tc>
        <w:tc>
          <w:tcPr>
            <w:tcW w:w="2448" w:type="dxa"/>
            <w:vMerge/>
          </w:tcPr>
          <w:p w:rsidR="0060461B" w:rsidRPr="00817F1A" w:rsidRDefault="0060461B" w:rsidP="00BE5A5D">
            <w:pPr>
              <w:rPr>
                <w:rFonts w:ascii="Arial" w:hAnsi="Arial" w:cs="Arial"/>
              </w:rPr>
            </w:pPr>
          </w:p>
        </w:tc>
      </w:tr>
      <w:tr w:rsidR="0060461B" w:rsidRPr="00817F1A" w:rsidTr="00BE5A5D">
        <w:tc>
          <w:tcPr>
            <w:tcW w:w="738" w:type="dxa"/>
            <w:vMerge/>
          </w:tcPr>
          <w:p w:rsidR="0060461B" w:rsidRPr="00817F1A" w:rsidRDefault="0060461B" w:rsidP="00BE5A5D">
            <w:pPr>
              <w:rPr>
                <w:rFonts w:ascii="Arial" w:hAnsi="Arial" w:cs="Arial"/>
              </w:rPr>
            </w:pPr>
          </w:p>
        </w:tc>
        <w:tc>
          <w:tcPr>
            <w:tcW w:w="2790" w:type="dxa"/>
          </w:tcPr>
          <w:p w:rsidR="0060461B" w:rsidRPr="00817F1A" w:rsidRDefault="0060461B" w:rsidP="00BE5A5D">
            <w:pPr>
              <w:rPr>
                <w:rFonts w:ascii="Arial" w:hAnsi="Arial" w:cs="Arial"/>
                <w:b/>
              </w:rPr>
            </w:pPr>
            <w:bookmarkStart w:id="677" w:name="_Toc381344359"/>
            <w:r w:rsidRPr="00817F1A">
              <w:rPr>
                <w:rFonts w:ascii="Arial" w:hAnsi="Arial" w:cs="Arial"/>
                <w:b/>
              </w:rPr>
              <w:t>Male gynaecomastia</w:t>
            </w:r>
            <w:bookmarkEnd w:id="677"/>
          </w:p>
        </w:tc>
        <w:tc>
          <w:tcPr>
            <w:tcW w:w="3600" w:type="dxa"/>
            <w:vMerge/>
          </w:tcPr>
          <w:p w:rsidR="0060461B" w:rsidRPr="00817F1A" w:rsidRDefault="0060461B" w:rsidP="00BE5A5D">
            <w:pPr>
              <w:rPr>
                <w:rFonts w:ascii="Arial" w:hAnsi="Arial" w:cs="Arial"/>
              </w:rPr>
            </w:pPr>
          </w:p>
        </w:tc>
        <w:tc>
          <w:tcPr>
            <w:tcW w:w="2448" w:type="dxa"/>
            <w:vMerge/>
          </w:tcPr>
          <w:p w:rsidR="0060461B" w:rsidRPr="00817F1A" w:rsidRDefault="0060461B" w:rsidP="00BE5A5D">
            <w:pPr>
              <w:rPr>
                <w:rFonts w:ascii="Arial" w:hAnsi="Arial" w:cs="Arial"/>
              </w:rPr>
            </w:pPr>
          </w:p>
        </w:tc>
      </w:tr>
      <w:tr w:rsidR="0060461B" w:rsidRPr="00817F1A" w:rsidTr="00BE5A5D">
        <w:tc>
          <w:tcPr>
            <w:tcW w:w="738" w:type="dxa"/>
            <w:vMerge w:val="restart"/>
            <w:shd w:val="clear" w:color="auto" w:fill="D9D9D9"/>
          </w:tcPr>
          <w:p w:rsidR="0060461B" w:rsidRPr="00817F1A" w:rsidRDefault="0060461B" w:rsidP="00BE5A5D">
            <w:pPr>
              <w:rPr>
                <w:rFonts w:ascii="Arial" w:hAnsi="Arial" w:cs="Arial"/>
              </w:rPr>
            </w:pPr>
            <w:r w:rsidRPr="00817F1A">
              <w:rPr>
                <w:rFonts w:ascii="Arial" w:hAnsi="Arial" w:cs="Arial"/>
              </w:rPr>
              <w:t>NVP</w:t>
            </w:r>
          </w:p>
        </w:tc>
        <w:tc>
          <w:tcPr>
            <w:tcW w:w="2790" w:type="dxa"/>
            <w:shd w:val="clear" w:color="auto" w:fill="D9D9D9"/>
          </w:tcPr>
          <w:p w:rsidR="0060461B" w:rsidRPr="00817F1A" w:rsidRDefault="0060461B" w:rsidP="00BE5A5D">
            <w:pPr>
              <w:rPr>
                <w:rFonts w:ascii="Arial" w:hAnsi="Arial" w:cs="Arial"/>
                <w:bCs/>
              </w:rPr>
            </w:pPr>
            <w:r w:rsidRPr="00817F1A">
              <w:rPr>
                <w:rFonts w:ascii="Arial" w:hAnsi="Arial" w:cs="Arial"/>
              </w:rPr>
              <w:t>Hepatotoxicity</w:t>
            </w:r>
          </w:p>
        </w:tc>
        <w:tc>
          <w:tcPr>
            <w:tcW w:w="3600" w:type="dxa"/>
            <w:shd w:val="clear" w:color="auto" w:fill="D9D9D9"/>
          </w:tcPr>
          <w:p w:rsidR="0060461B" w:rsidRPr="00817F1A" w:rsidRDefault="0060461B" w:rsidP="00BE5A5D">
            <w:pPr>
              <w:rPr>
                <w:rFonts w:ascii="Arial" w:hAnsi="Arial" w:cs="Arial"/>
              </w:rPr>
            </w:pPr>
            <w:r w:rsidRPr="00817F1A">
              <w:rPr>
                <w:rFonts w:ascii="Arial" w:hAnsi="Arial" w:cs="Arial"/>
              </w:rPr>
              <w:t>Underlying hepatic disease</w:t>
            </w:r>
          </w:p>
          <w:p w:rsidR="0060461B" w:rsidRPr="00817F1A" w:rsidRDefault="0060461B" w:rsidP="00BE5A5D">
            <w:pPr>
              <w:rPr>
                <w:rFonts w:ascii="Arial" w:hAnsi="Arial" w:cs="Arial"/>
              </w:rPr>
            </w:pPr>
            <w:r w:rsidRPr="00817F1A">
              <w:rPr>
                <w:rFonts w:ascii="Arial" w:hAnsi="Arial" w:cs="Arial"/>
              </w:rPr>
              <w:t>HBV and HCV co</w:t>
            </w:r>
            <w:r w:rsidR="00B247C9">
              <w:rPr>
                <w:rFonts w:ascii="Arial" w:hAnsi="Arial" w:cs="Arial"/>
              </w:rPr>
              <w:t>-</w:t>
            </w:r>
            <w:r w:rsidRPr="00817F1A">
              <w:rPr>
                <w:rFonts w:ascii="Arial" w:hAnsi="Arial" w:cs="Arial"/>
              </w:rPr>
              <w:t>infection</w:t>
            </w:r>
          </w:p>
          <w:p w:rsidR="0060461B" w:rsidRPr="00817F1A" w:rsidRDefault="0060461B" w:rsidP="00BE5A5D">
            <w:pPr>
              <w:rPr>
                <w:rFonts w:ascii="Arial" w:hAnsi="Arial" w:cs="Arial"/>
              </w:rPr>
            </w:pPr>
            <w:r w:rsidRPr="00817F1A">
              <w:rPr>
                <w:rFonts w:ascii="Arial" w:hAnsi="Arial" w:cs="Arial"/>
              </w:rPr>
              <w:t>Concomitant use of hepatotoxic drugs</w:t>
            </w:r>
          </w:p>
          <w:p w:rsidR="0060461B" w:rsidRPr="00817F1A" w:rsidRDefault="0060461B" w:rsidP="00BE5A5D">
            <w:pPr>
              <w:rPr>
                <w:rFonts w:ascii="Arial" w:hAnsi="Arial" w:cs="Arial"/>
              </w:rPr>
            </w:pPr>
            <w:r w:rsidRPr="00817F1A">
              <w:rPr>
                <w:rFonts w:ascii="Arial" w:hAnsi="Arial" w:cs="Arial"/>
              </w:rPr>
              <w:t>CD4 &gt;250 cells/mm3 in women</w:t>
            </w:r>
          </w:p>
          <w:p w:rsidR="0060461B" w:rsidRPr="00817F1A" w:rsidRDefault="0060461B" w:rsidP="00BE5A5D">
            <w:pPr>
              <w:rPr>
                <w:rFonts w:ascii="Arial" w:hAnsi="Arial" w:cs="Arial"/>
              </w:rPr>
            </w:pPr>
            <w:r w:rsidRPr="00817F1A">
              <w:rPr>
                <w:rFonts w:ascii="Arial" w:hAnsi="Arial" w:cs="Arial"/>
              </w:rPr>
              <w:t>CD4 &gt;400 cells/mm3 for men</w:t>
            </w:r>
          </w:p>
          <w:p w:rsidR="0060461B" w:rsidRPr="00817F1A" w:rsidRDefault="0060461B" w:rsidP="00BE5A5D">
            <w:pPr>
              <w:rPr>
                <w:rFonts w:ascii="Arial" w:hAnsi="Arial" w:cs="Arial"/>
              </w:rPr>
            </w:pPr>
            <w:r w:rsidRPr="00817F1A">
              <w:rPr>
                <w:rFonts w:ascii="Arial" w:hAnsi="Arial" w:cs="Arial"/>
              </w:rPr>
              <w:t>First month of therapy (if lead-in dose is not used)</w:t>
            </w:r>
          </w:p>
        </w:tc>
        <w:tc>
          <w:tcPr>
            <w:tcW w:w="2448" w:type="dxa"/>
            <w:vMerge w:val="restart"/>
            <w:shd w:val="clear" w:color="auto" w:fill="D9D9D9"/>
            <w:vAlign w:val="center"/>
          </w:tcPr>
          <w:p w:rsidR="0060461B" w:rsidRPr="00817F1A" w:rsidRDefault="0060461B" w:rsidP="00BE5A5D">
            <w:pPr>
              <w:rPr>
                <w:rFonts w:ascii="Arial" w:hAnsi="Arial" w:cs="Arial"/>
              </w:rPr>
            </w:pPr>
            <w:r w:rsidRPr="00817F1A">
              <w:rPr>
                <w:rFonts w:ascii="Arial" w:hAnsi="Arial" w:cs="Arial"/>
              </w:rPr>
              <w:t>EFV. If the person cannot tolerate either NNRTI, use boosted PIs</w:t>
            </w:r>
          </w:p>
        </w:tc>
      </w:tr>
      <w:tr w:rsidR="0060461B" w:rsidRPr="00817F1A" w:rsidTr="00BE5A5D">
        <w:tc>
          <w:tcPr>
            <w:tcW w:w="738" w:type="dxa"/>
            <w:vMerge/>
          </w:tcPr>
          <w:p w:rsidR="0060461B" w:rsidRPr="00817F1A" w:rsidRDefault="0060461B" w:rsidP="00BE5A5D">
            <w:pPr>
              <w:rPr>
                <w:rFonts w:ascii="Arial" w:hAnsi="Arial" w:cs="Arial"/>
              </w:rPr>
            </w:pPr>
          </w:p>
        </w:tc>
        <w:tc>
          <w:tcPr>
            <w:tcW w:w="2790" w:type="dxa"/>
            <w:shd w:val="clear" w:color="auto" w:fill="D9D9D9"/>
          </w:tcPr>
          <w:p w:rsidR="0060461B" w:rsidRPr="00817F1A" w:rsidRDefault="0060461B" w:rsidP="00BE5A5D">
            <w:pPr>
              <w:rPr>
                <w:rFonts w:ascii="Arial" w:hAnsi="Arial" w:cs="Arial"/>
              </w:rPr>
            </w:pPr>
            <w:r w:rsidRPr="00817F1A">
              <w:rPr>
                <w:rFonts w:ascii="Arial" w:hAnsi="Arial" w:cs="Arial"/>
              </w:rPr>
              <w:t>Severe skin rash and</w:t>
            </w:r>
          </w:p>
          <w:p w:rsidR="0060461B" w:rsidRPr="00817F1A" w:rsidRDefault="0060461B" w:rsidP="00BE5A5D">
            <w:pPr>
              <w:rPr>
                <w:rFonts w:ascii="Arial" w:hAnsi="Arial" w:cs="Arial"/>
              </w:rPr>
            </w:pPr>
            <w:r w:rsidRPr="00817F1A">
              <w:rPr>
                <w:rFonts w:ascii="Arial" w:hAnsi="Arial" w:cs="Arial"/>
              </w:rPr>
              <w:t>hypersensitivity reaction (Stevens-Johnson syndrome)</w:t>
            </w:r>
          </w:p>
        </w:tc>
        <w:tc>
          <w:tcPr>
            <w:tcW w:w="3600" w:type="dxa"/>
            <w:shd w:val="clear" w:color="auto" w:fill="D9D9D9"/>
          </w:tcPr>
          <w:p w:rsidR="0060461B" w:rsidRPr="00817F1A" w:rsidRDefault="0060461B" w:rsidP="00BE5A5D">
            <w:pPr>
              <w:rPr>
                <w:rFonts w:ascii="Arial" w:hAnsi="Arial" w:cs="Arial"/>
                <w:b/>
              </w:rPr>
            </w:pPr>
            <w:bookmarkStart w:id="678" w:name="_Toc381344360"/>
            <w:r w:rsidRPr="00817F1A">
              <w:rPr>
                <w:rFonts w:ascii="Arial" w:hAnsi="Arial" w:cs="Arial"/>
                <w:b/>
              </w:rPr>
              <w:t>Risk factors unknown</w:t>
            </w:r>
            <w:bookmarkEnd w:id="678"/>
          </w:p>
        </w:tc>
        <w:tc>
          <w:tcPr>
            <w:tcW w:w="2448" w:type="dxa"/>
            <w:vMerge/>
          </w:tcPr>
          <w:p w:rsidR="0060461B" w:rsidRPr="00817F1A" w:rsidRDefault="0060461B" w:rsidP="00BE5A5D">
            <w:pPr>
              <w:rPr>
                <w:rFonts w:ascii="Arial" w:hAnsi="Arial" w:cs="Arial"/>
              </w:rPr>
            </w:pPr>
          </w:p>
        </w:tc>
      </w:tr>
    </w:tbl>
    <w:p w:rsidR="0060461B" w:rsidRPr="000B26AE" w:rsidRDefault="0060461B" w:rsidP="00BE5A5D">
      <w:pPr>
        <w:rPr>
          <w:rFonts w:ascii="Arial Narrow" w:hAnsi="Arial Narrow"/>
          <w:sz w:val="24"/>
          <w:szCs w:val="24"/>
        </w:rPr>
      </w:pPr>
    </w:p>
    <w:p w:rsidR="0060461B" w:rsidRPr="00785003" w:rsidRDefault="0060461B" w:rsidP="00BE5A5D">
      <w:pPr>
        <w:pStyle w:val="Heading3"/>
      </w:pPr>
      <w:bookmarkStart w:id="679" w:name="_Toc374515300"/>
      <w:bookmarkStart w:id="680" w:name="_Toc378258231"/>
      <w:bookmarkStart w:id="681" w:name="_Toc381351638"/>
      <w:r w:rsidRPr="00785003">
        <w:t>9.5.2 Changing antiretroviral therapy due to treatment failure</w:t>
      </w:r>
      <w:bookmarkEnd w:id="679"/>
      <w:bookmarkEnd w:id="680"/>
      <w:bookmarkEnd w:id="681"/>
    </w:p>
    <w:p w:rsidR="0060461B" w:rsidRPr="00817F1A" w:rsidRDefault="0060461B" w:rsidP="00BE5A5D">
      <w:pPr>
        <w:jc w:val="both"/>
        <w:rPr>
          <w:rFonts w:ascii="Arial" w:hAnsi="Arial" w:cs="Arial"/>
        </w:rPr>
      </w:pPr>
      <w:r w:rsidRPr="00817F1A">
        <w:rPr>
          <w:rFonts w:ascii="Arial" w:hAnsi="Arial" w:cs="Arial"/>
        </w:rPr>
        <w:t xml:space="preserve">Monitoring individuals receiving ART is important to ensure successful treatment, identify adherence problems and determine whether and which ART regimens should be switched in case of treatment failure. Treatment failure can be virologic, immunologic and/or clinical. It results from failure to suppress viral replication with the development of viral resistance.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8"/>
        <w:gridCol w:w="3671"/>
        <w:gridCol w:w="4217"/>
      </w:tblGrid>
      <w:tr w:rsidR="0060461B" w:rsidRPr="00817F1A" w:rsidTr="00BE5A5D">
        <w:tc>
          <w:tcPr>
            <w:tcW w:w="9576" w:type="dxa"/>
            <w:gridSpan w:val="3"/>
            <w:tcBorders>
              <w:top w:val="nil"/>
              <w:left w:val="nil"/>
              <w:bottom w:val="single" w:sz="4" w:space="0" w:color="000000"/>
              <w:right w:val="nil"/>
            </w:tcBorders>
            <w:shd w:val="clear" w:color="auto" w:fill="auto"/>
          </w:tcPr>
          <w:p w:rsidR="0060461B" w:rsidRPr="00817F1A" w:rsidRDefault="0060461B" w:rsidP="00BE5A5D">
            <w:pPr>
              <w:rPr>
                <w:rFonts w:ascii="Arial" w:hAnsi="Arial" w:cs="Arial"/>
                <w:b/>
              </w:rPr>
            </w:pPr>
            <w:r w:rsidRPr="00817F1A">
              <w:rPr>
                <w:rFonts w:ascii="Arial" w:hAnsi="Arial" w:cs="Arial"/>
                <w:b/>
              </w:rPr>
              <w:t xml:space="preserve">Table 9. </w:t>
            </w:r>
            <w:r>
              <w:rPr>
                <w:rFonts w:ascii="Arial" w:hAnsi="Arial" w:cs="Arial"/>
                <w:b/>
              </w:rPr>
              <w:t>3</w:t>
            </w:r>
            <w:r w:rsidRPr="00817F1A">
              <w:rPr>
                <w:rFonts w:ascii="Arial" w:hAnsi="Arial" w:cs="Arial"/>
                <w:b/>
              </w:rPr>
              <w:t>:  WHO definitions of clinical, immunological and virological failure for the decision to switch ART regimens</w:t>
            </w:r>
          </w:p>
        </w:tc>
      </w:tr>
      <w:tr w:rsidR="0060461B" w:rsidRPr="00817F1A" w:rsidTr="00BE5A5D">
        <w:tc>
          <w:tcPr>
            <w:tcW w:w="1688" w:type="dxa"/>
            <w:tcBorders>
              <w:top w:val="single" w:sz="4" w:space="0" w:color="000000"/>
              <w:left w:val="single" w:sz="4" w:space="0" w:color="000000"/>
              <w:bottom w:val="single" w:sz="4" w:space="0" w:color="000000"/>
              <w:right w:val="single" w:sz="4" w:space="0" w:color="FFFFFF"/>
            </w:tcBorders>
            <w:shd w:val="clear" w:color="auto" w:fill="000000"/>
          </w:tcPr>
          <w:p w:rsidR="0060461B" w:rsidRPr="00817F1A" w:rsidRDefault="0060461B" w:rsidP="00BE5A5D">
            <w:pPr>
              <w:rPr>
                <w:rFonts w:ascii="Arial" w:hAnsi="Arial" w:cs="Arial"/>
              </w:rPr>
            </w:pPr>
            <w:r w:rsidRPr="00817F1A">
              <w:rPr>
                <w:rFonts w:ascii="Arial" w:hAnsi="Arial" w:cs="Arial"/>
              </w:rPr>
              <w:t>Failure</w:t>
            </w:r>
          </w:p>
        </w:tc>
        <w:tc>
          <w:tcPr>
            <w:tcW w:w="3671" w:type="dxa"/>
            <w:tcBorders>
              <w:top w:val="single" w:sz="4" w:space="0" w:color="000000"/>
              <w:left w:val="single" w:sz="4" w:space="0" w:color="FFFFFF"/>
              <w:bottom w:val="single" w:sz="4" w:space="0" w:color="000000"/>
              <w:right w:val="single" w:sz="4" w:space="0" w:color="FFFFFF"/>
            </w:tcBorders>
            <w:shd w:val="clear" w:color="auto" w:fill="000000"/>
          </w:tcPr>
          <w:p w:rsidR="0060461B" w:rsidRPr="00817F1A" w:rsidRDefault="0060461B" w:rsidP="00BE5A5D">
            <w:pPr>
              <w:rPr>
                <w:rFonts w:ascii="Arial" w:hAnsi="Arial" w:cs="Arial"/>
              </w:rPr>
            </w:pPr>
            <w:r w:rsidRPr="00817F1A">
              <w:rPr>
                <w:rFonts w:ascii="Arial" w:hAnsi="Arial" w:cs="Arial"/>
              </w:rPr>
              <w:t>Definition</w:t>
            </w:r>
          </w:p>
        </w:tc>
        <w:tc>
          <w:tcPr>
            <w:tcW w:w="4217" w:type="dxa"/>
            <w:tcBorders>
              <w:top w:val="single" w:sz="4" w:space="0" w:color="000000"/>
              <w:left w:val="single" w:sz="4" w:space="0" w:color="FFFFFF"/>
              <w:bottom w:val="single" w:sz="4" w:space="0" w:color="000000"/>
              <w:right w:val="single" w:sz="4" w:space="0" w:color="000000"/>
            </w:tcBorders>
            <w:shd w:val="clear" w:color="auto" w:fill="000000"/>
          </w:tcPr>
          <w:p w:rsidR="0060461B" w:rsidRPr="00817F1A" w:rsidRDefault="0060461B" w:rsidP="00BE5A5D">
            <w:pPr>
              <w:rPr>
                <w:rFonts w:ascii="Arial" w:hAnsi="Arial" w:cs="Arial"/>
              </w:rPr>
            </w:pPr>
            <w:r w:rsidRPr="00817F1A">
              <w:rPr>
                <w:rFonts w:ascii="Arial" w:hAnsi="Arial" w:cs="Arial"/>
              </w:rPr>
              <w:t>Comments</w:t>
            </w:r>
          </w:p>
        </w:tc>
      </w:tr>
      <w:tr w:rsidR="0060461B" w:rsidRPr="00817F1A" w:rsidTr="00BE5A5D">
        <w:trPr>
          <w:trHeight w:val="1358"/>
        </w:trPr>
        <w:tc>
          <w:tcPr>
            <w:tcW w:w="1688" w:type="dxa"/>
            <w:tcBorders>
              <w:top w:val="single" w:sz="4" w:space="0" w:color="000000"/>
            </w:tcBorders>
            <w:shd w:val="clear" w:color="auto" w:fill="D9D9D9"/>
          </w:tcPr>
          <w:p w:rsidR="0060461B" w:rsidRPr="00817F1A" w:rsidRDefault="0060461B" w:rsidP="00BE5A5D">
            <w:pPr>
              <w:rPr>
                <w:rFonts w:ascii="Arial" w:hAnsi="Arial" w:cs="Arial"/>
              </w:rPr>
            </w:pPr>
            <w:r w:rsidRPr="00817F1A">
              <w:rPr>
                <w:rFonts w:ascii="Arial" w:hAnsi="Arial" w:cs="Arial"/>
              </w:rPr>
              <w:t xml:space="preserve">Clinical </w:t>
            </w:r>
          </w:p>
        </w:tc>
        <w:tc>
          <w:tcPr>
            <w:tcW w:w="3671" w:type="dxa"/>
            <w:tcBorders>
              <w:top w:val="single" w:sz="4" w:space="0" w:color="000000"/>
            </w:tcBorders>
            <w:shd w:val="clear" w:color="auto" w:fill="D9D9D9"/>
          </w:tcPr>
          <w:p w:rsidR="0060461B" w:rsidRPr="00817F1A" w:rsidRDefault="0060461B" w:rsidP="00BE5A5D">
            <w:pPr>
              <w:rPr>
                <w:rFonts w:ascii="Arial" w:hAnsi="Arial" w:cs="Arial"/>
              </w:rPr>
            </w:pPr>
            <w:r w:rsidRPr="00817F1A">
              <w:rPr>
                <w:rFonts w:ascii="Arial" w:hAnsi="Arial" w:cs="Arial"/>
              </w:rPr>
              <w:t>New or recurrent clinical event indicating severe immunodeficiency (WHO clinical stage 4 condition</w:t>
            </w:r>
            <w:r>
              <w:rPr>
                <w:rFonts w:ascii="Arial" w:hAnsi="Arial" w:cs="Arial"/>
              </w:rPr>
              <w:t>s</w:t>
            </w:r>
            <w:r w:rsidRPr="00817F1A">
              <w:rPr>
                <w:rFonts w:ascii="Arial" w:hAnsi="Arial" w:cs="Arial"/>
              </w:rPr>
              <w:t>) after 6 months of effective treatment.</w:t>
            </w:r>
          </w:p>
        </w:tc>
        <w:tc>
          <w:tcPr>
            <w:tcW w:w="4217" w:type="dxa"/>
            <w:tcBorders>
              <w:top w:val="single" w:sz="4" w:space="0" w:color="000000"/>
            </w:tcBorders>
            <w:shd w:val="clear" w:color="auto" w:fill="D9D9D9"/>
          </w:tcPr>
          <w:p w:rsidR="0060461B" w:rsidRPr="00817F1A" w:rsidRDefault="0060461B" w:rsidP="00BE5A5D">
            <w:pPr>
              <w:rPr>
                <w:rFonts w:ascii="Arial" w:hAnsi="Arial" w:cs="Arial"/>
              </w:rPr>
            </w:pPr>
            <w:r w:rsidRPr="00817F1A">
              <w:rPr>
                <w:rFonts w:ascii="Arial" w:hAnsi="Arial" w:cs="Arial"/>
              </w:rPr>
              <w:t>The condition must be differentiated from IRIS</w:t>
            </w:r>
          </w:p>
          <w:p w:rsidR="0060461B" w:rsidRPr="00817F1A" w:rsidRDefault="0060461B" w:rsidP="00BE5A5D">
            <w:pPr>
              <w:rPr>
                <w:rFonts w:ascii="Arial" w:hAnsi="Arial" w:cs="Arial"/>
              </w:rPr>
            </w:pPr>
          </w:p>
        </w:tc>
      </w:tr>
      <w:tr w:rsidR="0060461B" w:rsidRPr="00817F1A" w:rsidTr="00BE5A5D">
        <w:trPr>
          <w:trHeight w:val="1952"/>
        </w:trPr>
        <w:tc>
          <w:tcPr>
            <w:tcW w:w="1688" w:type="dxa"/>
            <w:shd w:val="clear" w:color="auto" w:fill="auto"/>
          </w:tcPr>
          <w:p w:rsidR="0060461B" w:rsidRPr="00817F1A" w:rsidRDefault="0060461B" w:rsidP="00BE5A5D">
            <w:pPr>
              <w:rPr>
                <w:rFonts w:ascii="Arial" w:hAnsi="Arial" w:cs="Arial"/>
              </w:rPr>
            </w:pPr>
            <w:r w:rsidRPr="00817F1A">
              <w:rPr>
                <w:rFonts w:ascii="Arial" w:hAnsi="Arial" w:cs="Arial"/>
              </w:rPr>
              <w:t xml:space="preserve">Immunological </w:t>
            </w:r>
          </w:p>
        </w:tc>
        <w:tc>
          <w:tcPr>
            <w:tcW w:w="3671" w:type="dxa"/>
            <w:shd w:val="clear" w:color="auto" w:fill="auto"/>
          </w:tcPr>
          <w:p w:rsidR="0060461B" w:rsidRPr="00817F1A" w:rsidRDefault="0060461B" w:rsidP="00BE5A5D">
            <w:pPr>
              <w:rPr>
                <w:rFonts w:ascii="Arial" w:hAnsi="Arial" w:cs="Arial"/>
              </w:rPr>
            </w:pPr>
            <w:r w:rsidRPr="00817F1A">
              <w:rPr>
                <w:rFonts w:ascii="Arial" w:hAnsi="Arial" w:cs="Arial"/>
              </w:rPr>
              <w:t xml:space="preserve">CD4 count falls to the baseline (or below) </w:t>
            </w:r>
          </w:p>
          <w:p w:rsidR="0060461B" w:rsidRPr="00817F1A" w:rsidRDefault="0060461B" w:rsidP="00BE5A5D">
            <w:pPr>
              <w:rPr>
                <w:rFonts w:ascii="Arial" w:hAnsi="Arial" w:cs="Arial"/>
              </w:rPr>
            </w:pPr>
            <w:r w:rsidRPr="00817F1A">
              <w:rPr>
                <w:rFonts w:ascii="Arial" w:hAnsi="Arial" w:cs="Arial"/>
              </w:rPr>
              <w:t>or Persistent CD4 levels below 100 cells/mm</w:t>
            </w:r>
            <w:r w:rsidRPr="00817F1A">
              <w:rPr>
                <w:rFonts w:ascii="Arial" w:hAnsi="Arial" w:cs="Arial"/>
                <w:vertAlign w:val="superscript"/>
              </w:rPr>
              <w:t>3</w:t>
            </w:r>
          </w:p>
        </w:tc>
        <w:tc>
          <w:tcPr>
            <w:tcW w:w="4217" w:type="dxa"/>
            <w:shd w:val="clear" w:color="auto" w:fill="auto"/>
          </w:tcPr>
          <w:p w:rsidR="0060461B" w:rsidRPr="00817F1A" w:rsidRDefault="0060461B" w:rsidP="00BE5A5D">
            <w:pPr>
              <w:rPr>
                <w:rFonts w:ascii="Arial" w:hAnsi="Arial" w:cs="Arial"/>
              </w:rPr>
            </w:pPr>
            <w:r w:rsidRPr="00817F1A">
              <w:rPr>
                <w:rFonts w:ascii="Arial" w:hAnsi="Arial" w:cs="Arial"/>
              </w:rPr>
              <w:t>Without concomitant or recent infection to cause a transient decline in the CD4 cell count</w:t>
            </w:r>
          </w:p>
          <w:p w:rsidR="0060461B" w:rsidRPr="00817F1A" w:rsidRDefault="0060461B" w:rsidP="00BE5A5D">
            <w:pPr>
              <w:rPr>
                <w:rFonts w:ascii="Arial" w:hAnsi="Arial" w:cs="Arial"/>
              </w:rPr>
            </w:pPr>
            <w:r w:rsidRPr="00817F1A">
              <w:rPr>
                <w:rFonts w:ascii="Arial" w:hAnsi="Arial" w:cs="Arial"/>
              </w:rPr>
              <w:t xml:space="preserve">A systematic review found that current WHO clinical and immunological criteria have low sensitivity for identifying individuals with virological failure. </w:t>
            </w:r>
          </w:p>
        </w:tc>
      </w:tr>
      <w:tr w:rsidR="0060461B" w:rsidRPr="00817F1A" w:rsidTr="00BE5A5D">
        <w:trPr>
          <w:trHeight w:val="2222"/>
        </w:trPr>
        <w:tc>
          <w:tcPr>
            <w:tcW w:w="1688" w:type="dxa"/>
            <w:shd w:val="clear" w:color="auto" w:fill="D9D9D9"/>
          </w:tcPr>
          <w:p w:rsidR="0060461B" w:rsidRPr="00817F1A" w:rsidRDefault="0060461B" w:rsidP="00BE5A5D">
            <w:pPr>
              <w:rPr>
                <w:rFonts w:ascii="Arial" w:hAnsi="Arial" w:cs="Arial"/>
              </w:rPr>
            </w:pPr>
            <w:r w:rsidRPr="00817F1A">
              <w:rPr>
                <w:rFonts w:ascii="Arial" w:hAnsi="Arial" w:cs="Arial"/>
              </w:rPr>
              <w:t xml:space="preserve">Virological </w:t>
            </w:r>
          </w:p>
        </w:tc>
        <w:tc>
          <w:tcPr>
            <w:tcW w:w="3671" w:type="dxa"/>
            <w:shd w:val="clear" w:color="auto" w:fill="D9D9D9"/>
          </w:tcPr>
          <w:p w:rsidR="0060461B" w:rsidRPr="00817F1A" w:rsidRDefault="0060461B" w:rsidP="00BE5A5D">
            <w:pPr>
              <w:rPr>
                <w:rFonts w:ascii="Arial" w:hAnsi="Arial" w:cs="Arial"/>
              </w:rPr>
            </w:pPr>
            <w:r w:rsidRPr="00817F1A">
              <w:rPr>
                <w:rFonts w:ascii="Arial" w:hAnsi="Arial" w:cs="Arial"/>
              </w:rPr>
              <w:t>Plasma viral load above 1000 copies/ ml based on two consecutive viral load measurements after 3 months, with adherence support</w:t>
            </w:r>
          </w:p>
        </w:tc>
        <w:tc>
          <w:tcPr>
            <w:tcW w:w="4217" w:type="dxa"/>
            <w:shd w:val="clear" w:color="auto" w:fill="D9D9D9"/>
          </w:tcPr>
          <w:p w:rsidR="0060461B" w:rsidRPr="00817F1A" w:rsidRDefault="0060461B" w:rsidP="00BE5A5D">
            <w:pPr>
              <w:rPr>
                <w:rFonts w:ascii="Arial" w:hAnsi="Arial" w:cs="Arial"/>
              </w:rPr>
            </w:pPr>
            <w:r w:rsidRPr="00817F1A">
              <w:rPr>
                <w:rFonts w:ascii="Arial" w:hAnsi="Arial" w:cs="Arial"/>
              </w:rPr>
              <w:t>The optimal threshold for defining virological failure and the need for switching ART regimen has not been determined</w:t>
            </w:r>
          </w:p>
          <w:p w:rsidR="0060461B" w:rsidRPr="00817F1A" w:rsidRDefault="0060461B" w:rsidP="00BE5A5D">
            <w:pPr>
              <w:rPr>
                <w:rFonts w:ascii="Arial" w:hAnsi="Arial" w:cs="Arial"/>
              </w:rPr>
            </w:pPr>
            <w:r w:rsidRPr="00817F1A">
              <w:rPr>
                <w:rFonts w:ascii="Arial" w:hAnsi="Arial" w:cs="Arial"/>
              </w:rPr>
              <w:t xml:space="preserve">An individual must be taking ART for at least 6 months before it can be determined that a regimen has failed. </w:t>
            </w:r>
          </w:p>
        </w:tc>
      </w:tr>
    </w:tbl>
    <w:p w:rsidR="0060461B" w:rsidRPr="000B26AE" w:rsidRDefault="0060461B" w:rsidP="00BE5A5D">
      <w:pPr>
        <w:rPr>
          <w:rFonts w:ascii="Arial Narrow" w:hAnsi="Arial Narrow"/>
          <w:sz w:val="24"/>
          <w:szCs w:val="24"/>
        </w:rPr>
      </w:pPr>
    </w:p>
    <w:p w:rsidR="0060461B" w:rsidRPr="0060145C" w:rsidRDefault="0060461B" w:rsidP="00BE5A5D">
      <w:pPr>
        <w:jc w:val="both"/>
        <w:rPr>
          <w:rFonts w:ascii="Arial" w:hAnsi="Arial" w:cs="Arial"/>
        </w:rPr>
      </w:pPr>
      <w:r w:rsidRPr="0060145C">
        <w:rPr>
          <w:rFonts w:ascii="Arial" w:hAnsi="Arial" w:cs="Arial"/>
        </w:rPr>
        <w:t>In Tanzania, immunological and clinical parameters are used to identify treatment failure. However, in light of declining costs of performing viral load measurements, along with the simplification of processes, where available, viral load parameters should also be applied. Where available, Viral Load should be used to confirm immunological failure. Furthermore, clinical failure must be distinguished from the Immune Reconstitution Inflammatory Syndrome (IRIS), in that, while clinical failure is associated with failing CD4 counts, IRIS is associated with improvements in immune response, i.e. CD4 counts.</w:t>
      </w:r>
      <w:r w:rsidR="00B247C9">
        <w:rPr>
          <w:rFonts w:ascii="Arial" w:hAnsi="Arial" w:cs="Arial"/>
        </w:rPr>
        <w:t xml:space="preserve"> These</w:t>
      </w:r>
      <w:r w:rsidRPr="0060145C">
        <w:rPr>
          <w:rFonts w:ascii="Arial" w:hAnsi="Arial" w:cs="Arial"/>
        </w:rPr>
        <w:t xml:space="preserve"> are late markers of virologic gene. The need to identify early ART failure and preserve future treatment options, viral load testing is now recommended.</w:t>
      </w:r>
    </w:p>
    <w:p w:rsidR="0060461B" w:rsidRPr="000B26AE" w:rsidRDefault="0060461B" w:rsidP="00AA771C">
      <w:pPr>
        <w:spacing w:beforeLines="50" w:before="120" w:afterLines="50" w:after="120"/>
        <w:jc w:val="both"/>
        <w:rPr>
          <w:rFonts w:ascii="Arial Narrow" w:hAnsi="Arial Narrow"/>
          <w:sz w:val="24"/>
          <w:szCs w:val="24"/>
        </w:rPr>
      </w:pPr>
    </w:p>
    <w:p w:rsidR="0060461B" w:rsidRPr="00785003" w:rsidRDefault="0060461B" w:rsidP="00BE5A5D">
      <w:pPr>
        <w:pStyle w:val="Heading2"/>
      </w:pPr>
      <w:bookmarkStart w:id="682" w:name="_Toc374515302"/>
      <w:bookmarkStart w:id="683" w:name="_Toc378258233"/>
      <w:bookmarkStart w:id="684" w:name="_Toc381351639"/>
      <w:r w:rsidRPr="00785003">
        <w:t>9.</w:t>
      </w:r>
      <w:r>
        <w:t>6</w:t>
      </w:r>
      <w:r w:rsidRPr="00785003">
        <w:t xml:space="preserve"> MONITORING PATIENTS ON ARV THERAPY</w:t>
      </w:r>
      <w:bookmarkEnd w:id="682"/>
      <w:bookmarkEnd w:id="683"/>
      <w:bookmarkEnd w:id="684"/>
    </w:p>
    <w:p w:rsidR="0060461B" w:rsidRPr="0060145C" w:rsidRDefault="0060461B" w:rsidP="00BE5A5D">
      <w:pPr>
        <w:spacing w:before="120" w:after="120" w:line="240" w:lineRule="auto"/>
        <w:jc w:val="both"/>
        <w:rPr>
          <w:rFonts w:ascii="Arial" w:hAnsi="Arial" w:cs="Arial"/>
        </w:rPr>
      </w:pPr>
      <w:r w:rsidRPr="0060145C">
        <w:rPr>
          <w:rFonts w:ascii="Arial" w:hAnsi="Arial" w:cs="Arial"/>
        </w:rPr>
        <w:t xml:space="preserve">Monitoring of patients on ART is based on clinical and laboratory parameters. </w:t>
      </w:r>
    </w:p>
    <w:p w:rsidR="0060461B" w:rsidRPr="0060145C" w:rsidRDefault="0060461B" w:rsidP="00AA771C">
      <w:pPr>
        <w:spacing w:beforeLines="50" w:before="120" w:afterLines="50" w:after="120"/>
        <w:jc w:val="both"/>
        <w:rPr>
          <w:rFonts w:ascii="Arial" w:hAnsi="Arial" w:cs="Arial"/>
          <w:b/>
        </w:rPr>
      </w:pPr>
      <w:r w:rsidRPr="0060145C">
        <w:rPr>
          <w:rFonts w:ascii="Arial" w:hAnsi="Arial" w:cs="Arial"/>
          <w:b/>
        </w:rPr>
        <w:t>Clinical Monitoring:</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In most cases treatment will be associated with weight gain and reduced morbidity from opportunistic infections and improvement in the quality of life. At each clinic visit, thorough history and physical examination should be done. Appearance or persisting opportunistic infections, or lack of weight gain, can indicate treatment failure hence should require further evaluation to determine fulfillment of criteria for treatment failure. Switching to second line treatment should not be based on clinical criteria alone</w:t>
      </w:r>
      <w:r>
        <w:rPr>
          <w:rFonts w:ascii="Arial" w:hAnsi="Arial" w:cs="Arial"/>
        </w:rPr>
        <w:t>.</w:t>
      </w:r>
    </w:p>
    <w:p w:rsidR="0060461B" w:rsidRPr="000B26AE" w:rsidRDefault="0060461B" w:rsidP="00AA771C">
      <w:pPr>
        <w:spacing w:beforeLines="50" w:before="120" w:afterLines="50" w:after="120"/>
        <w:jc w:val="both"/>
        <w:rPr>
          <w:rFonts w:ascii="Arial Narrow" w:hAnsi="Arial Narrow"/>
          <w:sz w:val="24"/>
          <w:szCs w:val="24"/>
        </w:rPr>
      </w:pPr>
    </w:p>
    <w:p w:rsidR="0060461B" w:rsidRPr="0060145C" w:rsidRDefault="0060461B" w:rsidP="00AA771C">
      <w:pPr>
        <w:spacing w:beforeLines="50" w:before="120" w:afterLines="50" w:after="120"/>
        <w:jc w:val="both"/>
        <w:rPr>
          <w:rFonts w:ascii="Arial" w:hAnsi="Arial" w:cs="Arial"/>
          <w:b/>
        </w:rPr>
      </w:pPr>
      <w:r w:rsidRPr="0060145C">
        <w:rPr>
          <w:rFonts w:ascii="Arial" w:hAnsi="Arial" w:cs="Arial"/>
          <w:b/>
        </w:rPr>
        <w:t>Laboratory Monitoring:</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 xml:space="preserve">CD4+ T-lymphocyte count is one of the criteria used to determine the eligibility for initiation and define immunological treatment failure.  Although initiation of ART in patients with TB, HBV, key populations, pregnant and lactating women and HIV positive partners in discordant relationships, advanced HIV disease (WHO clinical stage 3 and 4) is done irrespective of CD4 count level, it is advised to determine baseline CD4 count in these individuals to monitor immunological response. A rise in CD4 count indicates effective antiretroviral treatment. The CD4+ T-lymphocyte count should repeated every 6 months, however in cases of suspected IRIS or treatment failure it can be tested at intervals less than six months.  </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 xml:space="preserve">Viral load (VL) monitoring is the preferred approach compared to immunological and clinical monitoring because it provides an early and more accurate indication of treatment failure and the need to switch to second line regimens, therefore reducing accumulation of drug resistance mutations. This improves clinical outcomes and preserves second line options. Where facilities are available, targeted rather than routine VL testing is recommended. Targeted VL testing is only done when treatment </w:t>
      </w:r>
      <w:r w:rsidR="00B247C9" w:rsidRPr="0060145C">
        <w:rPr>
          <w:rFonts w:ascii="Arial" w:hAnsi="Arial" w:cs="Arial"/>
        </w:rPr>
        <w:t>failure</w:t>
      </w:r>
      <w:r w:rsidRPr="0060145C">
        <w:rPr>
          <w:rFonts w:ascii="Arial" w:hAnsi="Arial" w:cs="Arial"/>
        </w:rPr>
        <w:t xml:space="preserve"> is suspected. Treatment should be considered effective if the viral load is &lt;50 copies/ml. </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CD4 count will be done 6-monthly while patients are on the first line regimen.</w:t>
      </w:r>
    </w:p>
    <w:p w:rsidR="0060461B" w:rsidRPr="000B26AE" w:rsidRDefault="0060461B" w:rsidP="00AA771C">
      <w:pPr>
        <w:spacing w:beforeLines="50" w:before="120" w:afterLines="50" w:after="120"/>
        <w:jc w:val="both"/>
        <w:rPr>
          <w:rFonts w:ascii="Arial Narrow" w:hAnsi="Arial Narrow"/>
          <w:sz w:val="24"/>
          <w:szCs w:val="24"/>
        </w:rPr>
      </w:pPr>
    </w:p>
    <w:p w:rsidR="0060461B" w:rsidRPr="007B1015" w:rsidRDefault="0060461B" w:rsidP="00BE5A5D">
      <w:pPr>
        <w:pStyle w:val="Heading3"/>
      </w:pPr>
      <w:bookmarkStart w:id="685" w:name="_Toc374515303"/>
      <w:bookmarkStart w:id="686" w:name="_Toc378258234"/>
      <w:bookmarkStart w:id="687" w:name="_Toc381351640"/>
      <w:r w:rsidRPr="007B1015">
        <w:t>9.</w:t>
      </w:r>
      <w:r>
        <w:t>6</w:t>
      </w:r>
      <w:r w:rsidRPr="007B1015">
        <w:t>.1 Clinical and laboratory monitoring of patients on first line drug regimen</w:t>
      </w:r>
      <w:bookmarkEnd w:id="685"/>
      <w:bookmarkEnd w:id="686"/>
      <w:bookmarkEnd w:id="687"/>
    </w:p>
    <w:p w:rsidR="0060461B" w:rsidRPr="001056FF" w:rsidRDefault="0060461B" w:rsidP="00AA771C">
      <w:pPr>
        <w:spacing w:beforeLines="50" w:before="120" w:afterLines="50" w:after="120"/>
        <w:ind w:left="360" w:hanging="360"/>
        <w:jc w:val="both"/>
        <w:rPr>
          <w:rFonts w:ascii="Arial" w:hAnsi="Arial" w:cs="Arial"/>
          <w:b/>
        </w:rPr>
      </w:pPr>
      <w:r w:rsidRPr="001056FF">
        <w:rPr>
          <w:rFonts w:ascii="Arial" w:hAnsi="Arial" w:cs="Arial"/>
          <w:b/>
        </w:rPr>
        <w:t>i)</w:t>
      </w:r>
      <w:r w:rsidRPr="001056FF">
        <w:rPr>
          <w:rFonts w:ascii="Arial" w:hAnsi="Arial" w:cs="Arial"/>
          <w:b/>
        </w:rPr>
        <w:tab/>
        <w:t>Scheduled visits</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Initial 6 months after starting ART</w:t>
      </w:r>
      <w:r>
        <w:rPr>
          <w:rFonts w:ascii="Arial" w:hAnsi="Arial" w:cs="Arial"/>
        </w:rPr>
        <w:t>:</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Patients will attend the appropriate clinic (CTC, RCH, TB) monthly</w:t>
      </w:r>
      <w:r w:rsidR="00B247C9">
        <w:rPr>
          <w:rFonts w:ascii="Arial" w:hAnsi="Arial" w:cs="Arial"/>
        </w:rPr>
        <w:t xml:space="preserve"> </w:t>
      </w:r>
      <w:r w:rsidRPr="0060145C">
        <w:rPr>
          <w:rFonts w:ascii="Arial" w:hAnsi="Arial" w:cs="Arial"/>
        </w:rPr>
        <w:t xml:space="preserve">for clinical and laboratory evaluation and drug refills. In minority of patients who will require the use of NVP, they should be seen at 2 weeks </w:t>
      </w:r>
      <w:r w:rsidR="00B247C9" w:rsidRPr="0060145C">
        <w:rPr>
          <w:rFonts w:ascii="Arial" w:hAnsi="Arial" w:cs="Arial"/>
        </w:rPr>
        <w:t>after</w:t>
      </w:r>
      <w:r w:rsidRPr="0060145C">
        <w:rPr>
          <w:rFonts w:ascii="Arial" w:hAnsi="Arial" w:cs="Arial"/>
        </w:rPr>
        <w:t xml:space="preserve"> initiation of NVP based regimen and thereafter as scheduled.</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Six months after starting ART:</w:t>
      </w:r>
    </w:p>
    <w:p w:rsidR="0060461B" w:rsidRPr="0060145C" w:rsidRDefault="00B247C9" w:rsidP="00BE5A5D">
      <w:pPr>
        <w:spacing w:before="120" w:after="120" w:line="240" w:lineRule="auto"/>
        <w:jc w:val="both"/>
        <w:rPr>
          <w:rFonts w:ascii="Arial" w:hAnsi="Arial" w:cs="Arial"/>
        </w:rPr>
      </w:pPr>
      <w:r w:rsidRPr="0060145C">
        <w:rPr>
          <w:rFonts w:ascii="Arial" w:hAnsi="Arial" w:cs="Arial"/>
        </w:rPr>
        <w:t>After</w:t>
      </w:r>
      <w:r w:rsidR="0060461B" w:rsidRPr="0060145C">
        <w:rPr>
          <w:rFonts w:ascii="Arial" w:hAnsi="Arial" w:cs="Arial"/>
        </w:rPr>
        <w:t xml:space="preserve"> the patient is clinically stable, with good adherence for the at least six months or more to ART regimen, and no history of drug toxicity or recurrent  OI he/she may be given an appointment of two to three months as agreed between clinicians and patients.  During this period, appropriate clinical and laboratory assessment should be done However, after the patient is clinically stable, with good adherence for the at least six months or more to ART regimen, and no history of drug toxicity or recurrent  OI he/she may be given an appointment of two months or more as agreed between clinicians and patients.  </w:t>
      </w:r>
    </w:p>
    <w:tbl>
      <w:tblPr>
        <w:tblW w:w="9125" w:type="dxa"/>
        <w:jc w:val="center"/>
        <w:tblInd w:w="-1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3"/>
        <w:gridCol w:w="1980"/>
        <w:gridCol w:w="2447"/>
        <w:gridCol w:w="2295"/>
      </w:tblGrid>
      <w:tr w:rsidR="0060461B" w:rsidRPr="0060145C" w:rsidTr="00BE5A5D">
        <w:trPr>
          <w:trHeight w:val="935"/>
          <w:jc w:val="center"/>
        </w:trPr>
        <w:tc>
          <w:tcPr>
            <w:tcW w:w="9125" w:type="dxa"/>
            <w:gridSpan w:val="4"/>
            <w:tcBorders>
              <w:top w:val="nil"/>
              <w:left w:val="nil"/>
              <w:bottom w:val="single" w:sz="4" w:space="0" w:color="FFFFFF"/>
              <w:right w:val="nil"/>
            </w:tcBorders>
            <w:shd w:val="clear" w:color="auto" w:fill="auto"/>
            <w:vAlign w:val="center"/>
          </w:tcPr>
          <w:p w:rsidR="0060461B" w:rsidRPr="0060145C" w:rsidRDefault="0060461B" w:rsidP="00AA771C">
            <w:pPr>
              <w:spacing w:beforeLines="120" w:before="288" w:afterLines="120" w:after="288"/>
              <w:jc w:val="both"/>
              <w:rPr>
                <w:rFonts w:ascii="Arial" w:hAnsi="Arial" w:cs="Arial"/>
                <w:b/>
              </w:rPr>
            </w:pPr>
            <w:r w:rsidRPr="0060145C">
              <w:rPr>
                <w:rFonts w:ascii="Arial" w:hAnsi="Arial" w:cs="Arial"/>
                <w:b/>
              </w:rPr>
              <w:t>Table 9.</w:t>
            </w:r>
            <w:r>
              <w:rPr>
                <w:rFonts w:ascii="Arial" w:hAnsi="Arial" w:cs="Arial"/>
                <w:b/>
              </w:rPr>
              <w:t>4</w:t>
            </w:r>
            <w:r w:rsidRPr="0060145C">
              <w:rPr>
                <w:rFonts w:ascii="Arial" w:hAnsi="Arial" w:cs="Arial"/>
                <w:b/>
              </w:rPr>
              <w:t>: Summary of Adult and Adolescent ART Laboratory Monitoring of Patients on First Line Regimen</w:t>
            </w:r>
          </w:p>
        </w:tc>
      </w:tr>
      <w:tr w:rsidR="0060461B" w:rsidRPr="0060145C" w:rsidTr="00BE5A5D">
        <w:trPr>
          <w:trHeight w:val="810"/>
          <w:jc w:val="center"/>
        </w:trPr>
        <w:tc>
          <w:tcPr>
            <w:tcW w:w="2403" w:type="dxa"/>
            <w:tcBorders>
              <w:top w:val="single" w:sz="4" w:space="0" w:color="auto"/>
              <w:left w:val="single" w:sz="4" w:space="0" w:color="auto"/>
              <w:bottom w:val="single" w:sz="4" w:space="0" w:color="auto"/>
              <w:right w:val="single" w:sz="4" w:space="0" w:color="FFFFFF"/>
            </w:tcBorders>
            <w:shd w:val="clear" w:color="auto" w:fill="000000"/>
          </w:tcPr>
          <w:p w:rsidR="0060461B" w:rsidRPr="0060145C" w:rsidRDefault="0060461B" w:rsidP="00AA771C">
            <w:pPr>
              <w:spacing w:beforeLines="120" w:before="288" w:afterLines="120" w:after="288"/>
              <w:rPr>
                <w:rFonts w:ascii="Arial" w:hAnsi="Arial" w:cs="Arial"/>
              </w:rPr>
            </w:pPr>
            <w:r w:rsidRPr="0060145C">
              <w:rPr>
                <w:rFonts w:ascii="Arial" w:hAnsi="Arial" w:cs="Arial"/>
              </w:rPr>
              <w:t>Regimens</w:t>
            </w:r>
          </w:p>
        </w:tc>
        <w:tc>
          <w:tcPr>
            <w:tcW w:w="1980" w:type="dxa"/>
            <w:tcBorders>
              <w:top w:val="single" w:sz="4" w:space="0" w:color="auto"/>
              <w:left w:val="single" w:sz="4" w:space="0" w:color="FFFFFF"/>
              <w:bottom w:val="single" w:sz="4" w:space="0" w:color="auto"/>
              <w:right w:val="single" w:sz="4" w:space="0" w:color="FFFFFF"/>
            </w:tcBorders>
            <w:shd w:val="clear" w:color="auto" w:fill="000000"/>
          </w:tcPr>
          <w:p w:rsidR="0060461B" w:rsidRPr="0060145C" w:rsidRDefault="0060461B" w:rsidP="00AA771C">
            <w:pPr>
              <w:spacing w:beforeLines="120" w:before="288" w:afterLines="120" w:after="288"/>
              <w:rPr>
                <w:rFonts w:ascii="Arial" w:hAnsi="Arial" w:cs="Arial"/>
              </w:rPr>
            </w:pPr>
            <w:r w:rsidRPr="0060145C">
              <w:rPr>
                <w:rFonts w:ascii="Arial" w:hAnsi="Arial" w:cs="Arial"/>
              </w:rPr>
              <w:t>Monitoring Tests</w:t>
            </w:r>
          </w:p>
        </w:tc>
        <w:tc>
          <w:tcPr>
            <w:tcW w:w="2447" w:type="dxa"/>
            <w:tcBorders>
              <w:top w:val="single" w:sz="4" w:space="0" w:color="auto"/>
              <w:left w:val="single" w:sz="4" w:space="0" w:color="FFFFFF"/>
              <w:bottom w:val="single" w:sz="4" w:space="0" w:color="auto"/>
              <w:right w:val="single" w:sz="4" w:space="0" w:color="FFFFFF"/>
            </w:tcBorders>
            <w:shd w:val="clear" w:color="auto" w:fill="000000"/>
          </w:tcPr>
          <w:p w:rsidR="0060461B" w:rsidRPr="0060145C" w:rsidRDefault="0060461B" w:rsidP="00AA771C">
            <w:pPr>
              <w:spacing w:beforeLines="120" w:before="288" w:afterLines="120" w:after="288"/>
              <w:rPr>
                <w:rFonts w:ascii="Arial" w:hAnsi="Arial" w:cs="Arial"/>
              </w:rPr>
            </w:pPr>
            <w:r w:rsidRPr="0060145C">
              <w:rPr>
                <w:rFonts w:ascii="Arial" w:hAnsi="Arial" w:cs="Arial"/>
              </w:rPr>
              <w:t>Frequency</w:t>
            </w:r>
          </w:p>
        </w:tc>
        <w:tc>
          <w:tcPr>
            <w:tcW w:w="2295" w:type="dxa"/>
            <w:tcBorders>
              <w:top w:val="single" w:sz="4" w:space="0" w:color="auto"/>
              <w:left w:val="single" w:sz="4" w:space="0" w:color="FFFFFF"/>
              <w:bottom w:val="single" w:sz="4" w:space="0" w:color="auto"/>
              <w:right w:val="single" w:sz="4" w:space="0" w:color="auto"/>
            </w:tcBorders>
            <w:shd w:val="clear" w:color="auto" w:fill="000000"/>
          </w:tcPr>
          <w:p w:rsidR="0060461B" w:rsidRPr="0060145C" w:rsidRDefault="0060461B" w:rsidP="00AA771C">
            <w:pPr>
              <w:spacing w:beforeLines="120" w:before="288" w:afterLines="120" w:after="288"/>
              <w:rPr>
                <w:rFonts w:ascii="Arial" w:hAnsi="Arial" w:cs="Arial"/>
              </w:rPr>
            </w:pPr>
            <w:r w:rsidRPr="0060145C">
              <w:rPr>
                <w:rFonts w:ascii="Arial" w:hAnsi="Arial" w:cs="Arial"/>
              </w:rPr>
              <w:t>Rationale</w:t>
            </w:r>
          </w:p>
        </w:tc>
      </w:tr>
      <w:tr w:rsidR="0060461B" w:rsidRPr="0060145C" w:rsidTr="00BE5A5D">
        <w:trPr>
          <w:trHeight w:val="773"/>
          <w:jc w:val="center"/>
        </w:trPr>
        <w:tc>
          <w:tcPr>
            <w:tcW w:w="2403" w:type="dxa"/>
            <w:vMerge w:val="restart"/>
            <w:tcBorders>
              <w:top w:val="single" w:sz="4" w:space="0" w:color="auto"/>
            </w:tcBorders>
            <w:shd w:val="clear" w:color="auto" w:fill="B3B3B3"/>
          </w:tcPr>
          <w:p w:rsidR="0060461B" w:rsidRPr="0060145C" w:rsidRDefault="0060461B" w:rsidP="00AA771C">
            <w:pPr>
              <w:spacing w:beforeLines="120" w:before="288" w:afterLines="120" w:after="288" w:line="240" w:lineRule="auto"/>
              <w:rPr>
                <w:rFonts w:ascii="Arial" w:hAnsi="Arial" w:cs="Arial"/>
              </w:rPr>
            </w:pPr>
            <w:r w:rsidRPr="0060145C">
              <w:rPr>
                <w:rFonts w:ascii="Arial" w:hAnsi="Arial" w:cs="Arial"/>
              </w:rPr>
              <w:t>I. TDF/3TC/EFV</w:t>
            </w:r>
          </w:p>
          <w:p w:rsidR="0060461B" w:rsidRPr="0060145C" w:rsidRDefault="0060461B" w:rsidP="00AA771C">
            <w:pPr>
              <w:spacing w:beforeLines="120" w:before="288" w:afterLines="120" w:after="288" w:line="240" w:lineRule="auto"/>
              <w:rPr>
                <w:rFonts w:ascii="Arial" w:hAnsi="Arial" w:cs="Arial"/>
                <w:lang w:val="fr-FR"/>
              </w:rPr>
            </w:pPr>
            <w:r w:rsidRPr="0060145C">
              <w:rPr>
                <w:rFonts w:ascii="Arial" w:hAnsi="Arial" w:cs="Arial"/>
              </w:rPr>
              <w:t xml:space="preserve">   TDF/3TC/NVP</w:t>
            </w:r>
          </w:p>
          <w:p w:rsidR="0060461B" w:rsidRPr="0060145C" w:rsidRDefault="0060461B" w:rsidP="00AA771C">
            <w:pPr>
              <w:spacing w:beforeLines="120" w:before="288" w:afterLines="120" w:after="288" w:line="240" w:lineRule="auto"/>
              <w:rPr>
                <w:rFonts w:ascii="Arial" w:hAnsi="Arial" w:cs="Arial"/>
              </w:rPr>
            </w:pPr>
          </w:p>
        </w:tc>
        <w:tc>
          <w:tcPr>
            <w:tcW w:w="1980" w:type="dxa"/>
            <w:tcBorders>
              <w:top w:val="single" w:sz="4" w:space="0" w:color="auto"/>
            </w:tcBorders>
            <w:shd w:val="clear" w:color="auto" w:fill="B3B3B3"/>
          </w:tcPr>
          <w:p w:rsidR="0060461B" w:rsidRPr="0060145C" w:rsidRDefault="0060461B" w:rsidP="00AA771C">
            <w:pPr>
              <w:spacing w:beforeLines="120" w:before="288" w:afterLines="120" w:after="288" w:line="240" w:lineRule="auto"/>
              <w:rPr>
                <w:rFonts w:ascii="Arial" w:hAnsi="Arial" w:cs="Arial"/>
              </w:rPr>
            </w:pPr>
            <w:r w:rsidRPr="0060145C">
              <w:rPr>
                <w:rFonts w:ascii="Arial" w:hAnsi="Arial" w:cs="Arial"/>
              </w:rPr>
              <w:t xml:space="preserve">Serum creatinine </w:t>
            </w:r>
          </w:p>
        </w:tc>
        <w:tc>
          <w:tcPr>
            <w:tcW w:w="2447" w:type="dxa"/>
            <w:tcBorders>
              <w:top w:val="single" w:sz="4" w:space="0" w:color="auto"/>
            </w:tcBorders>
            <w:shd w:val="clear" w:color="auto" w:fill="B3B3B3"/>
          </w:tcPr>
          <w:p w:rsidR="0060461B" w:rsidRPr="0060145C" w:rsidRDefault="0060461B" w:rsidP="00AA771C">
            <w:pPr>
              <w:spacing w:beforeLines="120" w:before="288" w:afterLines="120" w:after="288" w:line="240" w:lineRule="auto"/>
              <w:rPr>
                <w:rFonts w:ascii="Arial" w:hAnsi="Arial" w:cs="Arial"/>
              </w:rPr>
            </w:pPr>
            <w:r w:rsidRPr="0060145C">
              <w:rPr>
                <w:rFonts w:ascii="Arial" w:hAnsi="Arial" w:cs="Arial"/>
              </w:rPr>
              <w:t>Baseline, and 6 monthly</w:t>
            </w:r>
          </w:p>
        </w:tc>
        <w:tc>
          <w:tcPr>
            <w:tcW w:w="2295" w:type="dxa"/>
            <w:vMerge w:val="restart"/>
            <w:tcBorders>
              <w:top w:val="single" w:sz="4" w:space="0" w:color="auto"/>
            </w:tcBorders>
            <w:shd w:val="clear" w:color="auto" w:fill="B3B3B3"/>
          </w:tcPr>
          <w:p w:rsidR="0060461B" w:rsidRPr="0060145C" w:rsidRDefault="0060461B" w:rsidP="00AA771C">
            <w:pPr>
              <w:spacing w:beforeLines="120" w:before="288" w:afterLines="120" w:after="288" w:line="240" w:lineRule="auto"/>
              <w:rPr>
                <w:rFonts w:ascii="Arial" w:hAnsi="Arial" w:cs="Arial"/>
              </w:rPr>
            </w:pPr>
          </w:p>
          <w:p w:rsidR="0060461B" w:rsidRPr="0060145C" w:rsidRDefault="0060461B" w:rsidP="00AA771C">
            <w:pPr>
              <w:spacing w:beforeLines="120" w:before="288" w:afterLines="120" w:after="288" w:line="240" w:lineRule="auto"/>
              <w:rPr>
                <w:rFonts w:ascii="Arial" w:hAnsi="Arial" w:cs="Arial"/>
              </w:rPr>
            </w:pPr>
            <w:r w:rsidRPr="0060145C">
              <w:rPr>
                <w:rFonts w:ascii="Arial" w:hAnsi="Arial" w:cs="Arial"/>
              </w:rPr>
              <w:t xml:space="preserve">TDF is nephrotoxic </w:t>
            </w:r>
          </w:p>
        </w:tc>
      </w:tr>
      <w:tr w:rsidR="0060461B" w:rsidRPr="0060145C" w:rsidTr="00BE5A5D">
        <w:trPr>
          <w:trHeight w:val="638"/>
          <w:jc w:val="center"/>
        </w:trPr>
        <w:tc>
          <w:tcPr>
            <w:tcW w:w="2403" w:type="dxa"/>
            <w:vMerge/>
            <w:shd w:val="clear" w:color="auto" w:fill="B3B3B3"/>
          </w:tcPr>
          <w:p w:rsidR="0060461B" w:rsidRPr="0060145C" w:rsidRDefault="0060461B" w:rsidP="00AA771C">
            <w:pPr>
              <w:spacing w:beforeLines="120" w:before="288" w:afterLines="120" w:after="288" w:line="240" w:lineRule="auto"/>
              <w:rPr>
                <w:rFonts w:ascii="Arial" w:hAnsi="Arial" w:cs="Arial"/>
              </w:rPr>
            </w:pPr>
          </w:p>
        </w:tc>
        <w:tc>
          <w:tcPr>
            <w:tcW w:w="1980" w:type="dxa"/>
            <w:shd w:val="clear" w:color="auto" w:fill="B3B3B3"/>
          </w:tcPr>
          <w:p w:rsidR="0060461B" w:rsidRPr="0060145C" w:rsidRDefault="0060461B" w:rsidP="00AA771C">
            <w:pPr>
              <w:spacing w:beforeLines="120" w:before="288" w:afterLines="120" w:after="288" w:line="240" w:lineRule="auto"/>
              <w:rPr>
                <w:rFonts w:ascii="Arial" w:hAnsi="Arial" w:cs="Arial"/>
              </w:rPr>
            </w:pPr>
            <w:r w:rsidRPr="0060145C">
              <w:rPr>
                <w:rFonts w:ascii="Arial" w:hAnsi="Arial" w:cs="Arial"/>
              </w:rPr>
              <w:t>Serum creatinine</w:t>
            </w:r>
          </w:p>
        </w:tc>
        <w:tc>
          <w:tcPr>
            <w:tcW w:w="2447" w:type="dxa"/>
            <w:shd w:val="clear" w:color="auto" w:fill="B3B3B3"/>
          </w:tcPr>
          <w:p w:rsidR="0060461B" w:rsidRPr="0060145C" w:rsidRDefault="0060461B" w:rsidP="00AA771C">
            <w:pPr>
              <w:spacing w:beforeLines="120" w:before="288" w:afterLines="120" w:after="288" w:line="240" w:lineRule="auto"/>
              <w:rPr>
                <w:rFonts w:ascii="Arial" w:hAnsi="Arial" w:cs="Arial"/>
              </w:rPr>
            </w:pPr>
            <w:r w:rsidRPr="0060145C">
              <w:rPr>
                <w:rFonts w:ascii="Arial" w:hAnsi="Arial" w:cs="Arial"/>
              </w:rPr>
              <w:t>Baseline and once yearly</w:t>
            </w:r>
          </w:p>
        </w:tc>
        <w:tc>
          <w:tcPr>
            <w:tcW w:w="2295" w:type="dxa"/>
            <w:vMerge/>
            <w:shd w:val="clear" w:color="auto" w:fill="B3B3B3"/>
          </w:tcPr>
          <w:p w:rsidR="0060461B" w:rsidRPr="0060145C" w:rsidRDefault="0060461B" w:rsidP="00AA771C">
            <w:pPr>
              <w:spacing w:beforeLines="120" w:before="288" w:afterLines="120" w:after="288" w:line="240" w:lineRule="auto"/>
              <w:rPr>
                <w:rFonts w:ascii="Arial" w:hAnsi="Arial" w:cs="Arial"/>
              </w:rPr>
            </w:pPr>
          </w:p>
        </w:tc>
      </w:tr>
      <w:tr w:rsidR="0060461B" w:rsidRPr="0060145C" w:rsidTr="00BE5A5D">
        <w:trPr>
          <w:trHeight w:val="575"/>
          <w:jc w:val="center"/>
        </w:trPr>
        <w:tc>
          <w:tcPr>
            <w:tcW w:w="2403" w:type="dxa"/>
            <w:vMerge w:val="restart"/>
            <w:shd w:val="clear" w:color="auto" w:fill="auto"/>
          </w:tcPr>
          <w:p w:rsidR="0060461B" w:rsidRPr="0060145C" w:rsidRDefault="0060461B" w:rsidP="00AA771C">
            <w:pPr>
              <w:spacing w:beforeLines="120" w:before="288" w:afterLines="120" w:after="288" w:line="240" w:lineRule="auto"/>
              <w:rPr>
                <w:rFonts w:ascii="Arial" w:hAnsi="Arial" w:cs="Arial"/>
              </w:rPr>
            </w:pPr>
            <w:r w:rsidRPr="0060145C">
              <w:rPr>
                <w:rFonts w:ascii="Arial" w:hAnsi="Arial" w:cs="Arial"/>
              </w:rPr>
              <w:t>II. AZT/3TC/EFV</w:t>
            </w:r>
          </w:p>
        </w:tc>
        <w:tc>
          <w:tcPr>
            <w:tcW w:w="1980" w:type="dxa"/>
            <w:shd w:val="clear" w:color="auto" w:fill="auto"/>
          </w:tcPr>
          <w:p w:rsidR="0060461B" w:rsidRPr="0060145C" w:rsidRDefault="0060461B" w:rsidP="00AA771C">
            <w:pPr>
              <w:spacing w:beforeLines="120" w:before="288" w:afterLines="120" w:after="288" w:line="240" w:lineRule="auto"/>
              <w:rPr>
                <w:rFonts w:ascii="Arial" w:hAnsi="Arial" w:cs="Arial"/>
              </w:rPr>
            </w:pPr>
            <w:r w:rsidRPr="0060145C">
              <w:rPr>
                <w:rFonts w:ascii="Arial" w:hAnsi="Arial" w:cs="Arial"/>
              </w:rPr>
              <w:t>CD4</w:t>
            </w:r>
          </w:p>
        </w:tc>
        <w:tc>
          <w:tcPr>
            <w:tcW w:w="2447" w:type="dxa"/>
            <w:shd w:val="clear" w:color="auto" w:fill="auto"/>
          </w:tcPr>
          <w:p w:rsidR="0060461B" w:rsidRPr="0060145C" w:rsidRDefault="0060461B" w:rsidP="00AA771C">
            <w:pPr>
              <w:spacing w:beforeLines="120" w:before="288" w:afterLines="120" w:after="288" w:line="240" w:lineRule="auto"/>
              <w:rPr>
                <w:rFonts w:ascii="Arial" w:hAnsi="Arial" w:cs="Arial"/>
              </w:rPr>
            </w:pPr>
            <w:r w:rsidRPr="0060145C">
              <w:rPr>
                <w:rFonts w:ascii="Arial" w:hAnsi="Arial" w:cs="Arial"/>
              </w:rPr>
              <w:t>Baseline,  6-monthly</w:t>
            </w:r>
          </w:p>
        </w:tc>
        <w:tc>
          <w:tcPr>
            <w:tcW w:w="2295" w:type="dxa"/>
            <w:shd w:val="clear" w:color="auto" w:fill="auto"/>
          </w:tcPr>
          <w:p w:rsidR="0060461B" w:rsidRPr="0060145C" w:rsidRDefault="0060461B" w:rsidP="00AA771C">
            <w:pPr>
              <w:spacing w:beforeLines="120" w:before="288" w:afterLines="120" w:after="288" w:line="240" w:lineRule="auto"/>
              <w:rPr>
                <w:rFonts w:ascii="Arial" w:hAnsi="Arial" w:cs="Arial"/>
              </w:rPr>
            </w:pPr>
            <w:r w:rsidRPr="0060145C">
              <w:rPr>
                <w:rFonts w:ascii="Arial" w:hAnsi="Arial" w:cs="Arial"/>
              </w:rPr>
              <w:t>ART monitoring</w:t>
            </w:r>
          </w:p>
        </w:tc>
      </w:tr>
      <w:tr w:rsidR="0060461B" w:rsidRPr="0060145C" w:rsidTr="00BE5A5D">
        <w:trPr>
          <w:trHeight w:val="1007"/>
          <w:jc w:val="center"/>
        </w:trPr>
        <w:tc>
          <w:tcPr>
            <w:tcW w:w="2403" w:type="dxa"/>
            <w:vMerge/>
            <w:shd w:val="clear" w:color="auto" w:fill="auto"/>
          </w:tcPr>
          <w:p w:rsidR="0060461B" w:rsidRPr="0060145C" w:rsidRDefault="0060461B" w:rsidP="00AA771C">
            <w:pPr>
              <w:spacing w:beforeLines="120" w:before="288" w:afterLines="120" w:after="288" w:line="240" w:lineRule="auto"/>
              <w:rPr>
                <w:rFonts w:ascii="Arial" w:hAnsi="Arial" w:cs="Arial"/>
              </w:rPr>
            </w:pPr>
          </w:p>
        </w:tc>
        <w:tc>
          <w:tcPr>
            <w:tcW w:w="1980" w:type="dxa"/>
            <w:shd w:val="clear" w:color="auto" w:fill="auto"/>
          </w:tcPr>
          <w:p w:rsidR="0060461B" w:rsidRPr="0060145C" w:rsidRDefault="0060461B" w:rsidP="00AA771C">
            <w:pPr>
              <w:spacing w:beforeLines="120" w:before="288" w:afterLines="120" w:after="288" w:line="240" w:lineRule="auto"/>
              <w:rPr>
                <w:rFonts w:ascii="Arial" w:hAnsi="Arial" w:cs="Arial"/>
              </w:rPr>
            </w:pPr>
            <w:r w:rsidRPr="0060145C">
              <w:rPr>
                <w:rFonts w:ascii="Arial" w:hAnsi="Arial" w:cs="Arial"/>
              </w:rPr>
              <w:t>FBP/Hb</w:t>
            </w:r>
          </w:p>
        </w:tc>
        <w:tc>
          <w:tcPr>
            <w:tcW w:w="2447" w:type="dxa"/>
            <w:shd w:val="clear" w:color="auto" w:fill="auto"/>
          </w:tcPr>
          <w:p w:rsidR="0060461B" w:rsidRPr="0060145C" w:rsidRDefault="0060461B" w:rsidP="00AA771C">
            <w:pPr>
              <w:spacing w:beforeLines="120" w:before="288" w:afterLines="120" w:after="288" w:line="240" w:lineRule="auto"/>
              <w:rPr>
                <w:rFonts w:ascii="Arial" w:hAnsi="Arial" w:cs="Arial"/>
              </w:rPr>
            </w:pPr>
            <w:r w:rsidRPr="0060145C">
              <w:rPr>
                <w:rFonts w:ascii="Arial" w:hAnsi="Arial" w:cs="Arial"/>
              </w:rPr>
              <w:t>Baseline, week 4 thereafter,6 monthly</w:t>
            </w:r>
          </w:p>
        </w:tc>
        <w:tc>
          <w:tcPr>
            <w:tcW w:w="2295" w:type="dxa"/>
            <w:shd w:val="clear" w:color="auto" w:fill="auto"/>
          </w:tcPr>
          <w:p w:rsidR="0060461B" w:rsidRPr="0060145C" w:rsidRDefault="0060461B" w:rsidP="00AA771C">
            <w:pPr>
              <w:spacing w:beforeLines="120" w:before="288" w:afterLines="120" w:after="288" w:line="240" w:lineRule="auto"/>
              <w:rPr>
                <w:rFonts w:ascii="Arial" w:hAnsi="Arial" w:cs="Arial"/>
              </w:rPr>
            </w:pPr>
            <w:r w:rsidRPr="0060145C">
              <w:rPr>
                <w:rFonts w:ascii="Arial" w:hAnsi="Arial" w:cs="Arial"/>
              </w:rPr>
              <w:t>Contains AZT</w:t>
            </w:r>
          </w:p>
        </w:tc>
      </w:tr>
      <w:tr w:rsidR="0060461B" w:rsidRPr="0060145C" w:rsidTr="00BE5A5D">
        <w:trPr>
          <w:trHeight w:val="917"/>
          <w:jc w:val="center"/>
        </w:trPr>
        <w:tc>
          <w:tcPr>
            <w:tcW w:w="2403" w:type="dxa"/>
            <w:vMerge w:val="restart"/>
            <w:shd w:val="clear" w:color="auto" w:fill="B3B3B3"/>
          </w:tcPr>
          <w:p w:rsidR="0060461B" w:rsidRPr="0060145C" w:rsidRDefault="0060461B" w:rsidP="00AA771C">
            <w:pPr>
              <w:spacing w:beforeLines="120" w:before="288" w:afterLines="120" w:after="288" w:line="240" w:lineRule="auto"/>
              <w:rPr>
                <w:rFonts w:ascii="Arial" w:hAnsi="Arial" w:cs="Arial"/>
              </w:rPr>
            </w:pPr>
            <w:r w:rsidRPr="0060145C">
              <w:rPr>
                <w:rFonts w:ascii="Arial" w:hAnsi="Arial" w:cs="Arial"/>
              </w:rPr>
              <w:t>III. AZT/3TC/NVP</w:t>
            </w:r>
          </w:p>
        </w:tc>
        <w:tc>
          <w:tcPr>
            <w:tcW w:w="1980" w:type="dxa"/>
            <w:shd w:val="clear" w:color="auto" w:fill="B3B3B3"/>
          </w:tcPr>
          <w:p w:rsidR="0060461B" w:rsidRPr="0060145C" w:rsidRDefault="0060461B" w:rsidP="00AA771C">
            <w:pPr>
              <w:spacing w:beforeLines="120" w:before="288" w:afterLines="120" w:after="288" w:line="240" w:lineRule="auto"/>
              <w:rPr>
                <w:rFonts w:ascii="Arial" w:hAnsi="Arial" w:cs="Arial"/>
              </w:rPr>
            </w:pPr>
            <w:r w:rsidRPr="0060145C">
              <w:rPr>
                <w:rFonts w:ascii="Arial" w:hAnsi="Arial" w:cs="Arial"/>
              </w:rPr>
              <w:t>CD4</w:t>
            </w:r>
          </w:p>
        </w:tc>
        <w:tc>
          <w:tcPr>
            <w:tcW w:w="2447" w:type="dxa"/>
            <w:shd w:val="clear" w:color="auto" w:fill="B3B3B3"/>
          </w:tcPr>
          <w:p w:rsidR="0060461B" w:rsidRPr="0060145C" w:rsidRDefault="0060461B" w:rsidP="00AA771C">
            <w:pPr>
              <w:spacing w:beforeLines="120" w:before="288" w:afterLines="120" w:after="288" w:line="240" w:lineRule="auto"/>
              <w:rPr>
                <w:rFonts w:ascii="Arial" w:hAnsi="Arial" w:cs="Arial"/>
              </w:rPr>
            </w:pPr>
            <w:r w:rsidRPr="0060145C">
              <w:rPr>
                <w:rFonts w:ascii="Arial" w:hAnsi="Arial" w:cs="Arial"/>
              </w:rPr>
              <w:t>Baseline,                6-monthly</w:t>
            </w:r>
          </w:p>
        </w:tc>
        <w:tc>
          <w:tcPr>
            <w:tcW w:w="2295" w:type="dxa"/>
            <w:shd w:val="clear" w:color="auto" w:fill="B3B3B3"/>
          </w:tcPr>
          <w:p w:rsidR="0060461B" w:rsidRPr="0060145C" w:rsidRDefault="0060461B" w:rsidP="00AA771C">
            <w:pPr>
              <w:spacing w:beforeLines="120" w:before="288" w:afterLines="120" w:after="288" w:line="240" w:lineRule="auto"/>
              <w:rPr>
                <w:rFonts w:ascii="Arial" w:hAnsi="Arial" w:cs="Arial"/>
              </w:rPr>
            </w:pPr>
            <w:r w:rsidRPr="0060145C">
              <w:rPr>
                <w:rFonts w:ascii="Arial" w:hAnsi="Arial" w:cs="Arial"/>
              </w:rPr>
              <w:t>ART monitoring</w:t>
            </w:r>
          </w:p>
        </w:tc>
      </w:tr>
      <w:tr w:rsidR="0060461B" w:rsidRPr="0060145C" w:rsidTr="00BE5A5D">
        <w:trPr>
          <w:trHeight w:val="872"/>
          <w:jc w:val="center"/>
        </w:trPr>
        <w:tc>
          <w:tcPr>
            <w:tcW w:w="2403" w:type="dxa"/>
            <w:vMerge/>
            <w:shd w:val="clear" w:color="auto" w:fill="B3B3B3"/>
          </w:tcPr>
          <w:p w:rsidR="0060461B" w:rsidRPr="0060145C" w:rsidRDefault="0060461B" w:rsidP="00AA771C">
            <w:pPr>
              <w:spacing w:beforeLines="120" w:before="288" w:afterLines="120" w:after="288" w:line="240" w:lineRule="auto"/>
              <w:rPr>
                <w:rFonts w:ascii="Arial" w:hAnsi="Arial" w:cs="Arial"/>
              </w:rPr>
            </w:pPr>
          </w:p>
        </w:tc>
        <w:tc>
          <w:tcPr>
            <w:tcW w:w="1980" w:type="dxa"/>
            <w:shd w:val="clear" w:color="auto" w:fill="B3B3B3"/>
          </w:tcPr>
          <w:p w:rsidR="0060461B" w:rsidRPr="0060145C" w:rsidRDefault="0060461B" w:rsidP="00AA771C">
            <w:pPr>
              <w:spacing w:beforeLines="120" w:before="288" w:afterLines="120" w:after="288" w:line="240" w:lineRule="auto"/>
              <w:rPr>
                <w:rFonts w:ascii="Arial" w:hAnsi="Arial" w:cs="Arial"/>
              </w:rPr>
            </w:pPr>
            <w:r w:rsidRPr="0060145C">
              <w:rPr>
                <w:rFonts w:ascii="Arial" w:hAnsi="Arial" w:cs="Arial"/>
              </w:rPr>
              <w:t>ALT</w:t>
            </w:r>
          </w:p>
        </w:tc>
        <w:tc>
          <w:tcPr>
            <w:tcW w:w="2447" w:type="dxa"/>
            <w:shd w:val="clear" w:color="auto" w:fill="B3B3B3"/>
          </w:tcPr>
          <w:p w:rsidR="0060461B" w:rsidRPr="0060145C" w:rsidRDefault="0060461B" w:rsidP="00AA771C">
            <w:pPr>
              <w:spacing w:beforeLines="120" w:before="288" w:afterLines="120" w:after="288" w:line="240" w:lineRule="auto"/>
              <w:rPr>
                <w:rFonts w:ascii="Arial" w:hAnsi="Arial" w:cs="Arial"/>
              </w:rPr>
            </w:pPr>
            <w:r w:rsidRPr="0060145C">
              <w:rPr>
                <w:rFonts w:ascii="Arial" w:hAnsi="Arial" w:cs="Arial"/>
              </w:rPr>
              <w:t>Baseline, 6 monthly and whenever symptomatic</w:t>
            </w:r>
          </w:p>
        </w:tc>
        <w:tc>
          <w:tcPr>
            <w:tcW w:w="2295" w:type="dxa"/>
            <w:shd w:val="clear" w:color="auto" w:fill="B3B3B3"/>
          </w:tcPr>
          <w:p w:rsidR="0060461B" w:rsidRPr="0060145C" w:rsidRDefault="0060461B" w:rsidP="00AA771C">
            <w:pPr>
              <w:spacing w:beforeLines="120" w:before="288" w:afterLines="120" w:after="288" w:line="240" w:lineRule="auto"/>
              <w:rPr>
                <w:rFonts w:ascii="Arial" w:hAnsi="Arial" w:cs="Arial"/>
              </w:rPr>
            </w:pPr>
            <w:r w:rsidRPr="0060145C">
              <w:rPr>
                <w:rFonts w:ascii="Arial" w:hAnsi="Arial" w:cs="Arial"/>
              </w:rPr>
              <w:t xml:space="preserve">Contains NVP </w:t>
            </w:r>
          </w:p>
        </w:tc>
      </w:tr>
      <w:tr w:rsidR="0060461B" w:rsidRPr="0060145C" w:rsidTr="00BE5A5D">
        <w:trPr>
          <w:trHeight w:val="701"/>
          <w:jc w:val="center"/>
        </w:trPr>
        <w:tc>
          <w:tcPr>
            <w:tcW w:w="2403" w:type="dxa"/>
            <w:vMerge/>
            <w:shd w:val="clear" w:color="auto" w:fill="B3B3B3"/>
          </w:tcPr>
          <w:p w:rsidR="0060461B" w:rsidRPr="0060145C" w:rsidRDefault="0060461B" w:rsidP="00AA771C">
            <w:pPr>
              <w:spacing w:beforeLines="120" w:before="288" w:afterLines="120" w:after="288" w:line="240" w:lineRule="auto"/>
              <w:rPr>
                <w:rFonts w:ascii="Arial" w:hAnsi="Arial" w:cs="Arial"/>
              </w:rPr>
            </w:pPr>
          </w:p>
        </w:tc>
        <w:tc>
          <w:tcPr>
            <w:tcW w:w="1980" w:type="dxa"/>
            <w:shd w:val="clear" w:color="auto" w:fill="B3B3B3"/>
          </w:tcPr>
          <w:p w:rsidR="0060461B" w:rsidRPr="0060145C" w:rsidRDefault="0060461B" w:rsidP="00AA771C">
            <w:pPr>
              <w:spacing w:beforeLines="120" w:before="288" w:afterLines="120" w:after="288" w:line="240" w:lineRule="auto"/>
              <w:rPr>
                <w:rFonts w:ascii="Arial" w:hAnsi="Arial" w:cs="Arial"/>
              </w:rPr>
            </w:pPr>
            <w:r w:rsidRPr="0060145C">
              <w:rPr>
                <w:rFonts w:ascii="Arial" w:hAnsi="Arial" w:cs="Arial"/>
              </w:rPr>
              <w:t>FBP/Hb</w:t>
            </w:r>
          </w:p>
        </w:tc>
        <w:tc>
          <w:tcPr>
            <w:tcW w:w="2447" w:type="dxa"/>
            <w:shd w:val="clear" w:color="auto" w:fill="B3B3B3"/>
          </w:tcPr>
          <w:p w:rsidR="0060461B" w:rsidRPr="0060145C" w:rsidRDefault="0060461B" w:rsidP="00AA771C">
            <w:pPr>
              <w:spacing w:beforeLines="120" w:before="288" w:afterLines="120" w:after="288" w:line="240" w:lineRule="auto"/>
              <w:rPr>
                <w:rFonts w:ascii="Arial" w:hAnsi="Arial" w:cs="Arial"/>
              </w:rPr>
            </w:pPr>
            <w:r w:rsidRPr="0060145C">
              <w:rPr>
                <w:rFonts w:ascii="Arial" w:hAnsi="Arial" w:cs="Arial"/>
              </w:rPr>
              <w:t>Baseline, week 4 thereafter,6 monthly</w:t>
            </w:r>
          </w:p>
        </w:tc>
        <w:tc>
          <w:tcPr>
            <w:tcW w:w="2295" w:type="dxa"/>
            <w:shd w:val="clear" w:color="auto" w:fill="B3B3B3"/>
          </w:tcPr>
          <w:p w:rsidR="0060461B" w:rsidRPr="0060145C" w:rsidRDefault="0060461B" w:rsidP="00AA771C">
            <w:pPr>
              <w:spacing w:beforeLines="120" w:before="288" w:afterLines="120" w:after="288" w:line="240" w:lineRule="auto"/>
              <w:rPr>
                <w:rFonts w:ascii="Arial" w:hAnsi="Arial" w:cs="Arial"/>
              </w:rPr>
            </w:pPr>
            <w:r w:rsidRPr="0060145C">
              <w:rPr>
                <w:rFonts w:ascii="Arial" w:hAnsi="Arial" w:cs="Arial"/>
              </w:rPr>
              <w:t>Contains AZT</w:t>
            </w:r>
          </w:p>
        </w:tc>
      </w:tr>
    </w:tbl>
    <w:p w:rsidR="0060461B" w:rsidRPr="0060145C" w:rsidRDefault="0060461B" w:rsidP="00BE5A5D">
      <w:pPr>
        <w:spacing w:before="120" w:after="120" w:line="240" w:lineRule="auto"/>
        <w:jc w:val="both"/>
        <w:rPr>
          <w:rFonts w:ascii="Arial" w:hAnsi="Arial" w:cs="Arial"/>
          <w:i/>
        </w:rPr>
      </w:pPr>
      <w:r w:rsidRPr="0060145C">
        <w:rPr>
          <w:rFonts w:ascii="Arial" w:hAnsi="Arial" w:cs="Arial"/>
          <w:i/>
        </w:rPr>
        <w:t>Note: Clinical evaluation will determine more frequent laboratory tests if required.</w:t>
      </w:r>
    </w:p>
    <w:p w:rsidR="0060461B" w:rsidRPr="0060145C" w:rsidRDefault="0060461B" w:rsidP="00BE5A5D">
      <w:pPr>
        <w:spacing w:before="120" w:after="120" w:line="240" w:lineRule="auto"/>
        <w:ind w:left="720"/>
        <w:jc w:val="both"/>
        <w:rPr>
          <w:rFonts w:ascii="Arial" w:hAnsi="Arial" w:cs="Arial"/>
        </w:rPr>
      </w:pPr>
      <w:r w:rsidRPr="0060145C">
        <w:rPr>
          <w:rFonts w:ascii="Arial" w:hAnsi="Arial" w:cs="Arial"/>
          <w:i/>
        </w:rPr>
        <w:t xml:space="preserve">Baseline </w:t>
      </w:r>
      <w:r w:rsidRPr="0060145C">
        <w:rPr>
          <w:rFonts w:ascii="Arial" w:hAnsi="Arial" w:cs="Arial"/>
        </w:rPr>
        <w:t>= testing for ART eligible patients at initiation of ART</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 xml:space="preserve">NB: The frequency of CD4 and viral load monitoring may be less than 6 months when IRIS or treatment failure is suspected. </w:t>
      </w:r>
    </w:p>
    <w:p w:rsidR="0060461B" w:rsidRPr="007B1015" w:rsidRDefault="0060461B" w:rsidP="00BE5A5D">
      <w:pPr>
        <w:spacing w:before="120" w:after="120" w:line="240" w:lineRule="auto"/>
        <w:ind w:left="360" w:hanging="360"/>
        <w:jc w:val="both"/>
        <w:rPr>
          <w:rFonts w:ascii="Arial" w:hAnsi="Arial" w:cs="Arial"/>
          <w:b/>
        </w:rPr>
      </w:pPr>
      <w:r w:rsidRPr="007B1015">
        <w:rPr>
          <w:rFonts w:ascii="Arial" w:hAnsi="Arial" w:cs="Arial"/>
          <w:b/>
        </w:rPr>
        <w:t>ii)</w:t>
      </w:r>
      <w:r w:rsidRPr="007B1015">
        <w:rPr>
          <w:rFonts w:ascii="Arial" w:hAnsi="Arial" w:cs="Arial"/>
          <w:b/>
        </w:rPr>
        <w:tab/>
        <w:t>Unscheduled visits</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 xml:space="preserve">Beyond the scheduled visits, it is also important for the patients to present themselves to the clinic for management should they develop any unexpected symptoms and complications. Clinical judgment will be used to assess whether additional clinical or laboratory interventions are required. </w:t>
      </w:r>
    </w:p>
    <w:p w:rsidR="0060461B" w:rsidRPr="007B1015" w:rsidRDefault="0060461B" w:rsidP="00BE5A5D">
      <w:pPr>
        <w:spacing w:before="120" w:after="120" w:line="240" w:lineRule="auto"/>
        <w:ind w:left="360" w:hanging="360"/>
        <w:jc w:val="both"/>
        <w:rPr>
          <w:rFonts w:ascii="Arial" w:hAnsi="Arial" w:cs="Arial"/>
          <w:b/>
        </w:rPr>
      </w:pPr>
      <w:r w:rsidRPr="007B1015">
        <w:rPr>
          <w:rFonts w:ascii="Arial" w:hAnsi="Arial" w:cs="Arial"/>
          <w:b/>
        </w:rPr>
        <w:t>iii) In case of loss to follow up</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Proactive follow up is needed by clinic team members in collaboration with home based care providers to follow up patients who do not turn up for their scheduled visits. It is important to institute and maintain system triggers for this throughout follow-up. A good referral mechanism should therefore be established between the clinic and other levels of health care delivery, including home based care teams.</w:t>
      </w:r>
    </w:p>
    <w:p w:rsidR="0060461B" w:rsidRPr="0060145C" w:rsidRDefault="0060461B" w:rsidP="00BE5A5D">
      <w:pPr>
        <w:spacing w:before="120" w:after="120" w:line="240" w:lineRule="auto"/>
        <w:jc w:val="both"/>
        <w:rPr>
          <w:rFonts w:ascii="Arial" w:hAnsi="Arial" w:cs="Arial"/>
        </w:rPr>
      </w:pPr>
    </w:p>
    <w:p w:rsidR="0060461B" w:rsidRPr="00785003" w:rsidRDefault="0060461B" w:rsidP="00BE5A5D">
      <w:pPr>
        <w:pStyle w:val="Heading2"/>
      </w:pPr>
      <w:bookmarkStart w:id="688" w:name="_Toc374515305"/>
      <w:bookmarkStart w:id="689" w:name="_Toc378258236"/>
      <w:bookmarkStart w:id="690" w:name="_Toc381351641"/>
      <w:r w:rsidRPr="00785003">
        <w:t>9.</w:t>
      </w:r>
      <w:r>
        <w:t>7</w:t>
      </w:r>
      <w:r w:rsidRPr="00785003">
        <w:t xml:space="preserve"> Immune Reconstitution Inflammatory Syndrome (IRIS)</w:t>
      </w:r>
      <w:bookmarkEnd w:id="688"/>
      <w:bookmarkEnd w:id="689"/>
      <w:bookmarkEnd w:id="690"/>
    </w:p>
    <w:p w:rsidR="0060461B" w:rsidRPr="0060145C" w:rsidRDefault="0060461B" w:rsidP="00BE5A5D">
      <w:pPr>
        <w:spacing w:before="120" w:after="120" w:line="240" w:lineRule="auto"/>
        <w:jc w:val="both"/>
        <w:rPr>
          <w:rFonts w:ascii="Arial" w:hAnsi="Arial" w:cs="Arial"/>
        </w:rPr>
      </w:pPr>
      <w:r w:rsidRPr="0060145C">
        <w:rPr>
          <w:rFonts w:ascii="Arial" w:hAnsi="Arial" w:cs="Arial"/>
        </w:rPr>
        <w:t xml:space="preserve">IRIS is a phenomenon associated with occurrence or worsening of opportunistic infections/malignancies which can occur early after initiation of ART or at later (several months) during the course of ART.  There is an increased risk for occurrence of IRIS in the following situations: </w:t>
      </w:r>
    </w:p>
    <w:p w:rsidR="0060461B" w:rsidRPr="0060145C" w:rsidRDefault="0060461B" w:rsidP="00274941">
      <w:pPr>
        <w:pStyle w:val="ListParagraph"/>
        <w:numPr>
          <w:ilvl w:val="0"/>
          <w:numId w:val="77"/>
        </w:numPr>
        <w:contextualSpacing w:val="0"/>
        <w:jc w:val="both"/>
        <w:rPr>
          <w:rFonts w:ascii="Arial" w:hAnsi="Arial" w:cs="Arial"/>
          <w:sz w:val="22"/>
          <w:szCs w:val="22"/>
          <w:vertAlign w:val="superscript"/>
        </w:rPr>
      </w:pPr>
      <w:r w:rsidRPr="0060145C">
        <w:rPr>
          <w:rFonts w:ascii="Arial" w:hAnsi="Arial" w:cs="Arial"/>
          <w:sz w:val="22"/>
          <w:szCs w:val="22"/>
        </w:rPr>
        <w:t>Treatment naïve patientsPatients with advanced HIV disease with CD5 count &lt; 50 cells/mm</w:t>
      </w:r>
      <w:r w:rsidRPr="0060145C">
        <w:rPr>
          <w:rFonts w:ascii="Arial" w:hAnsi="Arial" w:cs="Arial"/>
          <w:sz w:val="22"/>
          <w:szCs w:val="22"/>
          <w:vertAlign w:val="superscript"/>
        </w:rPr>
        <w:t xml:space="preserve">3 </w:t>
      </w:r>
    </w:p>
    <w:p w:rsidR="0060461B" w:rsidRPr="0060145C" w:rsidRDefault="0060461B" w:rsidP="00274941">
      <w:pPr>
        <w:pStyle w:val="ListParagraph"/>
        <w:numPr>
          <w:ilvl w:val="0"/>
          <w:numId w:val="77"/>
        </w:numPr>
        <w:contextualSpacing w:val="0"/>
        <w:jc w:val="both"/>
        <w:rPr>
          <w:rFonts w:ascii="Arial" w:hAnsi="Arial" w:cs="Arial"/>
          <w:sz w:val="22"/>
          <w:szCs w:val="22"/>
        </w:rPr>
      </w:pPr>
      <w:r w:rsidRPr="0060145C">
        <w:rPr>
          <w:rFonts w:ascii="Arial" w:hAnsi="Arial" w:cs="Arial"/>
          <w:sz w:val="22"/>
          <w:szCs w:val="22"/>
        </w:rPr>
        <w:t>Patients with udiagnosed and untreated opportunistic conditions</w:t>
      </w:r>
    </w:p>
    <w:p w:rsidR="0060461B" w:rsidRPr="0060145C" w:rsidRDefault="0060461B" w:rsidP="00274941">
      <w:pPr>
        <w:pStyle w:val="ListParagraph"/>
        <w:numPr>
          <w:ilvl w:val="0"/>
          <w:numId w:val="77"/>
        </w:numPr>
        <w:contextualSpacing w:val="0"/>
        <w:jc w:val="both"/>
        <w:rPr>
          <w:rFonts w:ascii="Arial" w:hAnsi="Arial" w:cs="Arial"/>
          <w:sz w:val="22"/>
          <w:szCs w:val="22"/>
        </w:rPr>
      </w:pPr>
      <w:r w:rsidRPr="0060145C">
        <w:rPr>
          <w:rFonts w:ascii="Arial" w:hAnsi="Arial" w:cs="Arial"/>
          <w:sz w:val="22"/>
          <w:szCs w:val="22"/>
        </w:rPr>
        <w:t xml:space="preserve">Patients who are started on ART shortly after treatment of opportunistic infection/malignancy  </w:t>
      </w:r>
    </w:p>
    <w:p w:rsidR="0060461B" w:rsidRDefault="0060461B" w:rsidP="00BE5A5D">
      <w:pPr>
        <w:pStyle w:val="ListParagraph"/>
        <w:spacing w:before="120" w:after="120"/>
        <w:ind w:left="1440"/>
        <w:jc w:val="both"/>
        <w:rPr>
          <w:rFonts w:ascii="Arial" w:hAnsi="Arial" w:cs="Arial"/>
          <w:sz w:val="22"/>
          <w:szCs w:val="22"/>
        </w:rPr>
      </w:pPr>
    </w:p>
    <w:p w:rsidR="0060461B" w:rsidRPr="0060145C" w:rsidRDefault="0060461B" w:rsidP="00BE5A5D">
      <w:pPr>
        <w:pStyle w:val="ListParagraph"/>
        <w:spacing w:before="120" w:after="120"/>
        <w:ind w:left="1440"/>
        <w:jc w:val="both"/>
        <w:rPr>
          <w:rFonts w:ascii="Arial" w:hAnsi="Arial" w:cs="Arial"/>
          <w:sz w:val="22"/>
          <w:szCs w:val="22"/>
        </w:rPr>
      </w:pPr>
      <w:r w:rsidRPr="0060145C">
        <w:rPr>
          <w:rFonts w:ascii="Arial" w:hAnsi="Arial" w:cs="Arial"/>
          <w:sz w:val="22"/>
          <w:szCs w:val="22"/>
        </w:rPr>
        <w:t>NB: Any OI may present as IRIS.</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 xml:space="preserve">For patients with TB, this syndrome has been reported to occur in as many as 30% of patients in the developed world. The syndrome is characterized by fever, lymphadenopathy, worsening pulmonary lesions and expanding central nervous system (CNS) lesions. These reactions are typically self limiting although they may require the use of a brief course of corticosteroids to reduce inflammation for CNS or severe respiratory symptoms. </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 xml:space="preserve">Initiation of ART can also unmask previously undiagnosed infections such as hepatitis B or C viral infections as it improves the inflammatory response while repairing the immune system. </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 xml:space="preserve">In general, ART should not be stopped when immune reconstitution syndromes occurs except in life threatening situations in which ART should be temporarily stopped.  However, where there is doubt, the opinion of a senior HIV physician should be sought. </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 xml:space="preserve">The criteria for making a diagnosis of IRIS are delineated </w:t>
      </w:r>
      <w:r w:rsidRPr="00B247C9">
        <w:rPr>
          <w:rFonts w:ascii="Arial" w:hAnsi="Arial" w:cs="Arial"/>
        </w:rPr>
        <w:t xml:space="preserve">in </w:t>
      </w:r>
      <w:r w:rsidR="00B247C9" w:rsidRPr="00B247C9">
        <w:rPr>
          <w:rFonts w:ascii="Arial" w:hAnsi="Arial" w:cs="Arial"/>
        </w:rPr>
        <w:t>Table 9</w:t>
      </w:r>
      <w:r w:rsidRPr="00B247C9">
        <w:rPr>
          <w:rFonts w:ascii="Arial" w:hAnsi="Arial" w:cs="Arial"/>
        </w:rPr>
        <w:t>.</w:t>
      </w:r>
      <w:r w:rsidR="00B247C9" w:rsidRPr="00B247C9">
        <w:rPr>
          <w:rFonts w:ascii="Arial" w:hAnsi="Arial" w:cs="Arial"/>
        </w:rPr>
        <w:t>5</w:t>
      </w:r>
      <w:r w:rsidRPr="00B247C9">
        <w:rPr>
          <w:rFonts w:ascii="Arial" w:hAnsi="Arial" w:cs="Arial"/>
        </w:rPr>
        <w:t xml:space="preserve"> below.</w:t>
      </w:r>
    </w:p>
    <w:p w:rsidR="0060461B" w:rsidRDefault="0060461B" w:rsidP="00BE5A5D">
      <w:pPr>
        <w:pStyle w:val="Heading5"/>
        <w:spacing w:before="120" w:after="120"/>
        <w:ind w:left="1440" w:hanging="1440"/>
        <w:jc w:val="both"/>
        <w:rPr>
          <w:rFonts w:ascii="Arial Narrow" w:hAnsi="Arial Narrow"/>
          <w:b w:val="0"/>
          <w:color w:val="auto"/>
          <w:sz w:val="24"/>
          <w:szCs w:val="24"/>
          <w:lang w:val="fr-FR"/>
        </w:rPr>
      </w:pPr>
      <w:bookmarkStart w:id="691" w:name="_Toc185678206"/>
      <w:bookmarkStart w:id="692" w:name="_Toc185678434"/>
      <w:bookmarkStart w:id="693" w:name="_Toc185736178"/>
      <w:bookmarkStart w:id="694" w:name="_Toc185737746"/>
      <w:bookmarkStart w:id="695" w:name="_Toc185738202"/>
      <w:bookmarkStart w:id="696" w:name="_Toc185738325"/>
    </w:p>
    <w:p w:rsidR="0060461B" w:rsidRPr="0060145C" w:rsidRDefault="0060461B" w:rsidP="00BE5A5D">
      <w:pPr>
        <w:pStyle w:val="Heading5"/>
        <w:spacing w:before="120" w:after="120"/>
        <w:ind w:left="1440" w:hanging="1440"/>
        <w:jc w:val="both"/>
        <w:rPr>
          <w:rFonts w:ascii="Arial" w:hAnsi="Arial" w:cs="Arial"/>
          <w:i w:val="0"/>
          <w:color w:val="auto"/>
          <w:sz w:val="22"/>
          <w:szCs w:val="22"/>
          <w:lang w:val="fr-FR"/>
        </w:rPr>
      </w:pPr>
      <w:r w:rsidRPr="0060145C">
        <w:rPr>
          <w:rFonts w:ascii="Arial" w:hAnsi="Arial" w:cs="Arial"/>
          <w:i w:val="0"/>
          <w:color w:val="auto"/>
          <w:sz w:val="22"/>
          <w:szCs w:val="22"/>
          <w:lang w:val="fr-FR"/>
        </w:rPr>
        <w:t>Table 9.</w:t>
      </w:r>
      <w:r>
        <w:rPr>
          <w:rFonts w:ascii="Arial" w:hAnsi="Arial" w:cs="Arial"/>
          <w:i w:val="0"/>
          <w:color w:val="auto"/>
          <w:sz w:val="22"/>
          <w:szCs w:val="22"/>
          <w:lang w:val="fr-FR"/>
        </w:rPr>
        <w:t>5</w:t>
      </w:r>
      <w:r w:rsidRPr="0060145C">
        <w:rPr>
          <w:rFonts w:ascii="Arial" w:hAnsi="Arial" w:cs="Arial"/>
          <w:i w:val="0"/>
          <w:color w:val="auto"/>
          <w:sz w:val="22"/>
          <w:szCs w:val="22"/>
          <w:lang w:val="fr-FR"/>
        </w:rPr>
        <w:t>: Immune Reconstitution Inflammatory Syndrome</w:t>
      </w:r>
      <w:bookmarkEnd w:id="691"/>
      <w:bookmarkEnd w:id="692"/>
      <w:bookmarkEnd w:id="693"/>
      <w:bookmarkEnd w:id="694"/>
      <w:bookmarkEnd w:id="695"/>
      <w:bookmarkEnd w:id="696"/>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60461B" w:rsidRPr="0060145C" w:rsidTr="00BE5A5D">
        <w:tc>
          <w:tcPr>
            <w:tcW w:w="9900" w:type="dxa"/>
          </w:tcPr>
          <w:p w:rsidR="0060461B" w:rsidRPr="0060145C" w:rsidRDefault="0060461B" w:rsidP="00BE5A5D">
            <w:pPr>
              <w:spacing w:before="120" w:after="120"/>
              <w:jc w:val="both"/>
              <w:rPr>
                <w:rFonts w:ascii="Arial" w:hAnsi="Arial" w:cs="Arial"/>
              </w:rPr>
            </w:pPr>
            <w:r w:rsidRPr="0060145C">
              <w:rPr>
                <w:rFonts w:ascii="Arial" w:hAnsi="Arial" w:cs="Arial"/>
              </w:rPr>
              <w:t>Diagnosis of infectious IRIS would require:</w:t>
            </w:r>
          </w:p>
          <w:p w:rsidR="0060461B" w:rsidRPr="0060145C" w:rsidRDefault="0060461B" w:rsidP="00BE5A5D">
            <w:pPr>
              <w:spacing w:before="120" w:after="120"/>
              <w:jc w:val="both"/>
              <w:rPr>
                <w:rFonts w:ascii="Arial" w:hAnsi="Arial" w:cs="Arial"/>
              </w:rPr>
            </w:pPr>
            <w:r w:rsidRPr="0060145C">
              <w:rPr>
                <w:rFonts w:ascii="Arial" w:hAnsi="Arial" w:cs="Arial"/>
              </w:rPr>
              <w:t xml:space="preserve">Both major (A plus B) criteria or Criterion A plus 2 minor criteria       </w:t>
            </w:r>
          </w:p>
        </w:tc>
      </w:tr>
      <w:tr w:rsidR="0060461B" w:rsidRPr="0060145C" w:rsidTr="00BE5A5D">
        <w:tc>
          <w:tcPr>
            <w:tcW w:w="9900" w:type="dxa"/>
          </w:tcPr>
          <w:p w:rsidR="0060461B" w:rsidRPr="0060145C" w:rsidRDefault="0060461B" w:rsidP="00BE5A5D">
            <w:pPr>
              <w:spacing w:before="120" w:after="120"/>
              <w:jc w:val="both"/>
              <w:rPr>
                <w:rFonts w:ascii="Arial" w:hAnsi="Arial" w:cs="Arial"/>
                <w:b/>
              </w:rPr>
            </w:pPr>
            <w:r w:rsidRPr="0060145C">
              <w:rPr>
                <w:rFonts w:ascii="Arial" w:hAnsi="Arial" w:cs="Arial"/>
                <w:b/>
              </w:rPr>
              <w:t>Major criteria</w:t>
            </w:r>
          </w:p>
          <w:p w:rsidR="0060461B" w:rsidRPr="0060145C" w:rsidRDefault="0060461B" w:rsidP="00BE5A5D">
            <w:pPr>
              <w:spacing w:before="120" w:after="120"/>
              <w:jc w:val="both"/>
              <w:rPr>
                <w:rFonts w:ascii="Arial" w:hAnsi="Arial" w:cs="Arial"/>
              </w:rPr>
            </w:pPr>
            <w:r w:rsidRPr="0060145C">
              <w:rPr>
                <w:rFonts w:ascii="Arial" w:hAnsi="Arial" w:cs="Arial"/>
                <w:b/>
              </w:rPr>
              <w:t>A.</w:t>
            </w:r>
            <w:r w:rsidRPr="0060145C">
              <w:rPr>
                <w:rFonts w:ascii="Arial" w:hAnsi="Arial" w:cs="Arial"/>
              </w:rPr>
              <w:t xml:space="preserve"> A typical presentation of “opportunistic infections or tumours” in patients responding to anti retroviral therapy (ART) includes:</w:t>
            </w:r>
          </w:p>
          <w:p w:rsidR="0060461B" w:rsidRPr="0060145C" w:rsidRDefault="00B247C9" w:rsidP="00274941">
            <w:pPr>
              <w:widowControl/>
              <w:numPr>
                <w:ilvl w:val="0"/>
                <w:numId w:val="73"/>
              </w:numPr>
              <w:spacing w:before="120" w:after="120"/>
              <w:jc w:val="both"/>
              <w:rPr>
                <w:rFonts w:ascii="Arial" w:hAnsi="Arial" w:cs="Arial"/>
              </w:rPr>
            </w:pPr>
            <w:r w:rsidRPr="0060145C">
              <w:rPr>
                <w:rFonts w:ascii="Arial" w:hAnsi="Arial" w:cs="Arial"/>
              </w:rPr>
              <w:t>Localized</w:t>
            </w:r>
            <w:r w:rsidR="0060461B" w:rsidRPr="0060145C">
              <w:rPr>
                <w:rFonts w:ascii="Arial" w:hAnsi="Arial" w:cs="Arial"/>
              </w:rPr>
              <w:t xml:space="preserve"> disease e.g. lymph nodes, liver, spleen</w:t>
            </w:r>
          </w:p>
          <w:p w:rsidR="0060461B" w:rsidRPr="0060145C" w:rsidRDefault="0060461B" w:rsidP="00274941">
            <w:pPr>
              <w:widowControl/>
              <w:numPr>
                <w:ilvl w:val="0"/>
                <w:numId w:val="73"/>
              </w:numPr>
              <w:spacing w:before="120" w:after="120"/>
              <w:jc w:val="both"/>
              <w:rPr>
                <w:rFonts w:ascii="Arial" w:hAnsi="Arial" w:cs="Arial"/>
              </w:rPr>
            </w:pPr>
            <w:r w:rsidRPr="0060145C">
              <w:rPr>
                <w:rFonts w:ascii="Arial" w:hAnsi="Arial" w:cs="Arial"/>
              </w:rPr>
              <w:t>Exaggerated inflammatory reaction e.g. Severe fever, with exclusion of other causes painful lesions</w:t>
            </w:r>
          </w:p>
          <w:p w:rsidR="0060461B" w:rsidRPr="0060145C" w:rsidRDefault="0060461B" w:rsidP="00274941">
            <w:pPr>
              <w:widowControl/>
              <w:numPr>
                <w:ilvl w:val="0"/>
                <w:numId w:val="73"/>
              </w:numPr>
              <w:spacing w:before="120" w:after="120"/>
              <w:jc w:val="both"/>
              <w:rPr>
                <w:rFonts w:ascii="Arial" w:hAnsi="Arial" w:cs="Arial"/>
              </w:rPr>
            </w:pPr>
            <w:r w:rsidRPr="0060145C">
              <w:rPr>
                <w:rFonts w:ascii="Arial" w:hAnsi="Arial" w:cs="Arial"/>
              </w:rPr>
              <w:t>Atypical inflammatory response in affected tissues e.g. Granulomas, suppuration, necrosis, perivascular lymphocytic inflammatory cell infiltrate</w:t>
            </w:r>
          </w:p>
          <w:p w:rsidR="0060461B" w:rsidRPr="0060145C" w:rsidRDefault="0060461B" w:rsidP="00274941">
            <w:pPr>
              <w:widowControl/>
              <w:numPr>
                <w:ilvl w:val="0"/>
                <w:numId w:val="73"/>
              </w:numPr>
              <w:spacing w:before="120" w:after="120"/>
              <w:jc w:val="both"/>
              <w:rPr>
                <w:rFonts w:ascii="Arial" w:hAnsi="Arial" w:cs="Arial"/>
              </w:rPr>
            </w:pPr>
            <w:r w:rsidRPr="0060145C">
              <w:rPr>
                <w:rFonts w:ascii="Arial" w:hAnsi="Arial" w:cs="Arial"/>
              </w:rPr>
              <w:t>Progression of organ dysfunction or enlargement of pre-existing lesions after definite, clinical improvement with pathogen specific therapy prior to commencement of ART and exclusion of treatment toxicity and new diagnoses e.g.</w:t>
            </w:r>
          </w:p>
          <w:p w:rsidR="0060461B" w:rsidRPr="0060145C" w:rsidRDefault="0060461B" w:rsidP="00274941">
            <w:pPr>
              <w:widowControl/>
              <w:numPr>
                <w:ilvl w:val="0"/>
                <w:numId w:val="73"/>
              </w:numPr>
              <w:spacing w:before="120" w:after="120"/>
              <w:jc w:val="both"/>
              <w:rPr>
                <w:rFonts w:ascii="Arial" w:hAnsi="Arial" w:cs="Arial"/>
              </w:rPr>
            </w:pPr>
            <w:r w:rsidRPr="0060145C">
              <w:rPr>
                <w:rFonts w:ascii="Arial" w:hAnsi="Arial" w:cs="Arial"/>
              </w:rPr>
              <w:t xml:space="preserve">Development of enlargement or cerebral space occupying lesions after treatment for cerebral                                              </w:t>
            </w:r>
          </w:p>
          <w:p w:rsidR="0060461B" w:rsidRPr="0060145C" w:rsidRDefault="0060461B" w:rsidP="00274941">
            <w:pPr>
              <w:widowControl/>
              <w:numPr>
                <w:ilvl w:val="0"/>
                <w:numId w:val="73"/>
              </w:numPr>
              <w:spacing w:before="120" w:after="120"/>
              <w:jc w:val="both"/>
              <w:rPr>
                <w:rFonts w:ascii="Arial" w:hAnsi="Arial" w:cs="Arial"/>
              </w:rPr>
            </w:pPr>
            <w:r w:rsidRPr="0060145C">
              <w:rPr>
                <w:rFonts w:ascii="Arial" w:hAnsi="Arial" w:cs="Arial"/>
              </w:rPr>
              <w:t>Cryptococcus or toxoplasmosis</w:t>
            </w:r>
          </w:p>
          <w:p w:rsidR="0060461B" w:rsidRPr="0060145C" w:rsidRDefault="0060461B" w:rsidP="00274941">
            <w:pPr>
              <w:widowControl/>
              <w:numPr>
                <w:ilvl w:val="0"/>
                <w:numId w:val="73"/>
              </w:numPr>
              <w:spacing w:before="120" w:after="120"/>
              <w:jc w:val="both"/>
              <w:rPr>
                <w:rFonts w:ascii="Arial" w:hAnsi="Arial" w:cs="Arial"/>
              </w:rPr>
            </w:pPr>
            <w:r w:rsidRPr="0060145C">
              <w:rPr>
                <w:rFonts w:ascii="Arial" w:hAnsi="Arial" w:cs="Arial"/>
              </w:rPr>
              <w:t xml:space="preserve">Progressive pneumonitis or the development of </w:t>
            </w:r>
            <w:r w:rsidR="00B247C9" w:rsidRPr="0060145C">
              <w:rPr>
                <w:rFonts w:ascii="Arial" w:hAnsi="Arial" w:cs="Arial"/>
              </w:rPr>
              <w:t>organizing</w:t>
            </w:r>
            <w:r w:rsidRPr="0060145C">
              <w:rPr>
                <w:rFonts w:ascii="Arial" w:hAnsi="Arial" w:cs="Arial"/>
              </w:rPr>
              <w:t xml:space="preserve"> pneumonia after treatment for pulmonary </w:t>
            </w:r>
          </w:p>
          <w:p w:rsidR="0060461B" w:rsidRPr="0060145C" w:rsidRDefault="0060461B" w:rsidP="00274941">
            <w:pPr>
              <w:widowControl/>
              <w:numPr>
                <w:ilvl w:val="0"/>
                <w:numId w:val="73"/>
              </w:numPr>
              <w:spacing w:before="120" w:after="120"/>
              <w:jc w:val="both"/>
              <w:rPr>
                <w:rFonts w:ascii="Arial" w:hAnsi="Arial" w:cs="Arial"/>
              </w:rPr>
            </w:pPr>
            <w:r w:rsidRPr="0060145C">
              <w:rPr>
                <w:rFonts w:ascii="Arial" w:hAnsi="Arial" w:cs="Arial"/>
              </w:rPr>
              <w:t>TB or PCP</w:t>
            </w:r>
          </w:p>
          <w:p w:rsidR="0060461B" w:rsidRPr="0060145C" w:rsidRDefault="0060461B" w:rsidP="00274941">
            <w:pPr>
              <w:widowControl/>
              <w:numPr>
                <w:ilvl w:val="0"/>
                <w:numId w:val="73"/>
              </w:numPr>
              <w:spacing w:before="120" w:after="120"/>
              <w:jc w:val="both"/>
              <w:rPr>
                <w:rFonts w:ascii="Arial" w:hAnsi="Arial" w:cs="Arial"/>
              </w:rPr>
            </w:pPr>
            <w:r w:rsidRPr="0060145C">
              <w:rPr>
                <w:rFonts w:ascii="Arial" w:hAnsi="Arial" w:cs="Arial"/>
              </w:rPr>
              <w:t>New onset or worsening of uveitis/vitritis after resolution of CMV retinitis</w:t>
            </w:r>
          </w:p>
          <w:p w:rsidR="0060461B" w:rsidRPr="0060145C" w:rsidRDefault="0060461B" w:rsidP="00274941">
            <w:pPr>
              <w:widowControl/>
              <w:numPr>
                <w:ilvl w:val="0"/>
                <w:numId w:val="73"/>
              </w:numPr>
              <w:spacing w:before="120" w:after="120"/>
              <w:jc w:val="both"/>
              <w:rPr>
                <w:rFonts w:ascii="Arial" w:hAnsi="Arial" w:cs="Arial"/>
              </w:rPr>
            </w:pPr>
            <w:r w:rsidRPr="0060145C">
              <w:rPr>
                <w:rFonts w:ascii="Arial" w:hAnsi="Arial" w:cs="Arial"/>
              </w:rPr>
              <w:t>Fever and cytopenia after treatment for disseminated Mycobacterium avium complex (MAC) disease</w:t>
            </w:r>
          </w:p>
          <w:p w:rsidR="0060461B" w:rsidRPr="0060145C" w:rsidRDefault="0060461B" w:rsidP="00274941">
            <w:pPr>
              <w:widowControl/>
              <w:numPr>
                <w:ilvl w:val="0"/>
                <w:numId w:val="73"/>
              </w:numPr>
              <w:spacing w:before="120" w:after="120"/>
              <w:jc w:val="both"/>
              <w:rPr>
                <w:rFonts w:ascii="Arial" w:hAnsi="Arial" w:cs="Arial"/>
              </w:rPr>
            </w:pPr>
            <w:r w:rsidRPr="0060145C">
              <w:rPr>
                <w:rFonts w:ascii="Arial" w:hAnsi="Arial" w:cs="Arial"/>
              </w:rPr>
              <w:t>Enlargement of Kaposi’s sarcoma lesions and subsequent resolution or partial regression without</w:t>
            </w:r>
          </w:p>
          <w:p w:rsidR="0060461B" w:rsidRPr="0060145C" w:rsidRDefault="0060461B" w:rsidP="00274941">
            <w:pPr>
              <w:widowControl/>
              <w:numPr>
                <w:ilvl w:val="0"/>
                <w:numId w:val="73"/>
              </w:numPr>
              <w:spacing w:before="120" w:after="120"/>
              <w:jc w:val="both"/>
              <w:rPr>
                <w:rFonts w:ascii="Arial" w:hAnsi="Arial" w:cs="Arial"/>
              </w:rPr>
            </w:pPr>
            <w:r w:rsidRPr="0060145C">
              <w:rPr>
                <w:rFonts w:ascii="Arial" w:hAnsi="Arial" w:cs="Arial"/>
              </w:rPr>
              <w:t>Commencement of radiotherapy, systemic chemotherapy or intralesional therapy</w:t>
            </w:r>
          </w:p>
          <w:p w:rsidR="0060461B" w:rsidRPr="0060145C" w:rsidRDefault="0060461B" w:rsidP="00BE5A5D">
            <w:pPr>
              <w:spacing w:before="120" w:after="120"/>
              <w:jc w:val="both"/>
              <w:rPr>
                <w:rFonts w:ascii="Arial" w:hAnsi="Arial" w:cs="Arial"/>
              </w:rPr>
            </w:pPr>
            <w:r w:rsidRPr="0060145C">
              <w:rPr>
                <w:rFonts w:ascii="Arial" w:hAnsi="Arial" w:cs="Arial"/>
                <w:b/>
              </w:rPr>
              <w:t>B.</w:t>
            </w:r>
            <w:r w:rsidRPr="0060145C">
              <w:rPr>
                <w:rFonts w:ascii="Arial" w:hAnsi="Arial" w:cs="Arial"/>
              </w:rPr>
              <w:t xml:space="preserve"> Decrease in plasma HIV-RNA level by &gt; 1 log 10 copies/ml</w:t>
            </w:r>
          </w:p>
        </w:tc>
      </w:tr>
      <w:tr w:rsidR="0060461B" w:rsidRPr="0060145C" w:rsidTr="00BE5A5D">
        <w:tc>
          <w:tcPr>
            <w:tcW w:w="9900" w:type="dxa"/>
          </w:tcPr>
          <w:p w:rsidR="0060461B" w:rsidRPr="0060145C" w:rsidRDefault="0060461B" w:rsidP="00BE5A5D">
            <w:pPr>
              <w:spacing w:before="120" w:after="120"/>
              <w:jc w:val="both"/>
              <w:rPr>
                <w:rFonts w:ascii="Arial" w:hAnsi="Arial" w:cs="Arial"/>
                <w:b/>
              </w:rPr>
            </w:pPr>
            <w:r w:rsidRPr="0060145C">
              <w:rPr>
                <w:rFonts w:ascii="Arial" w:hAnsi="Arial" w:cs="Arial"/>
                <w:b/>
              </w:rPr>
              <w:t>Minor criteria</w:t>
            </w:r>
          </w:p>
          <w:p w:rsidR="0060461B" w:rsidRPr="0060145C" w:rsidRDefault="0060461B" w:rsidP="00274941">
            <w:pPr>
              <w:widowControl/>
              <w:numPr>
                <w:ilvl w:val="0"/>
                <w:numId w:val="72"/>
              </w:numPr>
              <w:spacing w:before="120" w:after="120"/>
              <w:jc w:val="both"/>
              <w:rPr>
                <w:rFonts w:ascii="Arial" w:hAnsi="Arial" w:cs="Arial"/>
              </w:rPr>
            </w:pPr>
            <w:r w:rsidRPr="0060145C">
              <w:rPr>
                <w:rFonts w:ascii="Arial" w:hAnsi="Arial" w:cs="Arial"/>
              </w:rPr>
              <w:t>Increased blood CD4+ cell count after initiation of ART</w:t>
            </w:r>
          </w:p>
          <w:p w:rsidR="0060461B" w:rsidRPr="0060145C" w:rsidRDefault="0060461B" w:rsidP="00274941">
            <w:pPr>
              <w:widowControl/>
              <w:numPr>
                <w:ilvl w:val="0"/>
                <w:numId w:val="72"/>
              </w:numPr>
              <w:spacing w:before="120" w:after="120"/>
              <w:jc w:val="both"/>
              <w:rPr>
                <w:rFonts w:ascii="Arial" w:hAnsi="Arial" w:cs="Arial"/>
              </w:rPr>
            </w:pPr>
            <w:r w:rsidRPr="0060145C">
              <w:rPr>
                <w:rFonts w:ascii="Arial" w:hAnsi="Arial" w:cs="Arial"/>
              </w:rPr>
              <w:t>Increase in immune response specific to the relevant pathogen e.g. delayed type hypersensitivity to mycobacterial antigens</w:t>
            </w:r>
          </w:p>
          <w:p w:rsidR="0060461B" w:rsidRPr="0060145C" w:rsidRDefault="0060461B" w:rsidP="00274941">
            <w:pPr>
              <w:widowControl/>
              <w:numPr>
                <w:ilvl w:val="0"/>
                <w:numId w:val="72"/>
              </w:numPr>
              <w:spacing w:before="120" w:after="120"/>
              <w:jc w:val="both"/>
              <w:rPr>
                <w:rFonts w:ascii="Arial" w:hAnsi="Arial" w:cs="Arial"/>
              </w:rPr>
            </w:pPr>
            <w:r w:rsidRPr="0060145C">
              <w:rPr>
                <w:rFonts w:ascii="Arial" w:hAnsi="Arial" w:cs="Arial"/>
              </w:rPr>
              <w:t>Spontaneous resolution of disease without specific antimicrobial therapy or tumour chemotherapy with continuation of anti-retroviral therapy</w:t>
            </w:r>
          </w:p>
        </w:tc>
      </w:tr>
    </w:tbl>
    <w:p w:rsidR="0060461B" w:rsidRPr="000B26AE" w:rsidRDefault="0060461B" w:rsidP="00BE5A5D">
      <w:pPr>
        <w:spacing w:before="120" w:after="120"/>
        <w:jc w:val="both"/>
        <w:rPr>
          <w:rFonts w:ascii="Arial Narrow" w:hAnsi="Arial Narrow"/>
          <w:sz w:val="24"/>
          <w:szCs w:val="24"/>
        </w:rPr>
      </w:pPr>
    </w:p>
    <w:p w:rsidR="0060461B" w:rsidRPr="0060145C" w:rsidRDefault="0060461B" w:rsidP="00BE5A5D">
      <w:pPr>
        <w:spacing w:before="120" w:after="120" w:line="240" w:lineRule="auto"/>
        <w:jc w:val="both"/>
        <w:rPr>
          <w:rFonts w:ascii="Arial" w:hAnsi="Arial" w:cs="Arial"/>
          <w:b/>
        </w:rPr>
      </w:pPr>
      <w:r w:rsidRPr="0060145C">
        <w:rPr>
          <w:rFonts w:ascii="Arial" w:hAnsi="Arial" w:cs="Arial"/>
          <w:b/>
        </w:rPr>
        <w:t>Management of IRIS</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Mild to moderate forms:</w:t>
      </w:r>
    </w:p>
    <w:p w:rsidR="0060461B" w:rsidRPr="0060145C" w:rsidRDefault="0060461B" w:rsidP="00274941">
      <w:pPr>
        <w:numPr>
          <w:ilvl w:val="0"/>
          <w:numId w:val="75"/>
        </w:numPr>
        <w:spacing w:after="0" w:line="240" w:lineRule="auto"/>
        <w:jc w:val="both"/>
        <w:rPr>
          <w:rFonts w:ascii="Arial" w:hAnsi="Arial" w:cs="Arial"/>
        </w:rPr>
      </w:pPr>
      <w:r w:rsidRPr="0060145C">
        <w:rPr>
          <w:rFonts w:ascii="Arial" w:hAnsi="Arial" w:cs="Arial"/>
        </w:rPr>
        <w:t>Reassure the patient</w:t>
      </w:r>
    </w:p>
    <w:p w:rsidR="0060461B" w:rsidRPr="0060145C" w:rsidRDefault="0060461B" w:rsidP="00274941">
      <w:pPr>
        <w:numPr>
          <w:ilvl w:val="0"/>
          <w:numId w:val="75"/>
        </w:numPr>
        <w:spacing w:after="0" w:line="240" w:lineRule="auto"/>
        <w:jc w:val="both"/>
        <w:rPr>
          <w:rFonts w:ascii="Arial" w:hAnsi="Arial" w:cs="Arial"/>
        </w:rPr>
      </w:pPr>
      <w:r w:rsidRPr="0060145C">
        <w:rPr>
          <w:rFonts w:ascii="Arial" w:hAnsi="Arial" w:cs="Arial"/>
        </w:rPr>
        <w:t>Do not stop ART</w:t>
      </w:r>
    </w:p>
    <w:p w:rsidR="0060461B" w:rsidRPr="0060145C" w:rsidRDefault="0060461B" w:rsidP="00274941">
      <w:pPr>
        <w:numPr>
          <w:ilvl w:val="0"/>
          <w:numId w:val="75"/>
        </w:numPr>
        <w:spacing w:after="0" w:line="240" w:lineRule="auto"/>
        <w:jc w:val="both"/>
        <w:rPr>
          <w:rFonts w:ascii="Arial" w:hAnsi="Arial" w:cs="Arial"/>
        </w:rPr>
      </w:pPr>
      <w:r w:rsidRPr="0060145C">
        <w:rPr>
          <w:rFonts w:ascii="Arial" w:hAnsi="Arial" w:cs="Arial"/>
        </w:rPr>
        <w:t>Provide specific treatment for the opportunistic infection/malignancy</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Severe life threatening IRIS</w:t>
      </w:r>
    </w:p>
    <w:p w:rsidR="0060461B" w:rsidRPr="0060145C" w:rsidRDefault="0060461B" w:rsidP="00274941">
      <w:pPr>
        <w:numPr>
          <w:ilvl w:val="0"/>
          <w:numId w:val="75"/>
        </w:numPr>
        <w:spacing w:after="0" w:line="240" w:lineRule="auto"/>
        <w:jc w:val="both"/>
        <w:rPr>
          <w:rFonts w:ascii="Arial" w:hAnsi="Arial" w:cs="Arial"/>
        </w:rPr>
      </w:pPr>
      <w:r w:rsidRPr="0060145C">
        <w:rPr>
          <w:rFonts w:ascii="Arial" w:hAnsi="Arial" w:cs="Arial"/>
        </w:rPr>
        <w:t>Reassure the patient</w:t>
      </w:r>
    </w:p>
    <w:p w:rsidR="0060461B" w:rsidRPr="0060145C" w:rsidRDefault="0060461B" w:rsidP="00274941">
      <w:pPr>
        <w:numPr>
          <w:ilvl w:val="0"/>
          <w:numId w:val="75"/>
        </w:numPr>
        <w:spacing w:after="0" w:line="240" w:lineRule="auto"/>
        <w:jc w:val="both"/>
        <w:rPr>
          <w:rFonts w:ascii="Arial" w:hAnsi="Arial" w:cs="Arial"/>
        </w:rPr>
      </w:pPr>
      <w:r w:rsidRPr="0060145C">
        <w:rPr>
          <w:rFonts w:ascii="Arial" w:hAnsi="Arial" w:cs="Arial"/>
        </w:rPr>
        <w:t>Stop ART temporarily</w:t>
      </w:r>
    </w:p>
    <w:p w:rsidR="0060461B" w:rsidRDefault="0060461B" w:rsidP="00274941">
      <w:pPr>
        <w:numPr>
          <w:ilvl w:val="0"/>
          <w:numId w:val="75"/>
        </w:numPr>
        <w:spacing w:after="0" w:line="240" w:lineRule="auto"/>
        <w:jc w:val="both"/>
        <w:rPr>
          <w:rFonts w:ascii="Arial" w:hAnsi="Arial" w:cs="Arial"/>
        </w:rPr>
      </w:pPr>
      <w:r w:rsidRPr="0060145C">
        <w:rPr>
          <w:rFonts w:ascii="Arial" w:hAnsi="Arial" w:cs="Arial"/>
        </w:rPr>
        <w:t xml:space="preserve">Provide high doses of Prednisolone 1mg/kg for 4 weeks then taper down the dose. </w:t>
      </w:r>
    </w:p>
    <w:p w:rsidR="0060461B" w:rsidRDefault="0060461B" w:rsidP="00BE5A5D">
      <w:pPr>
        <w:spacing w:after="0" w:line="240" w:lineRule="auto"/>
        <w:ind w:left="720"/>
        <w:jc w:val="both"/>
        <w:rPr>
          <w:rFonts w:ascii="Arial" w:hAnsi="Arial" w:cs="Arial"/>
        </w:rPr>
      </w:pPr>
    </w:p>
    <w:p w:rsidR="0060461B" w:rsidRDefault="0060461B" w:rsidP="00BE5A5D">
      <w:pPr>
        <w:spacing w:after="0" w:line="240" w:lineRule="auto"/>
        <w:ind w:left="720"/>
        <w:jc w:val="both"/>
        <w:rPr>
          <w:rFonts w:ascii="Arial" w:hAnsi="Arial" w:cs="Arial"/>
        </w:rPr>
      </w:pPr>
      <w:r w:rsidRPr="0060145C">
        <w:rPr>
          <w:rFonts w:ascii="Arial" w:hAnsi="Arial" w:cs="Arial"/>
        </w:rPr>
        <w:t xml:space="preserve">NOTE: It is important to rule out </w:t>
      </w:r>
      <w:r w:rsidRPr="0060145C">
        <w:rPr>
          <w:rFonts w:ascii="Arial" w:hAnsi="Arial" w:cs="Arial"/>
          <w:i/>
        </w:rPr>
        <w:t>Strogyloides stecolaris</w:t>
      </w:r>
      <w:r w:rsidRPr="0060145C">
        <w:rPr>
          <w:rFonts w:ascii="Arial" w:hAnsi="Arial" w:cs="Arial"/>
        </w:rPr>
        <w:t xml:space="preserve"> infection to avoid disseminated strongylodiasis. </w:t>
      </w:r>
    </w:p>
    <w:p w:rsidR="0060461B" w:rsidRPr="0060145C" w:rsidRDefault="0060461B" w:rsidP="00BE5A5D">
      <w:pPr>
        <w:spacing w:after="0" w:line="240" w:lineRule="auto"/>
        <w:ind w:left="720"/>
        <w:jc w:val="both"/>
        <w:rPr>
          <w:rFonts w:ascii="Arial" w:hAnsi="Arial" w:cs="Arial"/>
        </w:rPr>
      </w:pPr>
    </w:p>
    <w:p w:rsidR="0060461B" w:rsidRPr="0060145C" w:rsidRDefault="0060461B" w:rsidP="00274941">
      <w:pPr>
        <w:numPr>
          <w:ilvl w:val="0"/>
          <w:numId w:val="75"/>
        </w:numPr>
        <w:spacing w:after="0" w:line="240" w:lineRule="auto"/>
        <w:jc w:val="both"/>
        <w:rPr>
          <w:rFonts w:ascii="Arial" w:hAnsi="Arial" w:cs="Arial"/>
        </w:rPr>
      </w:pPr>
      <w:r w:rsidRPr="0060145C">
        <w:rPr>
          <w:rFonts w:ascii="Arial" w:hAnsi="Arial" w:cs="Arial"/>
        </w:rPr>
        <w:t>Provide other appropriate supportive measures such as management of fever, oxygen therapy, i.v fluids</w:t>
      </w:r>
    </w:p>
    <w:p w:rsidR="0060461B" w:rsidRPr="0060145C" w:rsidRDefault="0060461B" w:rsidP="00274941">
      <w:pPr>
        <w:numPr>
          <w:ilvl w:val="0"/>
          <w:numId w:val="75"/>
        </w:numPr>
        <w:spacing w:after="0" w:line="240" w:lineRule="auto"/>
        <w:jc w:val="both"/>
        <w:rPr>
          <w:rFonts w:ascii="Arial" w:hAnsi="Arial" w:cs="Arial"/>
        </w:rPr>
      </w:pPr>
      <w:r w:rsidRPr="0060145C">
        <w:rPr>
          <w:rFonts w:ascii="Arial" w:hAnsi="Arial" w:cs="Arial"/>
        </w:rPr>
        <w:t>Restart ART when the patient stabilizes</w:t>
      </w:r>
    </w:p>
    <w:p w:rsidR="0060461B" w:rsidRPr="000B26AE" w:rsidRDefault="0060461B" w:rsidP="00BE5A5D">
      <w:pPr>
        <w:spacing w:before="120" w:after="120"/>
        <w:jc w:val="both"/>
        <w:rPr>
          <w:rFonts w:ascii="Arial Narrow" w:hAnsi="Arial Narrow"/>
          <w:sz w:val="24"/>
          <w:szCs w:val="24"/>
        </w:rPr>
      </w:pPr>
    </w:p>
    <w:p w:rsidR="0060461B" w:rsidRPr="00785003" w:rsidRDefault="0060461B" w:rsidP="00BE5A5D">
      <w:pPr>
        <w:pStyle w:val="Heading2"/>
      </w:pPr>
      <w:bookmarkStart w:id="697" w:name="_Toc374515308"/>
      <w:bookmarkStart w:id="698" w:name="_Toc378258239"/>
      <w:bookmarkStart w:id="699" w:name="_Toc381351642"/>
      <w:r w:rsidRPr="00785003">
        <w:t>9.</w:t>
      </w:r>
      <w:r>
        <w:t>8</w:t>
      </w:r>
      <w:r w:rsidRPr="00785003">
        <w:t xml:space="preserve"> SECOND-LINE ARV REGIMEN</w:t>
      </w:r>
      <w:bookmarkEnd w:id="697"/>
      <w:bookmarkEnd w:id="698"/>
      <w:bookmarkEnd w:id="699"/>
    </w:p>
    <w:p w:rsidR="0060461B" w:rsidRPr="0060145C" w:rsidRDefault="0060461B" w:rsidP="00BE5A5D">
      <w:pPr>
        <w:spacing w:before="120" w:after="120" w:line="240" w:lineRule="auto"/>
        <w:jc w:val="both"/>
        <w:rPr>
          <w:rFonts w:ascii="Arial" w:hAnsi="Arial" w:cs="Arial"/>
        </w:rPr>
      </w:pPr>
      <w:r w:rsidRPr="0060145C">
        <w:rPr>
          <w:rFonts w:ascii="Arial" w:hAnsi="Arial" w:cs="Arial"/>
        </w:rPr>
        <w:t>Before treatment failure is presumed and a particular regimen discarded, every effort should be made to rule out causes other than drug resistance. Patients should be evaluated for correctable factors, such as:</w:t>
      </w:r>
    </w:p>
    <w:p w:rsidR="0060461B" w:rsidRPr="0060145C" w:rsidRDefault="0060461B" w:rsidP="00274941">
      <w:pPr>
        <w:numPr>
          <w:ilvl w:val="0"/>
          <w:numId w:val="75"/>
        </w:numPr>
        <w:spacing w:after="0" w:line="240" w:lineRule="auto"/>
        <w:jc w:val="both"/>
        <w:rPr>
          <w:rFonts w:ascii="Arial" w:hAnsi="Arial" w:cs="Arial"/>
        </w:rPr>
      </w:pPr>
      <w:r w:rsidRPr="0060145C">
        <w:rPr>
          <w:rFonts w:ascii="Arial" w:hAnsi="Arial" w:cs="Arial"/>
        </w:rPr>
        <w:t>Inappropriate dosing schedules</w:t>
      </w:r>
    </w:p>
    <w:p w:rsidR="0060461B" w:rsidRPr="0060145C" w:rsidRDefault="0060461B" w:rsidP="00274941">
      <w:pPr>
        <w:numPr>
          <w:ilvl w:val="0"/>
          <w:numId w:val="75"/>
        </w:numPr>
        <w:spacing w:after="0" w:line="240" w:lineRule="auto"/>
        <w:jc w:val="both"/>
        <w:rPr>
          <w:rFonts w:ascii="Arial" w:hAnsi="Arial" w:cs="Arial"/>
        </w:rPr>
      </w:pPr>
      <w:r w:rsidRPr="0060145C">
        <w:rPr>
          <w:rFonts w:ascii="Arial" w:hAnsi="Arial" w:cs="Arial"/>
        </w:rPr>
        <w:t>Drug interactions that may reduce the efficacy of some of the ARV</w:t>
      </w:r>
    </w:p>
    <w:p w:rsidR="0060461B" w:rsidRPr="0060145C" w:rsidRDefault="0060461B" w:rsidP="00274941">
      <w:pPr>
        <w:numPr>
          <w:ilvl w:val="0"/>
          <w:numId w:val="75"/>
        </w:numPr>
        <w:spacing w:after="0" w:line="240" w:lineRule="auto"/>
        <w:jc w:val="both"/>
        <w:rPr>
          <w:rFonts w:ascii="Arial" w:hAnsi="Arial" w:cs="Arial"/>
        </w:rPr>
      </w:pPr>
      <w:r w:rsidRPr="0060145C">
        <w:rPr>
          <w:rFonts w:ascii="Arial" w:hAnsi="Arial" w:cs="Arial"/>
        </w:rPr>
        <w:t xml:space="preserve">Non adherence </w:t>
      </w:r>
    </w:p>
    <w:p w:rsidR="0060461B" w:rsidRPr="0060145C" w:rsidRDefault="0060461B" w:rsidP="00274941">
      <w:pPr>
        <w:numPr>
          <w:ilvl w:val="0"/>
          <w:numId w:val="75"/>
        </w:numPr>
        <w:spacing w:after="0" w:line="240" w:lineRule="auto"/>
        <w:jc w:val="both"/>
        <w:rPr>
          <w:rFonts w:ascii="Arial" w:hAnsi="Arial" w:cs="Arial"/>
        </w:rPr>
      </w:pPr>
      <w:r w:rsidRPr="0060145C">
        <w:rPr>
          <w:rFonts w:ascii="Arial" w:hAnsi="Arial" w:cs="Arial"/>
        </w:rPr>
        <w:t>Evidence of malabsorption</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 xml:space="preserve">Each of the above scenarios could result in sub-therapeutic drug levels and poor clinical response. It is therefore important to identify the causes and correct them appropriately. If clinical assessment indicates the presence of treatment failure based on the set criteria, the best approach is to switch to a second line regimen after ruling out non adherence. The new regimen should comprise of at least two effective drugs. Choosing two effective drugs to which the patient is naïve. Before changing to the second line drug regimen, the patient needs to go through the treatment readiness education process and adherence again. This needs to be carefully monitored as some patients might hide their non-adherence.  </w:t>
      </w:r>
    </w:p>
    <w:p w:rsidR="0060461B" w:rsidRPr="00785003" w:rsidRDefault="0060461B" w:rsidP="00BE5A5D">
      <w:pPr>
        <w:pStyle w:val="Heading3"/>
      </w:pPr>
      <w:bookmarkStart w:id="700" w:name="_Toc374515309"/>
      <w:bookmarkStart w:id="701" w:name="_Toc378258240"/>
      <w:bookmarkStart w:id="702" w:name="_Toc381351643"/>
      <w:r w:rsidRPr="00785003">
        <w:t>9.</w:t>
      </w:r>
      <w:r>
        <w:t>8</w:t>
      </w:r>
      <w:r w:rsidRPr="00785003">
        <w:t>.1 Second-line antiretroviral therapy in adults and adolescents</w:t>
      </w:r>
      <w:bookmarkEnd w:id="700"/>
      <w:bookmarkEnd w:id="701"/>
      <w:bookmarkEnd w:id="702"/>
    </w:p>
    <w:p w:rsidR="0060461B" w:rsidRPr="0060145C" w:rsidRDefault="0060461B" w:rsidP="00BE5A5D">
      <w:pPr>
        <w:spacing w:before="120" w:after="120" w:line="240" w:lineRule="auto"/>
        <w:jc w:val="both"/>
        <w:rPr>
          <w:rFonts w:ascii="Arial" w:hAnsi="Arial" w:cs="Arial"/>
        </w:rPr>
      </w:pPr>
      <w:r w:rsidRPr="0060145C">
        <w:rPr>
          <w:rFonts w:ascii="Arial" w:hAnsi="Arial" w:cs="Arial"/>
        </w:rPr>
        <w:t>Drugs used as the second line drugs in Tanzania include:</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NRTIs</w:t>
      </w:r>
    </w:p>
    <w:p w:rsidR="0060461B" w:rsidRPr="0060145C" w:rsidRDefault="0060461B" w:rsidP="00274941">
      <w:pPr>
        <w:numPr>
          <w:ilvl w:val="0"/>
          <w:numId w:val="75"/>
        </w:numPr>
        <w:spacing w:after="0" w:line="240" w:lineRule="auto"/>
        <w:jc w:val="both"/>
        <w:rPr>
          <w:rFonts w:ascii="Arial" w:hAnsi="Arial" w:cs="Arial"/>
        </w:rPr>
      </w:pPr>
      <w:r w:rsidRPr="0060145C">
        <w:rPr>
          <w:rFonts w:ascii="Arial" w:hAnsi="Arial" w:cs="Arial"/>
        </w:rPr>
        <w:t>Zidovudine (AZT)</w:t>
      </w:r>
    </w:p>
    <w:p w:rsidR="0060461B" w:rsidRPr="0060145C" w:rsidRDefault="0060461B" w:rsidP="00274941">
      <w:pPr>
        <w:numPr>
          <w:ilvl w:val="0"/>
          <w:numId w:val="75"/>
        </w:numPr>
        <w:spacing w:after="0" w:line="240" w:lineRule="auto"/>
        <w:jc w:val="both"/>
        <w:rPr>
          <w:rFonts w:ascii="Arial" w:hAnsi="Arial" w:cs="Arial"/>
        </w:rPr>
      </w:pPr>
      <w:r w:rsidRPr="0060145C">
        <w:rPr>
          <w:rFonts w:ascii="Arial" w:hAnsi="Arial" w:cs="Arial"/>
        </w:rPr>
        <w:t>Tenofovir (TDF)</w:t>
      </w:r>
    </w:p>
    <w:p w:rsidR="0060461B" w:rsidRPr="0060145C" w:rsidRDefault="0060461B" w:rsidP="00274941">
      <w:pPr>
        <w:numPr>
          <w:ilvl w:val="0"/>
          <w:numId w:val="75"/>
        </w:numPr>
        <w:spacing w:after="0" w:line="240" w:lineRule="auto"/>
        <w:jc w:val="both"/>
        <w:rPr>
          <w:rFonts w:ascii="Arial" w:hAnsi="Arial" w:cs="Arial"/>
        </w:rPr>
      </w:pPr>
      <w:r w:rsidRPr="0060145C">
        <w:rPr>
          <w:rFonts w:ascii="Arial" w:hAnsi="Arial" w:cs="Arial"/>
        </w:rPr>
        <w:t xml:space="preserve">Abacavir (ABC) </w:t>
      </w:r>
    </w:p>
    <w:p w:rsidR="0060461B" w:rsidRPr="0060145C" w:rsidRDefault="0060461B" w:rsidP="00274941">
      <w:pPr>
        <w:numPr>
          <w:ilvl w:val="0"/>
          <w:numId w:val="75"/>
        </w:numPr>
        <w:spacing w:after="0" w:line="240" w:lineRule="auto"/>
        <w:jc w:val="both"/>
        <w:rPr>
          <w:rFonts w:ascii="Arial" w:hAnsi="Arial" w:cs="Arial"/>
        </w:rPr>
      </w:pPr>
      <w:r w:rsidRPr="0060145C">
        <w:rPr>
          <w:rFonts w:ascii="Arial" w:hAnsi="Arial" w:cs="Arial"/>
        </w:rPr>
        <w:t>Lamivudine (3TC)</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PIs</w:t>
      </w:r>
    </w:p>
    <w:p w:rsidR="0060461B" w:rsidRPr="0060145C" w:rsidRDefault="0060461B" w:rsidP="00274941">
      <w:pPr>
        <w:numPr>
          <w:ilvl w:val="0"/>
          <w:numId w:val="75"/>
        </w:numPr>
        <w:spacing w:after="0" w:line="240" w:lineRule="auto"/>
        <w:jc w:val="both"/>
        <w:rPr>
          <w:rFonts w:ascii="Arial" w:hAnsi="Arial" w:cs="Arial"/>
        </w:rPr>
      </w:pPr>
      <w:r w:rsidRPr="0060145C">
        <w:rPr>
          <w:rFonts w:ascii="Arial" w:hAnsi="Arial" w:cs="Arial"/>
        </w:rPr>
        <w:t xml:space="preserve">Atazanavir boosted by Ritonavir (ATV/r) </w:t>
      </w:r>
    </w:p>
    <w:p w:rsidR="0060461B" w:rsidRPr="0060145C" w:rsidRDefault="0060461B" w:rsidP="00274941">
      <w:pPr>
        <w:numPr>
          <w:ilvl w:val="0"/>
          <w:numId w:val="75"/>
        </w:numPr>
        <w:spacing w:after="0" w:line="240" w:lineRule="auto"/>
        <w:jc w:val="both"/>
        <w:rPr>
          <w:rFonts w:ascii="Arial" w:hAnsi="Arial" w:cs="Arial"/>
        </w:rPr>
      </w:pPr>
      <w:r w:rsidRPr="0060145C">
        <w:rPr>
          <w:rFonts w:ascii="Arial" w:hAnsi="Arial" w:cs="Arial"/>
        </w:rPr>
        <w:t>Lopinavir boosted by Ritonavir (LPV/r)</w:t>
      </w:r>
    </w:p>
    <w:p w:rsidR="0060461B" w:rsidRPr="000B26AE" w:rsidRDefault="0060461B" w:rsidP="00BE5A5D">
      <w:pPr>
        <w:spacing w:before="120" w:after="120"/>
        <w:jc w:val="both"/>
        <w:rPr>
          <w:rFonts w:ascii="Arial Narrow" w:hAnsi="Arial Narrow"/>
          <w:sz w:val="24"/>
          <w:szCs w:val="24"/>
        </w:rPr>
      </w:pPr>
    </w:p>
    <w:p w:rsidR="0060461B" w:rsidRPr="0060145C" w:rsidRDefault="0060461B" w:rsidP="00BE5A5D">
      <w:pPr>
        <w:spacing w:before="120" w:after="120" w:line="240" w:lineRule="auto"/>
        <w:jc w:val="both"/>
        <w:rPr>
          <w:rFonts w:ascii="Arial" w:hAnsi="Arial" w:cs="Arial"/>
        </w:rPr>
      </w:pPr>
      <w:r w:rsidRPr="0060145C">
        <w:rPr>
          <w:rFonts w:ascii="Arial" w:hAnsi="Arial" w:cs="Arial"/>
        </w:rPr>
        <w:t>The second line NRTI choice for adults and adolescents depends on the first line regimen. For patients on TDF in first line, the default second line option is to use is AZT plus 3TC or FTC combined with a ritonavir-boosted PI, either LPV/r or ATV/r. (TDF+3TC or FTC + ATV/r or LPV/r)</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If patients were started on AZT and had never used TDF regimen, the default second line option will be TDF based regimen.</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For patients who were initiated on TDF in first line because of intolerance to AZT, the default second line option is to use ABC plus 3TC combined with a ritonavir-boosted PI.</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ATV/r or LPV/r. (ABC + 3TC + LPV/r or ATV/r)</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Doses for these drugs are given in Appendix 4.</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Note that LPV/r, TDF/3TC and TDF/FTC are currently available as FDC formulations which simplify dosing and administration.</w:t>
      </w:r>
    </w:p>
    <w:p w:rsidR="0060461B" w:rsidRDefault="0060461B" w:rsidP="00BE5A5D">
      <w:pPr>
        <w:spacing w:before="120" w:after="120" w:line="240" w:lineRule="auto"/>
        <w:jc w:val="both"/>
        <w:rPr>
          <w:rFonts w:ascii="Arial" w:hAnsi="Arial" w:cs="Arial"/>
        </w:rPr>
      </w:pPr>
    </w:p>
    <w:p w:rsidR="0060461B" w:rsidRDefault="0060461B" w:rsidP="00BE5A5D">
      <w:pPr>
        <w:spacing w:before="120" w:after="120" w:line="240" w:lineRule="auto"/>
        <w:jc w:val="both"/>
        <w:rPr>
          <w:rFonts w:ascii="Arial" w:hAnsi="Arial" w:cs="Arial"/>
        </w:rPr>
      </w:pPr>
    </w:p>
    <w:p w:rsidR="0060461B" w:rsidRDefault="0060461B" w:rsidP="00BE5A5D">
      <w:pPr>
        <w:spacing w:before="120" w:after="120" w:line="240" w:lineRule="auto"/>
        <w:jc w:val="both"/>
        <w:rPr>
          <w:rFonts w:ascii="Arial" w:hAnsi="Arial" w:cs="Arial"/>
        </w:rPr>
      </w:pPr>
    </w:p>
    <w:p w:rsidR="0060461B" w:rsidRDefault="0060461B" w:rsidP="00BE5A5D">
      <w:pPr>
        <w:spacing w:before="120" w:after="120" w:line="240" w:lineRule="auto"/>
        <w:jc w:val="both"/>
        <w:rPr>
          <w:rFonts w:ascii="Arial" w:hAnsi="Arial" w:cs="Arial"/>
        </w:rPr>
      </w:pPr>
    </w:p>
    <w:p w:rsidR="0060461B" w:rsidRDefault="0060461B" w:rsidP="00BE5A5D">
      <w:pPr>
        <w:spacing w:before="120" w:after="120" w:line="240" w:lineRule="auto"/>
        <w:jc w:val="both"/>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8"/>
        <w:gridCol w:w="1530"/>
        <w:gridCol w:w="3702"/>
      </w:tblGrid>
      <w:tr w:rsidR="0060461B" w:rsidRPr="0060145C" w:rsidTr="00BE5A5D">
        <w:tc>
          <w:tcPr>
            <w:tcW w:w="9300" w:type="dxa"/>
            <w:gridSpan w:val="3"/>
            <w:tcBorders>
              <w:top w:val="nil"/>
              <w:left w:val="nil"/>
              <w:bottom w:val="nil"/>
              <w:right w:val="nil"/>
            </w:tcBorders>
            <w:shd w:val="clear" w:color="auto" w:fill="auto"/>
          </w:tcPr>
          <w:p w:rsidR="0060461B" w:rsidRPr="0060145C" w:rsidRDefault="0060461B" w:rsidP="00BE5A5D">
            <w:pPr>
              <w:spacing w:before="120" w:after="120" w:line="240" w:lineRule="auto"/>
              <w:jc w:val="both"/>
              <w:rPr>
                <w:rFonts w:ascii="Arial" w:hAnsi="Arial" w:cs="Arial"/>
              </w:rPr>
            </w:pPr>
            <w:r w:rsidRPr="0083740B">
              <w:rPr>
                <w:rFonts w:ascii="Arial" w:hAnsi="Arial" w:cs="Arial"/>
                <w:b/>
              </w:rPr>
              <w:t>Table 9.6: Second line regimen choices</w:t>
            </w:r>
            <w:r>
              <w:rPr>
                <w:rFonts w:ascii="Arial" w:hAnsi="Arial" w:cs="Arial"/>
                <w:b/>
              </w:rPr>
              <w:t xml:space="preserve"> </w:t>
            </w:r>
          </w:p>
        </w:tc>
      </w:tr>
      <w:tr w:rsidR="0060461B" w:rsidRPr="0060145C" w:rsidTr="00BE5A5D">
        <w:tc>
          <w:tcPr>
            <w:tcW w:w="4068" w:type="dxa"/>
            <w:tcBorders>
              <w:top w:val="single" w:sz="4" w:space="0" w:color="auto"/>
            </w:tcBorders>
            <w:shd w:val="clear" w:color="auto" w:fill="auto"/>
          </w:tcPr>
          <w:p w:rsidR="0060461B" w:rsidRPr="0060145C" w:rsidRDefault="0060461B" w:rsidP="00BE5A5D">
            <w:pPr>
              <w:rPr>
                <w:rFonts w:ascii="Arial" w:hAnsi="Arial" w:cs="Arial"/>
              </w:rPr>
            </w:pPr>
            <w:r w:rsidRPr="0060145C">
              <w:rPr>
                <w:rFonts w:ascii="Arial" w:hAnsi="Arial" w:cs="Arial"/>
              </w:rPr>
              <w:t>FIRST LINE</w:t>
            </w:r>
          </w:p>
        </w:tc>
        <w:tc>
          <w:tcPr>
            <w:tcW w:w="1530" w:type="dxa"/>
            <w:tcBorders>
              <w:top w:val="single" w:sz="4" w:space="0" w:color="auto"/>
            </w:tcBorders>
            <w:shd w:val="clear" w:color="auto" w:fill="auto"/>
          </w:tcPr>
          <w:p w:rsidR="0060461B" w:rsidRPr="0060145C" w:rsidRDefault="00AA771C" w:rsidP="00BE5A5D">
            <w:pPr>
              <w:rPr>
                <w:rFonts w:ascii="Arial" w:hAnsi="Arial" w:cs="Arial"/>
              </w:rPr>
            </w:pPr>
            <w:r>
              <w:rPr>
                <w:rFonts w:ascii="Arial" w:hAnsi="Arial" w:cs="Arial"/>
                <w:noProof/>
              </w:rPr>
              <mc:AlternateContent>
                <mc:Choice Requires="wps">
                  <w:drawing>
                    <wp:anchor distT="0" distB="0" distL="114300" distR="114300" simplePos="0" relativeHeight="251819008" behindDoc="0" locked="0" layoutInCell="1" allowOverlap="1">
                      <wp:simplePos x="0" y="0"/>
                      <wp:positionH relativeFrom="column">
                        <wp:posOffset>95885</wp:posOffset>
                      </wp:positionH>
                      <wp:positionV relativeFrom="paragraph">
                        <wp:posOffset>160655</wp:posOffset>
                      </wp:positionV>
                      <wp:extent cx="612775" cy="129540"/>
                      <wp:effectExtent l="10160" t="17780" r="24765" b="5080"/>
                      <wp:wrapNone/>
                      <wp:docPr id="44" name="AutoShap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129540"/>
                              </a:xfrm>
                              <a:prstGeom prst="rightArrow">
                                <a:avLst>
                                  <a:gd name="adj1" fmla="val 50000"/>
                                  <a:gd name="adj2" fmla="val 11826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61" o:spid="_x0000_s1026" type="#_x0000_t13" style="position:absolute;margin-left:7.55pt;margin-top:12.65pt;width:48.25pt;height:10.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" fillcolor="#0070c0"/>
                  </w:pict>
                </mc:Fallback>
              </mc:AlternateContent>
            </w:r>
          </w:p>
        </w:tc>
        <w:tc>
          <w:tcPr>
            <w:tcW w:w="3702" w:type="dxa"/>
            <w:tcBorders>
              <w:top w:val="single" w:sz="4" w:space="0" w:color="auto"/>
            </w:tcBorders>
            <w:shd w:val="clear" w:color="auto" w:fill="auto"/>
          </w:tcPr>
          <w:p w:rsidR="0060461B" w:rsidRPr="0060145C" w:rsidRDefault="0060461B" w:rsidP="00BE5A5D">
            <w:pPr>
              <w:rPr>
                <w:rFonts w:ascii="Arial" w:hAnsi="Arial" w:cs="Arial"/>
              </w:rPr>
            </w:pPr>
            <w:r w:rsidRPr="0060145C">
              <w:rPr>
                <w:rFonts w:ascii="Arial" w:hAnsi="Arial" w:cs="Arial"/>
              </w:rPr>
              <w:t>SECOND LINE</w:t>
            </w:r>
          </w:p>
        </w:tc>
      </w:tr>
      <w:tr w:rsidR="0060461B" w:rsidRPr="0060145C" w:rsidTr="00BE5A5D">
        <w:tc>
          <w:tcPr>
            <w:tcW w:w="4068" w:type="dxa"/>
            <w:shd w:val="clear" w:color="auto" w:fill="auto"/>
          </w:tcPr>
          <w:p w:rsidR="0060461B" w:rsidRPr="0060145C" w:rsidRDefault="0060461B" w:rsidP="00BE5A5D">
            <w:pPr>
              <w:rPr>
                <w:rFonts w:ascii="Arial" w:hAnsi="Arial" w:cs="Arial"/>
              </w:rPr>
            </w:pPr>
            <w:r w:rsidRPr="0060145C">
              <w:rPr>
                <w:rFonts w:ascii="Arial" w:hAnsi="Arial" w:cs="Arial"/>
              </w:rPr>
              <w:t>AZT/3TC+NVP (or EFV)</w:t>
            </w:r>
          </w:p>
        </w:tc>
        <w:tc>
          <w:tcPr>
            <w:tcW w:w="1530" w:type="dxa"/>
            <w:shd w:val="clear" w:color="auto" w:fill="auto"/>
          </w:tcPr>
          <w:p w:rsidR="0060461B" w:rsidRPr="0060145C" w:rsidRDefault="0060461B" w:rsidP="00BE5A5D">
            <w:pPr>
              <w:rPr>
                <w:rFonts w:ascii="Arial" w:hAnsi="Arial" w:cs="Arial"/>
              </w:rPr>
            </w:pPr>
          </w:p>
        </w:tc>
        <w:tc>
          <w:tcPr>
            <w:tcW w:w="3702" w:type="dxa"/>
            <w:shd w:val="clear" w:color="auto" w:fill="auto"/>
          </w:tcPr>
          <w:p w:rsidR="0060461B" w:rsidRPr="0060145C" w:rsidRDefault="0060461B" w:rsidP="00BE5A5D">
            <w:pPr>
              <w:rPr>
                <w:rFonts w:ascii="Arial" w:hAnsi="Arial" w:cs="Arial"/>
              </w:rPr>
            </w:pPr>
            <w:r w:rsidRPr="0060145C">
              <w:rPr>
                <w:rFonts w:ascii="Arial" w:hAnsi="Arial" w:cs="Arial"/>
              </w:rPr>
              <w:t>TDF/FTC +ATV/r or LPV/r</w:t>
            </w:r>
          </w:p>
        </w:tc>
      </w:tr>
      <w:tr w:rsidR="0060461B" w:rsidRPr="0060145C" w:rsidTr="00BE5A5D">
        <w:tc>
          <w:tcPr>
            <w:tcW w:w="4068" w:type="dxa"/>
            <w:shd w:val="clear" w:color="auto" w:fill="auto"/>
          </w:tcPr>
          <w:p w:rsidR="0060461B" w:rsidRPr="0060145C" w:rsidRDefault="0060461B" w:rsidP="00BE5A5D">
            <w:pPr>
              <w:rPr>
                <w:rFonts w:ascii="Arial" w:hAnsi="Arial" w:cs="Arial"/>
              </w:rPr>
            </w:pPr>
            <w:r w:rsidRPr="0060145C">
              <w:rPr>
                <w:rFonts w:ascii="Arial" w:hAnsi="Arial" w:cs="Arial"/>
              </w:rPr>
              <w:t>TDF/3TC (or FTC)+EFV (or NVP)</w:t>
            </w:r>
          </w:p>
        </w:tc>
        <w:tc>
          <w:tcPr>
            <w:tcW w:w="1530" w:type="dxa"/>
            <w:shd w:val="clear" w:color="auto" w:fill="auto"/>
          </w:tcPr>
          <w:p w:rsidR="0060461B" w:rsidRPr="0060145C" w:rsidRDefault="00AA771C" w:rsidP="00BE5A5D">
            <w:pPr>
              <w:rPr>
                <w:rFonts w:ascii="Arial" w:hAnsi="Arial" w:cs="Arial"/>
              </w:rPr>
            </w:pPr>
            <w:r>
              <w:rPr>
                <w:rFonts w:ascii="Arial" w:hAnsi="Arial" w:cs="Arial"/>
                <w:noProof/>
              </w:rPr>
              <mc:AlternateContent>
                <mc:Choice Requires="wps">
                  <w:drawing>
                    <wp:anchor distT="0" distB="0" distL="114300" distR="114300" simplePos="0" relativeHeight="251816960" behindDoc="0" locked="0" layoutInCell="1" allowOverlap="1">
                      <wp:simplePos x="0" y="0"/>
                      <wp:positionH relativeFrom="column">
                        <wp:posOffset>95885</wp:posOffset>
                      </wp:positionH>
                      <wp:positionV relativeFrom="paragraph">
                        <wp:posOffset>15875</wp:posOffset>
                      </wp:positionV>
                      <wp:extent cx="612775" cy="129540"/>
                      <wp:effectExtent l="10160" t="15875" r="24765" b="6985"/>
                      <wp:wrapNone/>
                      <wp:docPr id="43" name="AutoShap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129540"/>
                              </a:xfrm>
                              <a:prstGeom prst="rightArrow">
                                <a:avLst>
                                  <a:gd name="adj1" fmla="val 50000"/>
                                  <a:gd name="adj2" fmla="val 11826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9" o:spid="_x0000_s1026" type="#_x0000_t13" style="position:absolute;margin-left:7.55pt;margin-top:1.25pt;width:48.25pt;height:10.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" fillcolor="#0070c0"/>
                  </w:pict>
                </mc:Fallback>
              </mc:AlternateContent>
            </w:r>
          </w:p>
        </w:tc>
        <w:tc>
          <w:tcPr>
            <w:tcW w:w="3702" w:type="dxa"/>
            <w:shd w:val="clear" w:color="auto" w:fill="auto"/>
          </w:tcPr>
          <w:p w:rsidR="0060461B" w:rsidRPr="0060145C" w:rsidRDefault="0060461B" w:rsidP="00BE5A5D">
            <w:pPr>
              <w:rPr>
                <w:rFonts w:ascii="Arial" w:hAnsi="Arial" w:cs="Arial"/>
              </w:rPr>
            </w:pPr>
            <w:r w:rsidRPr="0060145C">
              <w:rPr>
                <w:rFonts w:ascii="Arial" w:hAnsi="Arial" w:cs="Arial"/>
              </w:rPr>
              <w:t>AZT/3TC + ATV/r or LPV/r</w:t>
            </w:r>
          </w:p>
        </w:tc>
      </w:tr>
      <w:tr w:rsidR="0060461B" w:rsidRPr="0060145C" w:rsidTr="00BE5A5D">
        <w:tc>
          <w:tcPr>
            <w:tcW w:w="4068" w:type="dxa"/>
            <w:shd w:val="clear" w:color="auto" w:fill="auto"/>
          </w:tcPr>
          <w:p w:rsidR="0060461B" w:rsidRPr="0060145C" w:rsidRDefault="0060461B" w:rsidP="00BE5A5D">
            <w:pPr>
              <w:rPr>
                <w:rFonts w:ascii="Arial" w:hAnsi="Arial" w:cs="Arial"/>
              </w:rPr>
            </w:pPr>
            <w:r w:rsidRPr="0060145C">
              <w:rPr>
                <w:rFonts w:ascii="Arial" w:hAnsi="Arial" w:cs="Arial"/>
              </w:rPr>
              <w:t>Either of the above</w:t>
            </w:r>
          </w:p>
        </w:tc>
        <w:tc>
          <w:tcPr>
            <w:tcW w:w="1530" w:type="dxa"/>
            <w:shd w:val="clear" w:color="auto" w:fill="auto"/>
          </w:tcPr>
          <w:p w:rsidR="0060461B" w:rsidRPr="0060145C" w:rsidRDefault="00AA771C" w:rsidP="00BE5A5D">
            <w:pPr>
              <w:rPr>
                <w:rFonts w:ascii="Arial" w:hAnsi="Arial" w:cs="Arial"/>
                <w:noProof/>
              </w:rPr>
            </w:pPr>
            <w:r>
              <w:rPr>
                <w:rFonts w:ascii="Arial" w:hAnsi="Arial" w:cs="Arial"/>
                <w:noProof/>
              </w:rPr>
              <mc:AlternateContent>
                <mc:Choice Requires="wps">
                  <w:drawing>
                    <wp:anchor distT="0" distB="0" distL="114300" distR="114300" simplePos="0" relativeHeight="251817984" behindDoc="0" locked="0" layoutInCell="1" allowOverlap="1">
                      <wp:simplePos x="0" y="0"/>
                      <wp:positionH relativeFrom="column">
                        <wp:posOffset>95885</wp:posOffset>
                      </wp:positionH>
                      <wp:positionV relativeFrom="paragraph">
                        <wp:posOffset>-13335</wp:posOffset>
                      </wp:positionV>
                      <wp:extent cx="612775" cy="129540"/>
                      <wp:effectExtent l="10160" t="15240" r="24765" b="7620"/>
                      <wp:wrapNone/>
                      <wp:docPr id="42"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129540"/>
                              </a:xfrm>
                              <a:prstGeom prst="rightArrow">
                                <a:avLst>
                                  <a:gd name="adj1" fmla="val 50000"/>
                                  <a:gd name="adj2" fmla="val 118260"/>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0" o:spid="_x0000_s1026" type="#_x0000_t13" style="position:absolute;margin-left:7.55pt;margin-top:-1.05pt;width:48.25pt;height:10.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" fillcolor="#0070c0"/>
                  </w:pict>
                </mc:Fallback>
              </mc:AlternateContent>
            </w:r>
          </w:p>
        </w:tc>
        <w:tc>
          <w:tcPr>
            <w:tcW w:w="3702" w:type="dxa"/>
            <w:shd w:val="clear" w:color="auto" w:fill="auto"/>
          </w:tcPr>
          <w:p w:rsidR="0060461B" w:rsidRPr="0060145C" w:rsidRDefault="0060461B" w:rsidP="00BE5A5D">
            <w:pPr>
              <w:rPr>
                <w:rFonts w:ascii="Arial" w:hAnsi="Arial" w:cs="Arial"/>
              </w:rPr>
            </w:pPr>
            <w:r w:rsidRPr="0060145C">
              <w:rPr>
                <w:rFonts w:ascii="Arial" w:hAnsi="Arial" w:cs="Arial"/>
              </w:rPr>
              <w:t>ABC+3TC+ ATV/r or LPV/r</w:t>
            </w:r>
          </w:p>
        </w:tc>
      </w:tr>
    </w:tbl>
    <w:p w:rsidR="0060461B" w:rsidRPr="000B26AE" w:rsidRDefault="0060461B" w:rsidP="00BE5A5D">
      <w:pPr>
        <w:spacing w:before="120" w:after="120"/>
        <w:jc w:val="both"/>
        <w:rPr>
          <w:rFonts w:ascii="Arial Narrow" w:hAnsi="Arial Narrow"/>
          <w:sz w:val="24"/>
          <w:szCs w:val="24"/>
        </w:rPr>
      </w:pPr>
    </w:p>
    <w:p w:rsidR="0060461B" w:rsidRPr="00785003" w:rsidRDefault="0060461B" w:rsidP="00BE5A5D">
      <w:pPr>
        <w:pStyle w:val="Heading3"/>
      </w:pPr>
      <w:bookmarkStart w:id="703" w:name="_Toc374515311"/>
      <w:bookmarkStart w:id="704" w:name="_Toc378258242"/>
      <w:bookmarkStart w:id="705" w:name="_Toc381351644"/>
      <w:r w:rsidRPr="00785003">
        <w:t>9.</w:t>
      </w:r>
      <w:r>
        <w:t>8</w:t>
      </w:r>
      <w:r w:rsidRPr="00785003">
        <w:t>.2 Laboratory Monitoring of patients on second line drugs</w:t>
      </w:r>
      <w:bookmarkEnd w:id="703"/>
      <w:bookmarkEnd w:id="704"/>
      <w:bookmarkEnd w:id="705"/>
    </w:p>
    <w:p w:rsidR="0060461B" w:rsidRPr="0060145C" w:rsidRDefault="0060461B" w:rsidP="00BE5A5D">
      <w:pPr>
        <w:spacing w:before="120" w:after="120" w:line="240" w:lineRule="auto"/>
        <w:jc w:val="both"/>
        <w:rPr>
          <w:rFonts w:ascii="Arial" w:hAnsi="Arial" w:cs="Arial"/>
        </w:rPr>
      </w:pPr>
      <w:r w:rsidRPr="0060145C">
        <w:rPr>
          <w:rFonts w:ascii="Arial" w:hAnsi="Arial" w:cs="Arial"/>
        </w:rPr>
        <w:t>The following laboratory tests are recommended for Monitoring of patients on second line drugs:</w:t>
      </w:r>
    </w:p>
    <w:p w:rsidR="0060461B" w:rsidRPr="0060145C" w:rsidRDefault="0060461B" w:rsidP="00274941">
      <w:pPr>
        <w:widowControl/>
        <w:numPr>
          <w:ilvl w:val="0"/>
          <w:numId w:val="74"/>
        </w:numPr>
        <w:spacing w:after="0" w:line="240" w:lineRule="auto"/>
        <w:jc w:val="both"/>
        <w:rPr>
          <w:rFonts w:ascii="Arial" w:hAnsi="Arial" w:cs="Arial"/>
        </w:rPr>
      </w:pPr>
      <w:r w:rsidRPr="0060145C">
        <w:rPr>
          <w:rFonts w:ascii="Arial" w:hAnsi="Arial" w:cs="Arial"/>
        </w:rPr>
        <w:t>CD4, Baseline, 6-monthly</w:t>
      </w:r>
    </w:p>
    <w:p w:rsidR="0060461B" w:rsidRPr="0060145C" w:rsidRDefault="0060461B" w:rsidP="00274941">
      <w:pPr>
        <w:widowControl/>
        <w:numPr>
          <w:ilvl w:val="0"/>
          <w:numId w:val="74"/>
        </w:numPr>
        <w:spacing w:after="0" w:line="240" w:lineRule="auto"/>
        <w:jc w:val="both"/>
        <w:rPr>
          <w:rFonts w:ascii="Arial" w:hAnsi="Arial" w:cs="Arial"/>
        </w:rPr>
      </w:pPr>
      <w:r w:rsidRPr="0060145C">
        <w:rPr>
          <w:rFonts w:ascii="Arial" w:hAnsi="Arial" w:cs="Arial"/>
        </w:rPr>
        <w:t>FBC, Baseline, then monthly for 3 months, then 6 monthly (with CD4 and viral load)</w:t>
      </w:r>
    </w:p>
    <w:p w:rsidR="0060461B" w:rsidRPr="0060145C" w:rsidRDefault="0060461B" w:rsidP="00274941">
      <w:pPr>
        <w:widowControl/>
        <w:numPr>
          <w:ilvl w:val="0"/>
          <w:numId w:val="74"/>
        </w:numPr>
        <w:spacing w:after="0" w:line="240" w:lineRule="auto"/>
        <w:jc w:val="both"/>
        <w:rPr>
          <w:rFonts w:ascii="Arial" w:hAnsi="Arial" w:cs="Arial"/>
        </w:rPr>
      </w:pPr>
      <w:r w:rsidRPr="0060145C">
        <w:rPr>
          <w:rFonts w:ascii="Arial" w:hAnsi="Arial" w:cs="Arial"/>
        </w:rPr>
        <w:t>Fasting cholesterol and triglyceride, Baseline, 6 months and thereafter every 12 months</w:t>
      </w:r>
    </w:p>
    <w:p w:rsidR="0060461B" w:rsidRPr="0060145C" w:rsidRDefault="0060461B" w:rsidP="00274941">
      <w:pPr>
        <w:widowControl/>
        <w:numPr>
          <w:ilvl w:val="0"/>
          <w:numId w:val="74"/>
        </w:numPr>
        <w:spacing w:after="0" w:line="240" w:lineRule="auto"/>
        <w:jc w:val="both"/>
        <w:rPr>
          <w:rFonts w:ascii="Arial" w:hAnsi="Arial" w:cs="Arial"/>
        </w:rPr>
      </w:pPr>
      <w:r w:rsidRPr="0060145C">
        <w:rPr>
          <w:rFonts w:ascii="Arial" w:hAnsi="Arial" w:cs="Arial"/>
        </w:rPr>
        <w:t>Liver function tests, (ALT) 6 monthly</w:t>
      </w:r>
    </w:p>
    <w:p w:rsidR="0060461B" w:rsidRPr="0060145C" w:rsidRDefault="0060461B" w:rsidP="00274941">
      <w:pPr>
        <w:widowControl/>
        <w:numPr>
          <w:ilvl w:val="0"/>
          <w:numId w:val="74"/>
        </w:numPr>
        <w:spacing w:after="0" w:line="240" w:lineRule="auto"/>
        <w:jc w:val="both"/>
        <w:rPr>
          <w:rFonts w:ascii="Arial" w:hAnsi="Arial" w:cs="Arial"/>
        </w:rPr>
      </w:pPr>
      <w:r w:rsidRPr="0060145C">
        <w:rPr>
          <w:rFonts w:ascii="Arial" w:hAnsi="Arial" w:cs="Arial"/>
        </w:rPr>
        <w:t>Fasting glucose, Every 12 months</w:t>
      </w:r>
    </w:p>
    <w:p w:rsidR="0060461B" w:rsidRPr="0060145C" w:rsidRDefault="0060461B" w:rsidP="00274941">
      <w:pPr>
        <w:widowControl/>
        <w:numPr>
          <w:ilvl w:val="0"/>
          <w:numId w:val="74"/>
        </w:numPr>
        <w:spacing w:after="0" w:line="240" w:lineRule="auto"/>
        <w:jc w:val="both"/>
        <w:rPr>
          <w:rFonts w:ascii="Arial" w:hAnsi="Arial" w:cs="Arial"/>
        </w:rPr>
      </w:pPr>
      <w:r w:rsidRPr="0060145C">
        <w:rPr>
          <w:rFonts w:ascii="Arial" w:hAnsi="Arial" w:cs="Arial"/>
        </w:rPr>
        <w:t>Urinalysis at baseline and 3 monthly</w:t>
      </w:r>
    </w:p>
    <w:p w:rsidR="0060461B" w:rsidRPr="0060145C" w:rsidRDefault="0060461B" w:rsidP="00274941">
      <w:pPr>
        <w:widowControl/>
        <w:numPr>
          <w:ilvl w:val="0"/>
          <w:numId w:val="74"/>
        </w:numPr>
        <w:spacing w:after="0" w:line="240" w:lineRule="auto"/>
        <w:jc w:val="both"/>
        <w:rPr>
          <w:rFonts w:ascii="Arial" w:hAnsi="Arial" w:cs="Arial"/>
        </w:rPr>
      </w:pPr>
      <w:r w:rsidRPr="0060145C">
        <w:rPr>
          <w:rFonts w:ascii="Arial" w:hAnsi="Arial" w:cs="Arial"/>
        </w:rPr>
        <w:t>Serum creatinine at baseline and once yearly</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When changing treatment the following should be observed:</w:t>
      </w:r>
    </w:p>
    <w:p w:rsidR="0060461B" w:rsidRPr="0060145C" w:rsidRDefault="0060461B" w:rsidP="00274941">
      <w:pPr>
        <w:widowControl/>
        <w:numPr>
          <w:ilvl w:val="0"/>
          <w:numId w:val="74"/>
        </w:numPr>
        <w:spacing w:after="0" w:line="240" w:lineRule="auto"/>
        <w:jc w:val="both"/>
        <w:rPr>
          <w:rFonts w:ascii="Arial" w:hAnsi="Arial" w:cs="Arial"/>
        </w:rPr>
      </w:pPr>
      <w:r w:rsidRPr="0060145C">
        <w:rPr>
          <w:rFonts w:ascii="Arial" w:hAnsi="Arial" w:cs="Arial"/>
        </w:rPr>
        <w:t>Never change a single drug in the combination if the reason for changing is treatment failure. Change at least two drugs, preferably all three drugs.</w:t>
      </w:r>
    </w:p>
    <w:p w:rsidR="0060461B" w:rsidRPr="0060145C" w:rsidRDefault="0060461B" w:rsidP="00274941">
      <w:pPr>
        <w:widowControl/>
        <w:numPr>
          <w:ilvl w:val="0"/>
          <w:numId w:val="74"/>
        </w:numPr>
        <w:spacing w:after="0" w:line="240" w:lineRule="auto"/>
        <w:jc w:val="both"/>
        <w:rPr>
          <w:rFonts w:ascii="Arial" w:hAnsi="Arial" w:cs="Arial"/>
        </w:rPr>
      </w:pPr>
      <w:r w:rsidRPr="0060145C">
        <w:rPr>
          <w:rFonts w:ascii="Arial" w:hAnsi="Arial" w:cs="Arial"/>
        </w:rPr>
        <w:t>If changing due to toxicity, change only the drug suspected to be causing the problem.</w:t>
      </w:r>
    </w:p>
    <w:p w:rsidR="0060461B" w:rsidRPr="0060145C" w:rsidRDefault="0060461B" w:rsidP="00274941">
      <w:pPr>
        <w:widowControl/>
        <w:numPr>
          <w:ilvl w:val="0"/>
          <w:numId w:val="74"/>
        </w:numPr>
        <w:spacing w:after="0" w:line="240" w:lineRule="auto"/>
        <w:jc w:val="both"/>
        <w:rPr>
          <w:rFonts w:ascii="Arial" w:hAnsi="Arial" w:cs="Arial"/>
        </w:rPr>
      </w:pPr>
      <w:r w:rsidRPr="0060145C">
        <w:rPr>
          <w:rFonts w:ascii="Arial" w:hAnsi="Arial" w:cs="Arial"/>
        </w:rPr>
        <w:t xml:space="preserve">Never change to monotherapy (i.e. single drug) </w:t>
      </w:r>
    </w:p>
    <w:p w:rsidR="0060461B" w:rsidRPr="0060145C" w:rsidRDefault="0060461B" w:rsidP="00274941">
      <w:pPr>
        <w:widowControl/>
        <w:numPr>
          <w:ilvl w:val="0"/>
          <w:numId w:val="74"/>
        </w:numPr>
        <w:spacing w:after="0" w:line="240" w:lineRule="auto"/>
        <w:jc w:val="both"/>
        <w:rPr>
          <w:rFonts w:ascii="Arial" w:hAnsi="Arial" w:cs="Arial"/>
        </w:rPr>
      </w:pPr>
      <w:r w:rsidRPr="0060145C">
        <w:rPr>
          <w:rFonts w:ascii="Arial" w:hAnsi="Arial" w:cs="Arial"/>
        </w:rPr>
        <w:t>When selecting drugs, choose drugs that have not been used before, drugs that do not have cross-resistance that have no overlapping toxicities or drug-drug interactions.</w:t>
      </w:r>
    </w:p>
    <w:p w:rsidR="0060461B" w:rsidRPr="000B26AE" w:rsidRDefault="0060461B" w:rsidP="00BE5A5D">
      <w:pPr>
        <w:pStyle w:val="Heading4"/>
      </w:pPr>
      <w:r w:rsidRPr="000B26AE">
        <w:t>9.</w:t>
      </w:r>
      <w:r>
        <w:t>8</w:t>
      </w:r>
      <w:r w:rsidRPr="000B26AE">
        <w:t>.2.1 Scheduled visits</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Patients started on a second line regimens need to come to the clinic every month for the first 3 months to see the doctor and thereafter bi-monthly when stable. Drugs need to be collected every month.</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Staging = initial testing for all patients when being referred for antiretroviral therapy.</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Baseline = testing for ART eligible patients at initiation of new ART regimen.</w:t>
      </w:r>
    </w:p>
    <w:p w:rsidR="0060461B" w:rsidRPr="00785003" w:rsidRDefault="0060461B" w:rsidP="00BE5A5D">
      <w:pPr>
        <w:pStyle w:val="Heading4"/>
      </w:pPr>
      <w:r w:rsidRPr="00785003">
        <w:t>9.</w:t>
      </w:r>
      <w:r>
        <w:t>8</w:t>
      </w:r>
      <w:r w:rsidRPr="00785003">
        <w:t>.2.2 Unscheduled visits</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 xml:space="preserve">Clinical judgment will be used to assess whether additional clinical or laboratory interventions are required. </w:t>
      </w:r>
    </w:p>
    <w:p w:rsidR="0060461B" w:rsidRPr="00785003" w:rsidRDefault="0060461B" w:rsidP="00BE5A5D">
      <w:pPr>
        <w:pStyle w:val="Heading3"/>
      </w:pPr>
      <w:bookmarkStart w:id="706" w:name="_Toc374515312"/>
      <w:bookmarkStart w:id="707" w:name="_Toc378258243"/>
      <w:bookmarkStart w:id="708" w:name="_Toc381351645"/>
      <w:r w:rsidRPr="00785003">
        <w:t>9.</w:t>
      </w:r>
      <w:r>
        <w:t>8</w:t>
      </w:r>
      <w:r w:rsidRPr="00785003">
        <w:t>.3 Treatment failure with second line regimens</w:t>
      </w:r>
      <w:bookmarkEnd w:id="706"/>
      <w:bookmarkEnd w:id="707"/>
      <w:bookmarkEnd w:id="708"/>
    </w:p>
    <w:p w:rsidR="0060461B" w:rsidRPr="0060145C" w:rsidRDefault="0060461B" w:rsidP="00BE5A5D">
      <w:pPr>
        <w:spacing w:before="120" w:after="120" w:line="240" w:lineRule="auto"/>
        <w:jc w:val="both"/>
        <w:rPr>
          <w:rFonts w:ascii="Arial" w:hAnsi="Arial" w:cs="Arial"/>
        </w:rPr>
      </w:pPr>
      <w:r w:rsidRPr="0060145C">
        <w:rPr>
          <w:rFonts w:ascii="Arial" w:hAnsi="Arial" w:cs="Arial"/>
        </w:rPr>
        <w:t>Patients on second-line therapy who begin to fail on the basis of clinical, immunological, or virological parameters should receive increased adherence support (refer to chapter 11).</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Confirm virological failure by determining viral load/CD4 counts. Assess adherence and intensify adherence support. A multi- disciplinary switch team should decide when to switch.</w:t>
      </w:r>
    </w:p>
    <w:p w:rsidR="0060461B" w:rsidRPr="0060145C" w:rsidRDefault="0060461B" w:rsidP="00BE5A5D">
      <w:pPr>
        <w:spacing w:before="120" w:after="120" w:line="240" w:lineRule="auto"/>
        <w:jc w:val="both"/>
        <w:rPr>
          <w:rFonts w:ascii="Arial" w:hAnsi="Arial" w:cs="Arial"/>
        </w:rPr>
      </w:pPr>
      <w:r w:rsidRPr="0060145C">
        <w:rPr>
          <w:rFonts w:ascii="Arial" w:hAnsi="Arial" w:cs="Arial"/>
        </w:rPr>
        <w:t xml:space="preserve">If they continue to fail virologically, despite demonstrated increased adherence, their ART regimen should be continued until they cease to derive clinical benefit from the treatment.  Where adherence is consistently &lt;80%, ongoing education and counselling should be provided. </w:t>
      </w:r>
    </w:p>
    <w:p w:rsidR="0060461B" w:rsidRDefault="0060461B" w:rsidP="00BE5A5D">
      <w:pPr>
        <w:spacing w:before="120" w:after="120" w:line="240" w:lineRule="auto"/>
        <w:jc w:val="both"/>
        <w:rPr>
          <w:rFonts w:ascii="Arial" w:hAnsi="Arial" w:cs="Arial"/>
        </w:rPr>
      </w:pPr>
      <w:r w:rsidRPr="0060145C">
        <w:rPr>
          <w:rFonts w:ascii="Arial" w:hAnsi="Arial" w:cs="Arial"/>
        </w:rPr>
        <w:t>If the patient experiences an AIDS defining (WHO stage 4) illness while on second-line therapy, refer the patient to a tertiary care clinic (referral hospital).</w:t>
      </w:r>
    </w:p>
    <w:p w:rsidR="0060461B" w:rsidRDefault="0060461B" w:rsidP="00BE5A5D">
      <w:pPr>
        <w:spacing w:before="120" w:after="120" w:line="240" w:lineRule="auto"/>
        <w:jc w:val="both"/>
        <w:rPr>
          <w:rFonts w:ascii="Arial" w:hAnsi="Arial" w:cs="Arial"/>
        </w:rPr>
      </w:pPr>
    </w:p>
    <w:p w:rsidR="0060461B" w:rsidRPr="0063082B" w:rsidRDefault="0060461B" w:rsidP="00BE5A5D">
      <w:pPr>
        <w:pStyle w:val="Heading2"/>
      </w:pPr>
      <w:bookmarkStart w:id="709" w:name="_Toc381351646"/>
      <w:bookmarkStart w:id="710" w:name="_Toc185658472"/>
      <w:bookmarkStart w:id="711" w:name="_Toc185673308"/>
      <w:bookmarkStart w:id="712" w:name="_Toc185673486"/>
      <w:bookmarkStart w:id="713" w:name="_Toc185677825"/>
      <w:bookmarkStart w:id="714" w:name="_Toc185678209"/>
      <w:bookmarkStart w:id="715" w:name="_Toc185736181"/>
      <w:bookmarkStart w:id="716" w:name="_Toc374515284"/>
      <w:bookmarkStart w:id="717" w:name="_Toc378258215"/>
      <w:r w:rsidRPr="0063082B">
        <w:rPr>
          <w:szCs w:val="22"/>
        </w:rPr>
        <w:t xml:space="preserve">9.9 </w:t>
      </w:r>
      <w:r w:rsidRPr="0063082B">
        <w:t>Antiretroviral Therapy in Children</w:t>
      </w:r>
      <w:bookmarkEnd w:id="709"/>
    </w:p>
    <w:p w:rsidR="0060461B" w:rsidRPr="0063082B" w:rsidRDefault="0060461B" w:rsidP="00BE5A5D">
      <w:pPr>
        <w:pStyle w:val="Heading3"/>
      </w:pPr>
      <w:bookmarkStart w:id="718" w:name="_Toc381351647"/>
      <w:r w:rsidRPr="0063082B">
        <w:t>9.9.1 Goals of Antiretroviral Therapy in Children</w:t>
      </w:r>
      <w:bookmarkEnd w:id="710"/>
      <w:bookmarkEnd w:id="711"/>
      <w:bookmarkEnd w:id="712"/>
      <w:bookmarkEnd w:id="713"/>
      <w:bookmarkEnd w:id="714"/>
      <w:bookmarkEnd w:id="715"/>
      <w:bookmarkEnd w:id="716"/>
      <w:bookmarkEnd w:id="717"/>
      <w:bookmarkEnd w:id="718"/>
    </w:p>
    <w:p w:rsidR="0060461B" w:rsidRPr="0083740B" w:rsidRDefault="0060461B" w:rsidP="00B247C9">
      <w:pPr>
        <w:pStyle w:val="StyleJustifiedCharChar"/>
      </w:pPr>
      <w:r w:rsidRPr="0083740B">
        <w:t>The goals of antiretroviral therapy for children are to:</w:t>
      </w:r>
    </w:p>
    <w:p w:rsidR="0060461B" w:rsidRPr="0083740B" w:rsidRDefault="0060461B" w:rsidP="00B247C9">
      <w:pPr>
        <w:pStyle w:val="StyleJustifiedCharChar"/>
      </w:pPr>
      <w:r w:rsidRPr="0083740B">
        <w:t>Prolong the survival of HIV-infected children</w:t>
      </w:r>
    </w:p>
    <w:p w:rsidR="0060461B" w:rsidRPr="0083740B" w:rsidRDefault="0060461B" w:rsidP="00B247C9">
      <w:pPr>
        <w:pStyle w:val="StyleJustifiedCharChar"/>
      </w:pPr>
      <w:r w:rsidRPr="0083740B">
        <w:t>Promote optimal growth and development</w:t>
      </w:r>
    </w:p>
    <w:p w:rsidR="0060461B" w:rsidRPr="0083740B" w:rsidRDefault="0060461B" w:rsidP="00B247C9">
      <w:pPr>
        <w:pStyle w:val="StyleJustifiedCharChar"/>
      </w:pPr>
      <w:r w:rsidRPr="0083740B">
        <w:t>Preserve, enhance, or reconstitute the immune system and therefore reduce opportunistic infections</w:t>
      </w:r>
    </w:p>
    <w:p w:rsidR="0060461B" w:rsidRPr="0083740B" w:rsidRDefault="0060461B" w:rsidP="00B247C9">
      <w:pPr>
        <w:pStyle w:val="StyleJustifiedCharChar"/>
      </w:pPr>
      <w:r w:rsidRPr="0083740B">
        <w:t>Suppress HIV replication and therefore prevent disease progression</w:t>
      </w:r>
    </w:p>
    <w:p w:rsidR="0060461B" w:rsidRPr="0083740B" w:rsidRDefault="0060461B" w:rsidP="00B247C9">
      <w:pPr>
        <w:pStyle w:val="StyleJustifiedCharChar"/>
      </w:pPr>
      <w:r w:rsidRPr="0083740B">
        <w:t>Reduce the morbidity of children and improve their quality of life.</w:t>
      </w:r>
    </w:p>
    <w:p w:rsidR="0060461B" w:rsidRPr="0063082B" w:rsidRDefault="0060461B" w:rsidP="00BE5A5D">
      <w:pPr>
        <w:autoSpaceDE w:val="0"/>
        <w:autoSpaceDN w:val="0"/>
        <w:adjustRightInd w:val="0"/>
        <w:spacing w:before="120" w:after="120" w:line="240" w:lineRule="auto"/>
        <w:jc w:val="both"/>
        <w:rPr>
          <w:rFonts w:ascii="Arial" w:eastAsia="HelveticaNeueLTStd-Lt" w:hAnsi="Arial" w:cs="Arial"/>
          <w:b/>
        </w:rPr>
      </w:pPr>
      <w:r w:rsidRPr="0063082B">
        <w:rPr>
          <w:rFonts w:ascii="Arial" w:eastAsia="HelveticaNeueLTStd-Lt" w:hAnsi="Arial" w:cs="Arial"/>
          <w:b/>
        </w:rPr>
        <w:t xml:space="preserve">NOTE: </w:t>
      </w:r>
      <w:r w:rsidRPr="0063082B">
        <w:rPr>
          <w:rFonts w:ascii="Arial" w:eastAsia="HelveticaNeueLTStd-Lt" w:hAnsi="Arial" w:cs="Arial"/>
        </w:rPr>
        <w:t>In most children, CD4 cell counts rise with the initiation of therapy and immune recovery. Generally, CD4 levels increase over the course of the first year of treatment, reach a plateau and then continue to rise further over the second year. However, in some children, severe immunosuppression may persist. The lower the CD4 levels at the start of ART, the slower the recovery. Persistent failure of CD4 response should alert the clinician to potential adherence problems or non-response to ART. In this case, viral load determination can be useful.</w:t>
      </w:r>
      <w:r w:rsidRPr="0063082B">
        <w:rPr>
          <w:rFonts w:ascii="Arial" w:hAnsi="Arial" w:cs="Arial"/>
        </w:rPr>
        <w:t xml:space="preserve"> Undetectable viral loads of &lt;1000 copies/</w:t>
      </w:r>
      <w:r w:rsidRPr="0063082B">
        <w:rPr>
          <w:rFonts w:ascii="Arial" w:hAnsi="Arial" w:cs="Arial"/>
        </w:rPr>
        <w:sym w:font="Symbol" w:char="F06D"/>
      </w:r>
      <w:r w:rsidRPr="0063082B">
        <w:rPr>
          <w:rFonts w:ascii="Arial" w:hAnsi="Arial" w:cs="Arial"/>
        </w:rPr>
        <w:t xml:space="preserve">L should be achieved and sustained. </w:t>
      </w:r>
    </w:p>
    <w:p w:rsidR="0060461B" w:rsidRPr="0063082B" w:rsidRDefault="0060461B" w:rsidP="00BE5A5D">
      <w:pPr>
        <w:spacing w:before="120" w:after="120" w:line="240" w:lineRule="auto"/>
        <w:jc w:val="both"/>
        <w:rPr>
          <w:rFonts w:ascii="Arial" w:hAnsi="Arial" w:cs="Arial"/>
        </w:rPr>
      </w:pPr>
      <w:r w:rsidRPr="0063082B">
        <w:rPr>
          <w:rFonts w:ascii="Arial" w:hAnsi="Arial" w:cs="Arial"/>
        </w:rPr>
        <w:t>In order to achieve these goals the following strategies should be used:</w:t>
      </w:r>
    </w:p>
    <w:p w:rsidR="0060461B" w:rsidRPr="0083740B" w:rsidRDefault="0060461B" w:rsidP="00B247C9">
      <w:pPr>
        <w:pStyle w:val="StyleJustifiedCharChar"/>
      </w:pPr>
      <w:r w:rsidRPr="0083740B">
        <w:t xml:space="preserve">Adequate counselling </w:t>
      </w:r>
    </w:p>
    <w:p w:rsidR="0060461B" w:rsidRPr="0083740B" w:rsidRDefault="0060461B" w:rsidP="00B247C9">
      <w:pPr>
        <w:pStyle w:val="StyleJustifiedCharChar"/>
      </w:pPr>
      <w:r w:rsidRPr="0083740B">
        <w:t>Creation of a supportive environment for patients to maximize adherence to the antiretroviral regimens</w:t>
      </w:r>
    </w:p>
    <w:p w:rsidR="0060461B" w:rsidRPr="0083740B" w:rsidRDefault="0060461B" w:rsidP="00B247C9">
      <w:pPr>
        <w:pStyle w:val="StyleJustifiedCharChar"/>
      </w:pPr>
      <w:r w:rsidRPr="0083740B">
        <w:t>Rational sequencing of drugs for the preservation of future treatment options</w:t>
      </w:r>
    </w:p>
    <w:p w:rsidR="0060461B" w:rsidRPr="0083740B" w:rsidRDefault="0060461B" w:rsidP="00B247C9">
      <w:pPr>
        <w:pStyle w:val="StyleJustifiedCharChar"/>
      </w:pPr>
      <w:r w:rsidRPr="0083740B">
        <w:t xml:space="preserve">Monitoring of drug resistance in selected clinical settings   </w:t>
      </w:r>
    </w:p>
    <w:p w:rsidR="0060461B" w:rsidRPr="0083740B" w:rsidRDefault="0060461B" w:rsidP="00B247C9">
      <w:pPr>
        <w:pStyle w:val="StyleJustifiedCharChar"/>
      </w:pPr>
      <w:r w:rsidRPr="0083740B">
        <w:t>Monitoring of toxicities and adverse drug reactions.</w:t>
      </w:r>
    </w:p>
    <w:p w:rsidR="0060461B" w:rsidRPr="0063082B" w:rsidRDefault="0060461B" w:rsidP="00BE5A5D">
      <w:pPr>
        <w:spacing w:before="120" w:after="120" w:line="240" w:lineRule="auto"/>
        <w:jc w:val="both"/>
        <w:rPr>
          <w:rFonts w:ascii="Arial" w:hAnsi="Arial" w:cs="Arial"/>
        </w:rPr>
      </w:pPr>
      <w:r w:rsidRPr="0063082B">
        <w:rPr>
          <w:rFonts w:ascii="Arial" w:hAnsi="Arial" w:cs="Arial"/>
        </w:rPr>
        <w:t xml:space="preserve">It is important that prescribers are clear about when to start antiretroviral drugs as described above. They also need to know which drugs to use in which order, when to change therapy, and which alternative drugs to use when changing therapy. </w:t>
      </w:r>
    </w:p>
    <w:p w:rsidR="0060461B" w:rsidRPr="0063082B" w:rsidRDefault="0060461B" w:rsidP="00BE5A5D">
      <w:pPr>
        <w:pStyle w:val="Heading3"/>
      </w:pPr>
      <w:bookmarkStart w:id="719" w:name="_Toc374515289"/>
      <w:bookmarkStart w:id="720" w:name="_Toc378258220"/>
      <w:bookmarkStart w:id="721" w:name="_Toc381351648"/>
      <w:r w:rsidRPr="0063082B">
        <w:t>9.9.2 When to start ART in children</w:t>
      </w:r>
      <w:bookmarkEnd w:id="719"/>
      <w:bookmarkEnd w:id="720"/>
      <w:bookmarkEnd w:id="721"/>
    </w:p>
    <w:p w:rsidR="0060461B" w:rsidRPr="0063082B" w:rsidRDefault="0060461B" w:rsidP="00BE5A5D">
      <w:pPr>
        <w:pStyle w:val="Heading4"/>
      </w:pPr>
      <w:r w:rsidRPr="0063082B">
        <w:t>9.9.2.1 Initiation of ART for children under 15 years</w:t>
      </w:r>
    </w:p>
    <w:p w:rsidR="0060461B" w:rsidRPr="0063082B" w:rsidRDefault="0060461B" w:rsidP="00BE5A5D">
      <w:pPr>
        <w:spacing w:before="120" w:after="120" w:line="240" w:lineRule="auto"/>
        <w:rPr>
          <w:rFonts w:ascii="Arial" w:hAnsi="Arial" w:cs="Arial"/>
        </w:rPr>
      </w:pPr>
      <w:r w:rsidRPr="0063082B">
        <w:rPr>
          <w:rFonts w:ascii="Arial" w:hAnsi="Arial" w:cs="Arial"/>
        </w:rPr>
        <w:t>Among children under 15 years, there are 2 groups for eligibility to begin treatment:</w:t>
      </w:r>
    </w:p>
    <w:p w:rsidR="0060461B" w:rsidRPr="0063082B" w:rsidRDefault="0060461B" w:rsidP="00274941">
      <w:pPr>
        <w:numPr>
          <w:ilvl w:val="0"/>
          <w:numId w:val="78"/>
        </w:numPr>
        <w:spacing w:before="120" w:after="120" w:line="240" w:lineRule="auto"/>
        <w:rPr>
          <w:rFonts w:ascii="Arial" w:hAnsi="Arial" w:cs="Arial"/>
          <w:lang w:val="en-GB"/>
        </w:rPr>
      </w:pPr>
      <w:r w:rsidRPr="0063082B">
        <w:rPr>
          <w:rFonts w:ascii="Arial" w:hAnsi="Arial" w:cs="Arial"/>
          <w:lang w:val="en-GB"/>
        </w:rPr>
        <w:t xml:space="preserve">Confirmed diagnosis of HIV: </w:t>
      </w:r>
      <w:r w:rsidRPr="0063082B">
        <w:rPr>
          <w:rFonts w:ascii="Arial" w:hAnsi="Arial" w:cs="Arial"/>
          <w:u w:val="single"/>
          <w:lang w:val="en-GB"/>
        </w:rPr>
        <w:t>All</w:t>
      </w:r>
      <w:r w:rsidRPr="0063082B">
        <w:rPr>
          <w:rFonts w:ascii="Arial" w:hAnsi="Arial" w:cs="Arial"/>
          <w:lang w:val="en-GB"/>
        </w:rPr>
        <w:t xml:space="preserve"> children below fifteen years of age who have a confirmed diagnosis of HIV, regardless of WHO clinical stage or CD4 cell count.</w:t>
      </w:r>
    </w:p>
    <w:p w:rsidR="0060461B" w:rsidRPr="0063082B" w:rsidRDefault="0060461B" w:rsidP="00274941">
      <w:pPr>
        <w:numPr>
          <w:ilvl w:val="0"/>
          <w:numId w:val="78"/>
        </w:numPr>
        <w:spacing w:before="120" w:after="120" w:line="240" w:lineRule="auto"/>
        <w:rPr>
          <w:rFonts w:ascii="Arial" w:eastAsia="Times New Roman" w:hAnsi="Arial" w:cs="Arial"/>
          <w:bCs/>
          <w:lang w:val="en-GB" w:eastAsia="af-ZA"/>
        </w:rPr>
      </w:pPr>
      <w:r w:rsidRPr="0063082B">
        <w:rPr>
          <w:rFonts w:ascii="Arial" w:eastAsia="Times New Roman" w:hAnsi="Arial" w:cs="Arial"/>
          <w:bCs/>
          <w:lang w:val="en-GB" w:eastAsia="af-ZA"/>
        </w:rPr>
        <w:t xml:space="preserve">Presumptive HIV infection: All HIV exposed children aged less than 18 months with a presumptive HIV infection. ( have a positive rapid antibody test and meets WHO criteria for severe HIV </w:t>
      </w:r>
      <w:r w:rsidRPr="000815A7">
        <w:rPr>
          <w:rFonts w:ascii="Arial" w:eastAsia="Times New Roman" w:hAnsi="Arial" w:cs="Arial"/>
          <w:bCs/>
          <w:lang w:val="en-GB" w:eastAsia="af-ZA"/>
        </w:rPr>
        <w:t>disease</w:t>
      </w:r>
      <w:r w:rsidRPr="000815A7">
        <w:rPr>
          <w:rFonts w:ascii="Arial" w:hAnsi="Arial" w:cs="Arial"/>
        </w:rPr>
        <w:t xml:space="preserve"> </w:t>
      </w:r>
      <w:r w:rsidR="000815A7" w:rsidRPr="000815A7">
        <w:rPr>
          <w:rFonts w:ascii="Arial" w:eastAsia="Times New Roman" w:hAnsi="Arial" w:cs="Arial"/>
          <w:bCs/>
          <w:lang w:val="en-GB" w:eastAsia="af-ZA"/>
        </w:rPr>
        <w:t>(see Table 7.1</w:t>
      </w:r>
      <w:r w:rsidRPr="000815A7">
        <w:rPr>
          <w:rFonts w:ascii="Arial" w:eastAsia="Times New Roman" w:hAnsi="Arial" w:cs="Arial"/>
          <w:bCs/>
          <w:lang w:val="en-GB" w:eastAsia="af-ZA"/>
        </w:rPr>
        <w:t xml:space="preserve"> in Chapter 7)</w:t>
      </w:r>
      <w:r w:rsidRPr="0063082B">
        <w:rPr>
          <w:rFonts w:ascii="Arial" w:eastAsia="Times New Roman" w:hAnsi="Arial" w:cs="Arial"/>
          <w:bCs/>
          <w:lang w:val="en-GB" w:eastAsia="af-ZA"/>
        </w:rPr>
        <w:t xml:space="preserve">  </w:t>
      </w:r>
    </w:p>
    <w:p w:rsidR="0060461B" w:rsidRPr="0063082B" w:rsidRDefault="0060461B" w:rsidP="000815A7">
      <w:pPr>
        <w:pStyle w:val="StyleJustifiedCharChar"/>
        <w:numPr>
          <w:ilvl w:val="0"/>
          <w:numId w:val="0"/>
        </w:numPr>
        <w:ind w:left="72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23"/>
        <w:gridCol w:w="4453"/>
      </w:tblGrid>
      <w:tr w:rsidR="0060461B" w:rsidRPr="0063082B" w:rsidTr="00BE5A5D">
        <w:tc>
          <w:tcPr>
            <w:tcW w:w="9576" w:type="dxa"/>
            <w:gridSpan w:val="2"/>
            <w:tcBorders>
              <w:top w:val="nil"/>
              <w:left w:val="nil"/>
              <w:bottom w:val="nil"/>
              <w:right w:val="nil"/>
            </w:tcBorders>
            <w:shd w:val="clear" w:color="auto" w:fill="auto"/>
          </w:tcPr>
          <w:p w:rsidR="0060461B" w:rsidRPr="0083740B" w:rsidRDefault="0060461B" w:rsidP="00B247C9">
            <w:pPr>
              <w:pStyle w:val="StyleJustifiedCharChar"/>
            </w:pPr>
            <w:r w:rsidRPr="0083740B">
              <w:t xml:space="preserve">Table 9.7: When to start in children </w:t>
            </w:r>
          </w:p>
        </w:tc>
      </w:tr>
      <w:tr w:rsidR="0060461B" w:rsidRPr="0063082B" w:rsidTr="00BE5A5D">
        <w:tc>
          <w:tcPr>
            <w:tcW w:w="5123" w:type="dxa"/>
            <w:tcBorders>
              <w:top w:val="nil"/>
              <w:right w:val="single" w:sz="4" w:space="0" w:color="FFFFFF"/>
            </w:tcBorders>
            <w:shd w:val="clear" w:color="auto" w:fill="000000"/>
          </w:tcPr>
          <w:p w:rsidR="0060461B" w:rsidRPr="0063082B" w:rsidRDefault="0060461B" w:rsidP="00AA771C">
            <w:pPr>
              <w:spacing w:beforeLines="120" w:before="288" w:afterLines="120" w:after="288" w:line="240" w:lineRule="auto"/>
              <w:jc w:val="center"/>
              <w:rPr>
                <w:rFonts w:ascii="Arial" w:hAnsi="Arial" w:cs="Arial"/>
                <w:b/>
              </w:rPr>
            </w:pPr>
            <w:r w:rsidRPr="0063082B">
              <w:rPr>
                <w:rFonts w:ascii="Arial" w:hAnsi="Arial" w:cs="Arial"/>
                <w:b/>
              </w:rPr>
              <w:t>Age</w:t>
            </w:r>
          </w:p>
        </w:tc>
        <w:tc>
          <w:tcPr>
            <w:tcW w:w="4453" w:type="dxa"/>
            <w:tcBorders>
              <w:top w:val="nil"/>
              <w:left w:val="single" w:sz="4" w:space="0" w:color="FFFFFF"/>
            </w:tcBorders>
            <w:shd w:val="clear" w:color="auto" w:fill="000000"/>
          </w:tcPr>
          <w:p w:rsidR="0060461B" w:rsidRPr="0063082B" w:rsidRDefault="0060461B" w:rsidP="00AA771C">
            <w:pPr>
              <w:spacing w:beforeLines="120" w:before="288" w:afterLines="120" w:after="288" w:line="240" w:lineRule="auto"/>
              <w:jc w:val="center"/>
              <w:rPr>
                <w:rFonts w:ascii="Arial" w:hAnsi="Arial" w:cs="Arial"/>
                <w:b/>
              </w:rPr>
            </w:pPr>
            <w:r w:rsidRPr="0063082B">
              <w:rPr>
                <w:rFonts w:ascii="Arial" w:hAnsi="Arial" w:cs="Arial"/>
                <w:b/>
              </w:rPr>
              <w:t>When you start</w:t>
            </w:r>
          </w:p>
        </w:tc>
      </w:tr>
      <w:tr w:rsidR="0060461B" w:rsidRPr="0063082B" w:rsidTr="00BE5A5D">
        <w:trPr>
          <w:trHeight w:val="764"/>
        </w:trPr>
        <w:tc>
          <w:tcPr>
            <w:tcW w:w="5123" w:type="dxa"/>
            <w:shd w:val="clear" w:color="auto" w:fill="D9D9D9"/>
          </w:tcPr>
          <w:p w:rsidR="0060461B" w:rsidRPr="0063082B" w:rsidRDefault="0060461B" w:rsidP="00AA771C">
            <w:pPr>
              <w:spacing w:beforeLines="120" w:before="288" w:afterLines="120" w:after="288" w:line="240" w:lineRule="auto"/>
              <w:rPr>
                <w:rFonts w:ascii="Arial" w:hAnsi="Arial" w:cs="Arial"/>
              </w:rPr>
            </w:pPr>
            <w:r w:rsidRPr="0063082B">
              <w:rPr>
                <w:rFonts w:ascii="Arial" w:hAnsi="Arial" w:cs="Arial"/>
              </w:rPr>
              <w:t>Children 0-15</w:t>
            </w:r>
          </w:p>
        </w:tc>
        <w:tc>
          <w:tcPr>
            <w:tcW w:w="4453" w:type="dxa"/>
            <w:shd w:val="clear" w:color="auto" w:fill="D9D9D9"/>
          </w:tcPr>
          <w:p w:rsidR="0060461B" w:rsidRPr="0063082B" w:rsidRDefault="0060461B" w:rsidP="00AA771C">
            <w:pPr>
              <w:spacing w:beforeLines="120" w:before="288" w:afterLines="120" w:after="288" w:line="240" w:lineRule="auto"/>
              <w:rPr>
                <w:rFonts w:ascii="Arial" w:hAnsi="Arial" w:cs="Arial"/>
              </w:rPr>
            </w:pPr>
            <w:r w:rsidRPr="0063082B">
              <w:rPr>
                <w:rFonts w:ascii="Arial" w:hAnsi="Arial" w:cs="Arial"/>
              </w:rPr>
              <w:t xml:space="preserve">Treat all </w:t>
            </w:r>
            <w:r w:rsidRPr="0063082B">
              <w:rPr>
                <w:rFonts w:ascii="Arial" w:hAnsi="Arial" w:cs="Arial"/>
                <w:lang w:val="en-GB"/>
              </w:rPr>
              <w:t>regardless of WHO clinical stage or CD4 cell count</w:t>
            </w:r>
          </w:p>
        </w:tc>
      </w:tr>
      <w:tr w:rsidR="0060461B" w:rsidRPr="0063082B" w:rsidTr="00BE5A5D">
        <w:trPr>
          <w:trHeight w:val="719"/>
        </w:trPr>
        <w:tc>
          <w:tcPr>
            <w:tcW w:w="5123" w:type="dxa"/>
          </w:tcPr>
          <w:p w:rsidR="0060461B" w:rsidRPr="0063082B" w:rsidRDefault="0060461B" w:rsidP="00AA771C">
            <w:pPr>
              <w:spacing w:beforeLines="120" w:before="288" w:afterLines="120" w:after="288" w:line="240" w:lineRule="auto"/>
              <w:rPr>
                <w:rFonts w:ascii="Arial" w:hAnsi="Arial" w:cs="Arial"/>
              </w:rPr>
            </w:pPr>
            <w:r w:rsidRPr="0063082B">
              <w:rPr>
                <w:rFonts w:ascii="Arial" w:hAnsi="Arial" w:cs="Arial"/>
              </w:rPr>
              <w:t>Children below 18 months who qualify for presumptive diagnosis</w:t>
            </w:r>
          </w:p>
        </w:tc>
        <w:tc>
          <w:tcPr>
            <w:tcW w:w="4453" w:type="dxa"/>
          </w:tcPr>
          <w:p w:rsidR="0060461B" w:rsidRPr="0063082B" w:rsidRDefault="0060461B" w:rsidP="00AA771C">
            <w:pPr>
              <w:spacing w:beforeLines="120" w:before="288" w:afterLines="120" w:after="288" w:line="240" w:lineRule="auto"/>
              <w:rPr>
                <w:rFonts w:ascii="Arial" w:hAnsi="Arial" w:cs="Arial"/>
              </w:rPr>
            </w:pPr>
            <w:r w:rsidRPr="0063082B">
              <w:rPr>
                <w:rFonts w:ascii="Arial" w:hAnsi="Arial" w:cs="Arial"/>
              </w:rPr>
              <w:t>Start ART while awaiting virologic confirmation</w:t>
            </w:r>
          </w:p>
        </w:tc>
      </w:tr>
    </w:tbl>
    <w:p w:rsidR="0060461B" w:rsidRPr="0063082B" w:rsidRDefault="0060461B" w:rsidP="00BE5A5D">
      <w:pPr>
        <w:pStyle w:val="Heading4"/>
      </w:pPr>
      <w:r w:rsidRPr="0063082B">
        <w:t>9.9.2.2</w:t>
      </w:r>
      <w:r w:rsidRPr="0063082B">
        <w:tab/>
        <w:t>Initiation of ART for Children 15 years or older</w:t>
      </w:r>
    </w:p>
    <w:p w:rsidR="0060461B" w:rsidRPr="0083740B" w:rsidRDefault="0060461B" w:rsidP="00B247C9">
      <w:pPr>
        <w:pStyle w:val="StyleJustifiedCharChar"/>
        <w:rPr>
          <w:lang w:eastAsia="af-ZA"/>
        </w:rPr>
      </w:pPr>
      <w:r w:rsidRPr="0083740B">
        <w:rPr>
          <w:lang w:eastAsia="af-ZA"/>
        </w:rPr>
        <w:t>Among children 15 years and older, there are 2 categories of patients that are eligible to begin treatment:</w:t>
      </w:r>
    </w:p>
    <w:p w:rsidR="0060461B" w:rsidRPr="0083740B" w:rsidRDefault="0060461B" w:rsidP="00B247C9">
      <w:pPr>
        <w:pStyle w:val="StyleJustifiedCharChar"/>
        <w:rPr>
          <w:lang w:eastAsia="af-ZA"/>
        </w:rPr>
      </w:pPr>
      <w:r w:rsidRPr="0083740B">
        <w:rPr>
          <w:lang w:eastAsia="af-ZA"/>
        </w:rPr>
        <w:t>All children 15 years and older infected with HIV with severe or advanced symptomatic disease (WHO clinical stage 3 or 4) regardless of age and CD4 cell count.</w:t>
      </w:r>
    </w:p>
    <w:p w:rsidR="0060461B" w:rsidRPr="0083740B" w:rsidRDefault="0060461B" w:rsidP="00B247C9">
      <w:pPr>
        <w:pStyle w:val="StyleJustifiedCharChar"/>
        <w:rPr>
          <w:lang w:eastAsia="af-ZA"/>
        </w:rPr>
      </w:pPr>
      <w:r w:rsidRPr="0083740B">
        <w:rPr>
          <w:lang w:eastAsia="af-ZA"/>
        </w:rPr>
        <w:t>All children older than 15 years in Stage 1 or 2 with CD4 &lt;500 cell/mm3</w:t>
      </w:r>
    </w:p>
    <w:p w:rsidR="0060461B" w:rsidRDefault="0060461B" w:rsidP="00BE5A5D">
      <w:pPr>
        <w:pStyle w:val="Heading3"/>
      </w:pPr>
      <w:bookmarkStart w:id="722" w:name="_Toc185658476"/>
      <w:bookmarkStart w:id="723" w:name="_Toc185673312"/>
      <w:bookmarkStart w:id="724" w:name="_Toc185673490"/>
      <w:bookmarkStart w:id="725" w:name="_Toc185677829"/>
      <w:bookmarkStart w:id="726" w:name="_Toc185678213"/>
      <w:bookmarkStart w:id="727" w:name="_Toc185736185"/>
      <w:bookmarkStart w:id="728" w:name="_Toc374515296"/>
      <w:bookmarkStart w:id="729" w:name="_Toc378258227"/>
    </w:p>
    <w:p w:rsidR="0060461B" w:rsidRPr="0063082B" w:rsidRDefault="0060461B" w:rsidP="00BE5A5D">
      <w:pPr>
        <w:pStyle w:val="Heading3"/>
      </w:pPr>
      <w:bookmarkStart w:id="730" w:name="_Toc381351649"/>
      <w:r w:rsidRPr="0063082B">
        <w:t>9.9.3 First-Line ARV Regimens in Infants and Children</w:t>
      </w:r>
      <w:bookmarkEnd w:id="722"/>
      <w:bookmarkEnd w:id="723"/>
      <w:bookmarkEnd w:id="724"/>
      <w:bookmarkEnd w:id="725"/>
      <w:bookmarkEnd w:id="726"/>
      <w:bookmarkEnd w:id="727"/>
      <w:bookmarkEnd w:id="728"/>
      <w:bookmarkEnd w:id="729"/>
      <w:bookmarkEnd w:id="730"/>
    </w:p>
    <w:p w:rsidR="0060461B" w:rsidRPr="00B97180" w:rsidRDefault="0060461B" w:rsidP="00BE5A5D">
      <w:pPr>
        <w:pStyle w:val="Heading4"/>
      </w:pPr>
      <w:r w:rsidRPr="00B97180">
        <w:t xml:space="preserve">9.9.3.1 ART Treatment for Children less than 3 years </w:t>
      </w:r>
    </w:p>
    <w:p w:rsidR="0060461B" w:rsidRPr="0063082B" w:rsidRDefault="0060461B" w:rsidP="00BE5A5D">
      <w:pPr>
        <w:spacing w:before="120" w:after="120" w:line="240" w:lineRule="auto"/>
        <w:jc w:val="both"/>
        <w:rPr>
          <w:rFonts w:ascii="Arial" w:hAnsi="Arial" w:cs="Arial"/>
        </w:rPr>
      </w:pPr>
      <w:r w:rsidRPr="0063082B">
        <w:rPr>
          <w:rFonts w:ascii="Arial" w:hAnsi="Arial" w:cs="Arial"/>
        </w:rPr>
        <w:t>The first line regimen for children less than 3 years is ABC + 3TC + LPV/r. This is best prescribed using FDC pediatric ABC + 3TC tablets and pediatric LPV/r tablets. Alternative regimen is AZT + 3TC + LPV/r.  If LPV/r is not available, NVP may be substituted in pediatric FDC AZT +3TC + NVP.</w:t>
      </w:r>
    </w:p>
    <w:p w:rsidR="0060461B" w:rsidRDefault="0060461B" w:rsidP="00BE5A5D">
      <w:pPr>
        <w:spacing w:before="120" w:after="120" w:line="240" w:lineRule="auto"/>
        <w:jc w:val="both"/>
        <w:rPr>
          <w:rFonts w:ascii="Arial" w:hAnsi="Arial" w:cs="Arial"/>
          <w:b/>
        </w:rPr>
      </w:pPr>
    </w:p>
    <w:p w:rsidR="0060461B" w:rsidRDefault="0060461B" w:rsidP="00BE5A5D">
      <w:pPr>
        <w:spacing w:before="120" w:after="120" w:line="240" w:lineRule="auto"/>
        <w:jc w:val="both"/>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60461B" w:rsidRPr="0063082B" w:rsidTr="00BE5A5D">
        <w:tc>
          <w:tcPr>
            <w:tcW w:w="9576" w:type="dxa"/>
            <w:gridSpan w:val="2"/>
            <w:tcBorders>
              <w:top w:val="nil"/>
              <w:left w:val="nil"/>
              <w:bottom w:val="nil"/>
              <w:right w:val="nil"/>
            </w:tcBorders>
          </w:tcPr>
          <w:p w:rsidR="0060461B" w:rsidRPr="0063082B" w:rsidRDefault="0060461B" w:rsidP="00BE5A5D">
            <w:pPr>
              <w:tabs>
                <w:tab w:val="left" w:pos="2984"/>
              </w:tabs>
              <w:spacing w:before="120" w:after="120" w:line="240" w:lineRule="auto"/>
              <w:jc w:val="both"/>
              <w:rPr>
                <w:rFonts w:ascii="Arial" w:hAnsi="Arial" w:cs="Arial"/>
              </w:rPr>
            </w:pPr>
            <w:r w:rsidRPr="0063082B">
              <w:rPr>
                <w:rFonts w:ascii="Arial" w:hAnsi="Arial" w:cs="Arial"/>
                <w:b/>
              </w:rPr>
              <w:t>Table 9.</w:t>
            </w:r>
            <w:r>
              <w:rPr>
                <w:rFonts w:ascii="Arial" w:hAnsi="Arial" w:cs="Arial"/>
                <w:b/>
              </w:rPr>
              <w:t>8</w:t>
            </w:r>
            <w:r w:rsidRPr="0063082B">
              <w:rPr>
                <w:rFonts w:ascii="Arial" w:hAnsi="Arial" w:cs="Arial"/>
                <w:b/>
              </w:rPr>
              <w:t xml:space="preserve"> Summary of first line ART Regimen for children younger than 3 years</w:t>
            </w:r>
          </w:p>
        </w:tc>
      </w:tr>
      <w:tr w:rsidR="0060461B" w:rsidRPr="0063082B" w:rsidTr="00BE5A5D">
        <w:tc>
          <w:tcPr>
            <w:tcW w:w="4788" w:type="dxa"/>
            <w:tcBorders>
              <w:top w:val="single" w:sz="4" w:space="0" w:color="auto"/>
            </w:tcBorders>
            <w:shd w:val="clear" w:color="auto" w:fill="D9D9D9"/>
          </w:tcPr>
          <w:p w:rsidR="0060461B" w:rsidRPr="0063082B" w:rsidRDefault="0060461B" w:rsidP="00BE5A5D">
            <w:pPr>
              <w:spacing w:before="120" w:after="120" w:line="240" w:lineRule="auto"/>
              <w:jc w:val="both"/>
              <w:rPr>
                <w:rFonts w:ascii="Arial" w:hAnsi="Arial" w:cs="Arial"/>
              </w:rPr>
            </w:pPr>
            <w:r w:rsidRPr="0063082B">
              <w:rPr>
                <w:rFonts w:ascii="Arial" w:hAnsi="Arial" w:cs="Arial"/>
              </w:rPr>
              <w:t>First line Regimen</w:t>
            </w:r>
          </w:p>
        </w:tc>
        <w:tc>
          <w:tcPr>
            <w:tcW w:w="4788" w:type="dxa"/>
            <w:tcBorders>
              <w:top w:val="single" w:sz="4" w:space="0" w:color="auto"/>
            </w:tcBorders>
            <w:shd w:val="clear" w:color="auto" w:fill="D9D9D9"/>
          </w:tcPr>
          <w:p w:rsidR="0060461B" w:rsidRPr="0063082B" w:rsidRDefault="0060461B" w:rsidP="00BE5A5D">
            <w:pPr>
              <w:tabs>
                <w:tab w:val="left" w:pos="2984"/>
              </w:tabs>
              <w:spacing w:before="120" w:after="120" w:line="240" w:lineRule="auto"/>
              <w:jc w:val="both"/>
              <w:rPr>
                <w:rFonts w:ascii="Arial" w:hAnsi="Arial" w:cs="Arial"/>
              </w:rPr>
            </w:pPr>
            <w:r w:rsidRPr="0063082B">
              <w:rPr>
                <w:rFonts w:ascii="Arial" w:hAnsi="Arial" w:cs="Arial"/>
              </w:rPr>
              <w:t>ABC + 3TC + LPV/r</w:t>
            </w:r>
          </w:p>
        </w:tc>
      </w:tr>
      <w:tr w:rsidR="0060461B" w:rsidRPr="0063082B" w:rsidTr="00BE5A5D">
        <w:tc>
          <w:tcPr>
            <w:tcW w:w="4788" w:type="dxa"/>
          </w:tcPr>
          <w:p w:rsidR="0060461B" w:rsidRPr="0063082B" w:rsidRDefault="0060461B" w:rsidP="00BE5A5D">
            <w:pPr>
              <w:spacing w:before="120" w:after="120" w:line="240" w:lineRule="auto"/>
              <w:jc w:val="both"/>
              <w:rPr>
                <w:rFonts w:ascii="Arial" w:hAnsi="Arial" w:cs="Arial"/>
              </w:rPr>
            </w:pPr>
            <w:r w:rsidRPr="0063082B">
              <w:rPr>
                <w:rFonts w:ascii="Arial" w:hAnsi="Arial" w:cs="Arial"/>
              </w:rPr>
              <w:t>Alternative Regimen</w:t>
            </w:r>
          </w:p>
        </w:tc>
        <w:tc>
          <w:tcPr>
            <w:tcW w:w="4788" w:type="dxa"/>
          </w:tcPr>
          <w:p w:rsidR="0060461B" w:rsidRPr="0063082B" w:rsidRDefault="0060461B" w:rsidP="00BE5A5D">
            <w:pPr>
              <w:spacing w:before="120" w:after="120" w:line="240" w:lineRule="auto"/>
              <w:jc w:val="both"/>
              <w:rPr>
                <w:rFonts w:ascii="Arial" w:hAnsi="Arial" w:cs="Arial"/>
              </w:rPr>
            </w:pPr>
            <w:r w:rsidRPr="0063082B">
              <w:rPr>
                <w:rFonts w:ascii="Arial" w:hAnsi="Arial" w:cs="Arial"/>
              </w:rPr>
              <w:t>AZT + 3TC + LPV/r</w:t>
            </w:r>
          </w:p>
        </w:tc>
      </w:tr>
      <w:tr w:rsidR="0060461B" w:rsidRPr="0063082B" w:rsidTr="00BE5A5D">
        <w:tc>
          <w:tcPr>
            <w:tcW w:w="4788" w:type="dxa"/>
            <w:shd w:val="clear" w:color="auto" w:fill="D9D9D9"/>
          </w:tcPr>
          <w:p w:rsidR="0060461B" w:rsidRPr="0063082B" w:rsidRDefault="0060461B" w:rsidP="00BE5A5D">
            <w:pPr>
              <w:spacing w:before="120" w:after="120" w:line="240" w:lineRule="auto"/>
              <w:jc w:val="both"/>
              <w:rPr>
                <w:rFonts w:ascii="Arial" w:hAnsi="Arial" w:cs="Arial"/>
              </w:rPr>
            </w:pPr>
            <w:r w:rsidRPr="0063082B">
              <w:rPr>
                <w:rFonts w:ascii="Arial" w:hAnsi="Arial" w:cs="Arial"/>
              </w:rPr>
              <w:t>Alternative Regimen</w:t>
            </w:r>
          </w:p>
        </w:tc>
        <w:tc>
          <w:tcPr>
            <w:tcW w:w="4788" w:type="dxa"/>
            <w:shd w:val="clear" w:color="auto" w:fill="D9D9D9"/>
          </w:tcPr>
          <w:p w:rsidR="0060461B" w:rsidRPr="0063082B" w:rsidRDefault="0060461B" w:rsidP="00BE5A5D">
            <w:pPr>
              <w:spacing w:before="120" w:after="120" w:line="240" w:lineRule="auto"/>
              <w:jc w:val="both"/>
              <w:rPr>
                <w:rFonts w:ascii="Arial" w:hAnsi="Arial" w:cs="Arial"/>
              </w:rPr>
            </w:pPr>
            <w:r w:rsidRPr="0063082B">
              <w:rPr>
                <w:rFonts w:ascii="Arial" w:hAnsi="Arial" w:cs="Arial"/>
              </w:rPr>
              <w:t>AZT + 3TC + NVP</w:t>
            </w:r>
          </w:p>
        </w:tc>
      </w:tr>
    </w:tbl>
    <w:p w:rsidR="0060461B" w:rsidRPr="0063082B" w:rsidRDefault="0060461B" w:rsidP="00BE5A5D">
      <w:pPr>
        <w:spacing w:before="120" w:after="120" w:line="240" w:lineRule="auto"/>
        <w:jc w:val="both"/>
        <w:rPr>
          <w:rFonts w:ascii="Arial" w:hAnsi="Arial" w:cs="Arial"/>
        </w:rPr>
      </w:pPr>
    </w:p>
    <w:p w:rsidR="0060461B" w:rsidRDefault="0060461B" w:rsidP="00BE5A5D">
      <w:pPr>
        <w:pStyle w:val="Heading4"/>
        <w:spacing w:before="120" w:after="120" w:line="240" w:lineRule="auto"/>
        <w:rPr>
          <w:rFonts w:ascii="Arial" w:hAnsi="Arial" w:cs="Arial"/>
          <w:color w:val="auto"/>
        </w:rPr>
      </w:pPr>
    </w:p>
    <w:p w:rsidR="0060461B" w:rsidRDefault="0060461B" w:rsidP="00BE5A5D">
      <w:pPr>
        <w:pStyle w:val="Heading4"/>
        <w:spacing w:before="120" w:after="120" w:line="240" w:lineRule="auto"/>
        <w:rPr>
          <w:rFonts w:ascii="Arial" w:hAnsi="Arial" w:cs="Arial"/>
          <w:color w:val="auto"/>
        </w:rPr>
      </w:pPr>
      <w:r w:rsidRPr="0063082B">
        <w:rPr>
          <w:rFonts w:ascii="Arial" w:hAnsi="Arial" w:cs="Arial"/>
          <w:color w:val="auto"/>
        </w:rPr>
        <w:t xml:space="preserve">9.9.3 .2. ART Treatment for Children over 3 year </w:t>
      </w:r>
    </w:p>
    <w:p w:rsidR="0060461B" w:rsidRPr="0083740B" w:rsidRDefault="0060461B" w:rsidP="00BE5A5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60461B" w:rsidRPr="0063082B" w:rsidTr="00BE5A5D">
        <w:tc>
          <w:tcPr>
            <w:tcW w:w="9576" w:type="dxa"/>
            <w:gridSpan w:val="3"/>
            <w:tcBorders>
              <w:top w:val="nil"/>
              <w:left w:val="nil"/>
              <w:bottom w:val="nil"/>
              <w:right w:val="nil"/>
            </w:tcBorders>
          </w:tcPr>
          <w:p w:rsidR="0060461B" w:rsidRPr="0063082B" w:rsidRDefault="0060461B" w:rsidP="00BE5A5D">
            <w:pPr>
              <w:spacing w:before="120" w:after="120" w:line="240" w:lineRule="auto"/>
              <w:jc w:val="both"/>
              <w:rPr>
                <w:rFonts w:ascii="Arial" w:hAnsi="Arial" w:cs="Arial"/>
                <w:b/>
              </w:rPr>
            </w:pPr>
            <w:r w:rsidRPr="0063082B">
              <w:rPr>
                <w:rFonts w:ascii="Arial" w:hAnsi="Arial" w:cs="Arial"/>
                <w:b/>
              </w:rPr>
              <w:t>Table 9.</w:t>
            </w:r>
            <w:r>
              <w:rPr>
                <w:rFonts w:ascii="Arial" w:hAnsi="Arial" w:cs="Arial"/>
                <w:b/>
              </w:rPr>
              <w:t>9</w:t>
            </w:r>
            <w:r w:rsidRPr="0063082B">
              <w:rPr>
                <w:rFonts w:ascii="Arial" w:hAnsi="Arial" w:cs="Arial"/>
                <w:b/>
              </w:rPr>
              <w:t xml:space="preserve">: The first line regimen for children over 3 years to those less than 35 kg </w:t>
            </w:r>
          </w:p>
        </w:tc>
      </w:tr>
      <w:tr w:rsidR="0060461B" w:rsidRPr="0063082B" w:rsidTr="00BE5A5D">
        <w:tc>
          <w:tcPr>
            <w:tcW w:w="3192" w:type="dxa"/>
            <w:tcBorders>
              <w:top w:val="single" w:sz="4" w:space="0" w:color="auto"/>
              <w:right w:val="single" w:sz="4" w:space="0" w:color="FFFFFF"/>
            </w:tcBorders>
            <w:shd w:val="clear" w:color="auto" w:fill="000000"/>
          </w:tcPr>
          <w:p w:rsidR="0060461B" w:rsidRPr="0063082B" w:rsidRDefault="0060461B" w:rsidP="00BE5A5D">
            <w:pPr>
              <w:spacing w:before="120" w:after="120" w:line="240" w:lineRule="auto"/>
              <w:jc w:val="both"/>
              <w:rPr>
                <w:rFonts w:ascii="Arial" w:hAnsi="Arial" w:cs="Arial"/>
                <w:b/>
              </w:rPr>
            </w:pPr>
          </w:p>
        </w:tc>
        <w:tc>
          <w:tcPr>
            <w:tcW w:w="3192" w:type="dxa"/>
            <w:tcBorders>
              <w:top w:val="single" w:sz="4" w:space="0" w:color="auto"/>
              <w:left w:val="single" w:sz="4" w:space="0" w:color="FFFFFF"/>
              <w:right w:val="single" w:sz="4" w:space="0" w:color="FFFFFF"/>
            </w:tcBorders>
            <w:shd w:val="clear" w:color="auto" w:fill="000000"/>
          </w:tcPr>
          <w:p w:rsidR="0060461B" w:rsidRPr="0063082B" w:rsidRDefault="0060461B" w:rsidP="00BE5A5D">
            <w:pPr>
              <w:spacing w:before="120" w:after="120" w:line="240" w:lineRule="auto"/>
              <w:jc w:val="both"/>
              <w:rPr>
                <w:rFonts w:ascii="Arial" w:hAnsi="Arial" w:cs="Arial"/>
                <w:b/>
              </w:rPr>
            </w:pPr>
            <w:r w:rsidRPr="0063082B">
              <w:rPr>
                <w:rFonts w:ascii="Arial" w:hAnsi="Arial" w:cs="Arial"/>
                <w:b/>
              </w:rPr>
              <w:t>Children 3 years to adolescents &lt; 35 kg</w:t>
            </w:r>
          </w:p>
        </w:tc>
        <w:tc>
          <w:tcPr>
            <w:tcW w:w="3192" w:type="dxa"/>
            <w:tcBorders>
              <w:top w:val="single" w:sz="4" w:space="0" w:color="auto"/>
              <w:left w:val="single" w:sz="4" w:space="0" w:color="FFFFFF"/>
            </w:tcBorders>
            <w:shd w:val="clear" w:color="auto" w:fill="000000"/>
          </w:tcPr>
          <w:p w:rsidR="0060461B" w:rsidRPr="0063082B" w:rsidRDefault="0060461B" w:rsidP="00BE5A5D">
            <w:pPr>
              <w:spacing w:before="120" w:after="120" w:line="240" w:lineRule="auto"/>
              <w:jc w:val="both"/>
              <w:rPr>
                <w:rFonts w:ascii="Arial" w:hAnsi="Arial" w:cs="Arial"/>
                <w:b/>
              </w:rPr>
            </w:pPr>
            <w:r w:rsidRPr="0063082B">
              <w:rPr>
                <w:rFonts w:ascii="Arial" w:hAnsi="Arial" w:cs="Arial"/>
                <w:b/>
              </w:rPr>
              <w:t xml:space="preserve">Adolescents </w:t>
            </w:r>
            <w:r w:rsidRPr="0063082B">
              <w:rPr>
                <w:rFonts w:ascii="Arial" w:hAnsi="Arial" w:cs="Arial"/>
                <w:b/>
                <w:u w:val="single"/>
              </w:rPr>
              <w:t>&gt;</w:t>
            </w:r>
            <w:r w:rsidRPr="0063082B">
              <w:rPr>
                <w:rFonts w:ascii="Arial" w:hAnsi="Arial" w:cs="Arial"/>
                <w:b/>
              </w:rPr>
              <w:t xml:space="preserve"> 35 kg</w:t>
            </w:r>
          </w:p>
        </w:tc>
      </w:tr>
      <w:tr w:rsidR="0060461B" w:rsidRPr="0063082B" w:rsidTr="00BE5A5D">
        <w:tc>
          <w:tcPr>
            <w:tcW w:w="3192" w:type="dxa"/>
            <w:shd w:val="clear" w:color="auto" w:fill="D9D9D9"/>
          </w:tcPr>
          <w:p w:rsidR="0060461B" w:rsidRPr="00B97180" w:rsidRDefault="0060461B" w:rsidP="00BE5A5D">
            <w:pPr>
              <w:spacing w:before="120" w:after="120" w:line="240" w:lineRule="auto"/>
              <w:jc w:val="both"/>
              <w:rPr>
                <w:rFonts w:ascii="Arial" w:hAnsi="Arial" w:cs="Arial"/>
              </w:rPr>
            </w:pPr>
            <w:r w:rsidRPr="00B97180">
              <w:rPr>
                <w:rFonts w:ascii="Arial" w:hAnsi="Arial" w:cs="Arial"/>
              </w:rPr>
              <w:t>First Line</w:t>
            </w:r>
          </w:p>
        </w:tc>
        <w:tc>
          <w:tcPr>
            <w:tcW w:w="3192" w:type="dxa"/>
            <w:shd w:val="clear" w:color="auto" w:fill="D9D9D9"/>
          </w:tcPr>
          <w:p w:rsidR="0060461B" w:rsidRPr="00B97180" w:rsidRDefault="0060461B" w:rsidP="00BE5A5D">
            <w:pPr>
              <w:spacing w:before="120" w:after="120" w:line="240" w:lineRule="auto"/>
              <w:jc w:val="both"/>
              <w:rPr>
                <w:rFonts w:ascii="Arial" w:hAnsi="Arial" w:cs="Arial"/>
              </w:rPr>
            </w:pPr>
            <w:r w:rsidRPr="00B97180">
              <w:rPr>
                <w:rFonts w:ascii="Arial" w:hAnsi="Arial" w:cs="Arial"/>
              </w:rPr>
              <w:t>ABC + 3TC + EFV</w:t>
            </w:r>
          </w:p>
        </w:tc>
        <w:tc>
          <w:tcPr>
            <w:tcW w:w="3192" w:type="dxa"/>
            <w:shd w:val="clear" w:color="auto" w:fill="D9D9D9"/>
          </w:tcPr>
          <w:p w:rsidR="0060461B" w:rsidRPr="00B97180" w:rsidRDefault="0060461B" w:rsidP="00BE5A5D">
            <w:pPr>
              <w:spacing w:before="120" w:after="120" w:line="240" w:lineRule="auto"/>
              <w:jc w:val="both"/>
              <w:rPr>
                <w:rFonts w:ascii="Arial" w:hAnsi="Arial" w:cs="Arial"/>
              </w:rPr>
            </w:pPr>
            <w:r w:rsidRPr="00B97180">
              <w:rPr>
                <w:rFonts w:ascii="Arial" w:hAnsi="Arial" w:cs="Arial"/>
              </w:rPr>
              <w:t>TDF + 3TC + EFV</w:t>
            </w:r>
          </w:p>
        </w:tc>
      </w:tr>
      <w:tr w:rsidR="0060461B" w:rsidRPr="0063082B" w:rsidTr="00BE5A5D">
        <w:tc>
          <w:tcPr>
            <w:tcW w:w="3192" w:type="dxa"/>
          </w:tcPr>
          <w:p w:rsidR="0060461B" w:rsidRPr="00B97180" w:rsidRDefault="0060461B" w:rsidP="00BE5A5D">
            <w:pPr>
              <w:spacing w:before="120" w:after="120" w:line="240" w:lineRule="auto"/>
              <w:jc w:val="both"/>
              <w:rPr>
                <w:rFonts w:ascii="Arial" w:hAnsi="Arial" w:cs="Arial"/>
              </w:rPr>
            </w:pPr>
            <w:r w:rsidRPr="00B97180">
              <w:rPr>
                <w:rFonts w:ascii="Arial" w:hAnsi="Arial" w:cs="Arial"/>
              </w:rPr>
              <w:t>Alternative Regimen</w:t>
            </w:r>
          </w:p>
        </w:tc>
        <w:tc>
          <w:tcPr>
            <w:tcW w:w="3192" w:type="dxa"/>
          </w:tcPr>
          <w:p w:rsidR="0060461B" w:rsidRPr="00B97180" w:rsidRDefault="0060461B" w:rsidP="00BE5A5D">
            <w:pPr>
              <w:spacing w:before="120" w:after="120" w:line="240" w:lineRule="auto"/>
              <w:jc w:val="both"/>
              <w:rPr>
                <w:rFonts w:ascii="Arial" w:hAnsi="Arial" w:cs="Arial"/>
              </w:rPr>
            </w:pPr>
            <w:r w:rsidRPr="00B97180">
              <w:rPr>
                <w:rFonts w:ascii="Arial" w:hAnsi="Arial" w:cs="Arial"/>
              </w:rPr>
              <w:t>AZT + 3TC + EFV</w:t>
            </w:r>
          </w:p>
        </w:tc>
        <w:tc>
          <w:tcPr>
            <w:tcW w:w="3192" w:type="dxa"/>
          </w:tcPr>
          <w:p w:rsidR="0060461B" w:rsidRPr="00B97180" w:rsidRDefault="0060461B" w:rsidP="00BE5A5D">
            <w:pPr>
              <w:spacing w:before="120" w:after="120" w:line="240" w:lineRule="auto"/>
              <w:jc w:val="both"/>
              <w:rPr>
                <w:rFonts w:ascii="Arial" w:hAnsi="Arial" w:cs="Arial"/>
              </w:rPr>
            </w:pPr>
            <w:r w:rsidRPr="00B97180">
              <w:rPr>
                <w:rFonts w:ascii="Arial" w:hAnsi="Arial" w:cs="Arial"/>
              </w:rPr>
              <w:t>AZT + 3TC + EFV</w:t>
            </w:r>
          </w:p>
        </w:tc>
      </w:tr>
      <w:tr w:rsidR="0060461B" w:rsidRPr="0063082B" w:rsidTr="00BE5A5D">
        <w:tc>
          <w:tcPr>
            <w:tcW w:w="3192" w:type="dxa"/>
            <w:shd w:val="clear" w:color="auto" w:fill="D9D9D9"/>
          </w:tcPr>
          <w:p w:rsidR="0060461B" w:rsidRPr="00B97180" w:rsidRDefault="0060461B" w:rsidP="00BE5A5D">
            <w:pPr>
              <w:spacing w:before="120" w:after="120" w:line="240" w:lineRule="auto"/>
              <w:jc w:val="both"/>
              <w:rPr>
                <w:rFonts w:ascii="Arial" w:hAnsi="Arial" w:cs="Arial"/>
              </w:rPr>
            </w:pPr>
            <w:r w:rsidRPr="00B97180">
              <w:rPr>
                <w:rFonts w:ascii="Arial" w:hAnsi="Arial" w:cs="Arial"/>
              </w:rPr>
              <w:t>Alternative Regimen</w:t>
            </w:r>
          </w:p>
        </w:tc>
        <w:tc>
          <w:tcPr>
            <w:tcW w:w="3192" w:type="dxa"/>
            <w:shd w:val="clear" w:color="auto" w:fill="D9D9D9"/>
          </w:tcPr>
          <w:p w:rsidR="0060461B" w:rsidRPr="00B97180" w:rsidRDefault="0060461B" w:rsidP="00BE5A5D">
            <w:pPr>
              <w:spacing w:before="120" w:after="120" w:line="240" w:lineRule="auto"/>
              <w:jc w:val="both"/>
              <w:rPr>
                <w:rFonts w:ascii="Arial" w:hAnsi="Arial" w:cs="Arial"/>
              </w:rPr>
            </w:pPr>
            <w:r w:rsidRPr="00B97180">
              <w:rPr>
                <w:rFonts w:ascii="Arial" w:hAnsi="Arial" w:cs="Arial"/>
              </w:rPr>
              <w:t>ABC + 3TC + NVP</w:t>
            </w:r>
          </w:p>
        </w:tc>
        <w:tc>
          <w:tcPr>
            <w:tcW w:w="3192" w:type="dxa"/>
            <w:shd w:val="clear" w:color="auto" w:fill="D9D9D9"/>
          </w:tcPr>
          <w:p w:rsidR="0060461B" w:rsidRPr="00B97180" w:rsidRDefault="0060461B" w:rsidP="00BE5A5D">
            <w:pPr>
              <w:spacing w:before="120" w:after="120" w:line="240" w:lineRule="auto"/>
              <w:jc w:val="both"/>
              <w:rPr>
                <w:rFonts w:ascii="Arial" w:hAnsi="Arial" w:cs="Arial"/>
              </w:rPr>
            </w:pPr>
            <w:r w:rsidRPr="00B97180">
              <w:rPr>
                <w:rFonts w:ascii="Arial" w:hAnsi="Arial" w:cs="Arial"/>
              </w:rPr>
              <w:t>AZT + 3TC + NVP</w:t>
            </w:r>
          </w:p>
        </w:tc>
      </w:tr>
    </w:tbl>
    <w:p w:rsidR="0060461B" w:rsidRPr="0063082B" w:rsidRDefault="0060461B" w:rsidP="00BE5A5D">
      <w:pPr>
        <w:spacing w:before="120" w:after="120" w:line="240" w:lineRule="auto"/>
        <w:jc w:val="both"/>
        <w:rPr>
          <w:rFonts w:ascii="Arial" w:hAnsi="Arial" w:cs="Arial"/>
          <w:b/>
        </w:rPr>
      </w:pPr>
    </w:p>
    <w:p w:rsidR="0060461B" w:rsidRPr="0063082B" w:rsidRDefault="0060461B" w:rsidP="00BE5A5D">
      <w:pPr>
        <w:autoSpaceDE w:val="0"/>
        <w:autoSpaceDN w:val="0"/>
        <w:adjustRightInd w:val="0"/>
        <w:spacing w:before="120" w:after="120" w:line="240" w:lineRule="auto"/>
        <w:jc w:val="both"/>
        <w:rPr>
          <w:rFonts w:ascii="Arial" w:eastAsia="GaramondPremrPro" w:hAnsi="Arial" w:cs="Arial"/>
        </w:rPr>
      </w:pPr>
      <w:r w:rsidRPr="0063082B">
        <w:rPr>
          <w:rFonts w:ascii="Arial" w:eastAsia="GaramondPremrPro" w:hAnsi="Arial" w:cs="Arial"/>
        </w:rPr>
        <w:t xml:space="preserve">For dosing of ARV regimens </w:t>
      </w:r>
      <w:r w:rsidR="000815A7" w:rsidRPr="000815A7">
        <w:rPr>
          <w:rFonts w:ascii="Arial" w:eastAsia="GaramondPremrPro" w:hAnsi="Arial" w:cs="Arial"/>
        </w:rPr>
        <w:t>see Annex 5</w:t>
      </w:r>
      <w:r w:rsidRPr="000815A7">
        <w:rPr>
          <w:rFonts w:ascii="Arial" w:eastAsia="GaramondPremrPro" w:hAnsi="Arial" w:cs="Arial"/>
        </w:rPr>
        <w:t>, Peadiatric Antiretroviral Dosing</w:t>
      </w:r>
      <w:r w:rsidRPr="0063082B">
        <w:rPr>
          <w:rFonts w:ascii="Arial" w:eastAsia="GaramondPremrPro" w:hAnsi="Arial" w:cs="Arial"/>
        </w:rPr>
        <w:t xml:space="preserve"> </w:t>
      </w:r>
    </w:p>
    <w:p w:rsidR="0060461B" w:rsidRPr="00B97180" w:rsidRDefault="0060461B" w:rsidP="00BE5A5D">
      <w:pPr>
        <w:pStyle w:val="Heading4"/>
        <w:spacing w:before="120" w:after="120" w:line="240" w:lineRule="auto"/>
      </w:pPr>
      <w:r w:rsidRPr="00B97180">
        <w:t>9.9.3.3 Special Considerations for LPV/r syrup and tablets.</w:t>
      </w:r>
    </w:p>
    <w:p w:rsidR="0060461B" w:rsidRPr="0063082B" w:rsidRDefault="0060461B" w:rsidP="00274941">
      <w:pPr>
        <w:pStyle w:val="ListParagraph"/>
        <w:numPr>
          <w:ilvl w:val="0"/>
          <w:numId w:val="79"/>
        </w:numPr>
        <w:autoSpaceDE w:val="0"/>
        <w:autoSpaceDN w:val="0"/>
        <w:adjustRightInd w:val="0"/>
        <w:contextualSpacing w:val="0"/>
        <w:jc w:val="both"/>
        <w:rPr>
          <w:rFonts w:ascii="Arial" w:hAnsi="Arial" w:cs="Arial"/>
          <w:sz w:val="22"/>
          <w:szCs w:val="22"/>
        </w:rPr>
      </w:pPr>
      <w:r w:rsidRPr="0063082B">
        <w:rPr>
          <w:rFonts w:ascii="Arial" w:hAnsi="Arial" w:cs="Arial"/>
          <w:sz w:val="22"/>
          <w:szCs w:val="22"/>
        </w:rPr>
        <w:t xml:space="preserve">The LPV/r liquid requires a cold chain only during   storage at the facility </w:t>
      </w:r>
    </w:p>
    <w:p w:rsidR="0060461B" w:rsidRPr="0063082B" w:rsidRDefault="0060461B" w:rsidP="00274941">
      <w:pPr>
        <w:pStyle w:val="ListParagraph"/>
        <w:numPr>
          <w:ilvl w:val="0"/>
          <w:numId w:val="79"/>
        </w:numPr>
        <w:autoSpaceDE w:val="0"/>
        <w:autoSpaceDN w:val="0"/>
        <w:adjustRightInd w:val="0"/>
        <w:contextualSpacing w:val="0"/>
        <w:jc w:val="both"/>
        <w:rPr>
          <w:rFonts w:ascii="Arial" w:hAnsi="Arial" w:cs="Arial"/>
          <w:sz w:val="22"/>
          <w:szCs w:val="22"/>
        </w:rPr>
      </w:pPr>
      <w:r w:rsidRPr="0063082B">
        <w:rPr>
          <w:rFonts w:ascii="Arial" w:hAnsi="Arial" w:cs="Arial"/>
          <w:sz w:val="22"/>
          <w:szCs w:val="22"/>
        </w:rPr>
        <w:t xml:space="preserve">After dispensing, the liquid is stable at room temperature for 1 month so patients should be given a maximum of 1 month supply.  </w:t>
      </w:r>
    </w:p>
    <w:p w:rsidR="0060461B" w:rsidRPr="0063082B" w:rsidRDefault="0060461B" w:rsidP="00274941">
      <w:pPr>
        <w:pStyle w:val="ListParagraph"/>
        <w:numPr>
          <w:ilvl w:val="0"/>
          <w:numId w:val="79"/>
        </w:numPr>
        <w:autoSpaceDE w:val="0"/>
        <w:autoSpaceDN w:val="0"/>
        <w:adjustRightInd w:val="0"/>
        <w:contextualSpacing w:val="0"/>
        <w:jc w:val="both"/>
        <w:rPr>
          <w:rFonts w:ascii="Arial" w:hAnsi="Arial" w:cs="Arial"/>
          <w:sz w:val="22"/>
          <w:szCs w:val="22"/>
        </w:rPr>
      </w:pPr>
      <w:r w:rsidRPr="0063082B">
        <w:rPr>
          <w:rFonts w:ascii="Arial" w:hAnsi="Arial" w:cs="Arial"/>
          <w:sz w:val="22"/>
          <w:szCs w:val="22"/>
        </w:rPr>
        <w:t xml:space="preserve">Patients do not have to refrigerate the LPV/r liquid </w:t>
      </w:r>
    </w:p>
    <w:p w:rsidR="0060461B" w:rsidRPr="0063082B" w:rsidRDefault="0060461B" w:rsidP="00274941">
      <w:pPr>
        <w:pStyle w:val="ListParagraph"/>
        <w:numPr>
          <w:ilvl w:val="0"/>
          <w:numId w:val="79"/>
        </w:numPr>
        <w:autoSpaceDE w:val="0"/>
        <w:autoSpaceDN w:val="0"/>
        <w:adjustRightInd w:val="0"/>
        <w:contextualSpacing w:val="0"/>
        <w:jc w:val="both"/>
        <w:rPr>
          <w:rFonts w:ascii="Arial" w:hAnsi="Arial" w:cs="Arial"/>
          <w:sz w:val="22"/>
          <w:szCs w:val="22"/>
        </w:rPr>
      </w:pPr>
      <w:r w:rsidRPr="0063082B">
        <w:rPr>
          <w:rFonts w:ascii="Arial" w:hAnsi="Arial" w:cs="Arial"/>
          <w:sz w:val="22"/>
          <w:szCs w:val="22"/>
        </w:rPr>
        <w:t xml:space="preserve">LPV/r tablet is heat stable but must be swallowed whole and should not be split or crushed as it loses effectiveness </w:t>
      </w:r>
    </w:p>
    <w:p w:rsidR="0060461B" w:rsidRPr="0063082B" w:rsidRDefault="0060461B" w:rsidP="00274941">
      <w:pPr>
        <w:pStyle w:val="ListParagraph"/>
        <w:numPr>
          <w:ilvl w:val="0"/>
          <w:numId w:val="79"/>
        </w:numPr>
        <w:autoSpaceDE w:val="0"/>
        <w:autoSpaceDN w:val="0"/>
        <w:adjustRightInd w:val="0"/>
        <w:contextualSpacing w:val="0"/>
        <w:jc w:val="both"/>
        <w:rPr>
          <w:rFonts w:ascii="Arial" w:hAnsi="Arial" w:cs="Arial"/>
          <w:b/>
          <w:sz w:val="22"/>
          <w:szCs w:val="22"/>
        </w:rPr>
      </w:pPr>
      <w:r w:rsidRPr="0063082B">
        <w:rPr>
          <w:rFonts w:ascii="Arial" w:hAnsi="Arial" w:cs="Arial"/>
          <w:sz w:val="22"/>
          <w:szCs w:val="22"/>
        </w:rPr>
        <w:t>LPV/r has shown protection benefit against malaria</w:t>
      </w:r>
      <w:r w:rsidRPr="0063082B">
        <w:rPr>
          <w:rStyle w:val="FootnoteReference"/>
          <w:rFonts w:ascii="Arial" w:hAnsi="Arial" w:cs="Arial"/>
          <w:sz w:val="22"/>
          <w:szCs w:val="22"/>
        </w:rPr>
        <w:footnoteReference w:id="9"/>
      </w:r>
    </w:p>
    <w:p w:rsidR="0060461B" w:rsidRPr="00B97180" w:rsidRDefault="0060461B" w:rsidP="00BE5A5D">
      <w:pPr>
        <w:pStyle w:val="Heading3"/>
      </w:pPr>
      <w:bookmarkStart w:id="731" w:name="_Toc185658478"/>
      <w:bookmarkStart w:id="732" w:name="_Toc185673314"/>
      <w:bookmarkStart w:id="733" w:name="_Toc185673492"/>
      <w:bookmarkStart w:id="734" w:name="_Toc185677831"/>
      <w:bookmarkStart w:id="735" w:name="_Toc185678215"/>
      <w:bookmarkStart w:id="736" w:name="_Toc185736187"/>
      <w:bookmarkStart w:id="737" w:name="_Toc374515301"/>
      <w:bookmarkStart w:id="738" w:name="_Toc378258232"/>
      <w:bookmarkStart w:id="739" w:name="_Toc381351650"/>
      <w:r w:rsidRPr="00B97180">
        <w:t>9.9.4 Reasons for Changing ARV Therapy in Infants and</w:t>
      </w:r>
      <w:bookmarkStart w:id="740" w:name="_Toc185658479"/>
      <w:bookmarkStart w:id="741" w:name="_Toc185673315"/>
      <w:bookmarkStart w:id="742" w:name="_Toc185673493"/>
      <w:bookmarkStart w:id="743" w:name="_Toc185677832"/>
      <w:bookmarkStart w:id="744" w:name="_Toc185678216"/>
      <w:bookmarkStart w:id="745" w:name="_Toc185736188"/>
      <w:bookmarkEnd w:id="731"/>
      <w:bookmarkEnd w:id="732"/>
      <w:bookmarkEnd w:id="733"/>
      <w:bookmarkEnd w:id="734"/>
      <w:bookmarkEnd w:id="735"/>
      <w:bookmarkEnd w:id="736"/>
      <w:r w:rsidRPr="00B97180">
        <w:t xml:space="preserve"> Children</w:t>
      </w:r>
      <w:bookmarkEnd w:id="737"/>
      <w:bookmarkEnd w:id="738"/>
      <w:bookmarkEnd w:id="739"/>
      <w:bookmarkEnd w:id="740"/>
      <w:bookmarkEnd w:id="741"/>
      <w:bookmarkEnd w:id="742"/>
      <w:bookmarkEnd w:id="743"/>
      <w:bookmarkEnd w:id="744"/>
      <w:bookmarkEnd w:id="745"/>
    </w:p>
    <w:p w:rsidR="0060461B" w:rsidRPr="0063082B" w:rsidRDefault="0060461B" w:rsidP="00AA771C">
      <w:pPr>
        <w:spacing w:beforeLines="50" w:before="120" w:afterLines="50" w:after="120" w:line="240" w:lineRule="auto"/>
        <w:jc w:val="both"/>
        <w:rPr>
          <w:rFonts w:ascii="Arial" w:hAnsi="Arial" w:cs="Arial"/>
        </w:rPr>
      </w:pPr>
      <w:r w:rsidRPr="0063082B">
        <w:rPr>
          <w:rFonts w:ascii="Arial" w:hAnsi="Arial" w:cs="Arial"/>
        </w:rPr>
        <w:t>The principles on which to base changes in therapy and the management of drug toxicity in children are similar to those applied to adults. When toxicity is related to an identifiable drug in the regimen, the offending drug can be replaced with another drug that does not have the same side effects.</w:t>
      </w:r>
    </w:p>
    <w:p w:rsidR="0060461B" w:rsidRPr="00B97180" w:rsidRDefault="0060461B" w:rsidP="00BE5A5D">
      <w:pPr>
        <w:pStyle w:val="Heading4"/>
      </w:pPr>
      <w:bookmarkStart w:id="746" w:name="_Toc185658480"/>
      <w:bookmarkStart w:id="747" w:name="_Toc185673316"/>
      <w:bookmarkStart w:id="748" w:name="_Toc185673494"/>
      <w:bookmarkStart w:id="749" w:name="_Toc185677833"/>
      <w:bookmarkStart w:id="750" w:name="_Toc185678217"/>
      <w:bookmarkStart w:id="751" w:name="_Toc185736189"/>
      <w:r w:rsidRPr="00B97180">
        <w:t>9.9.4.1 Clinical criteria for treatment failure</w:t>
      </w:r>
      <w:bookmarkEnd w:id="746"/>
      <w:bookmarkEnd w:id="747"/>
      <w:bookmarkEnd w:id="748"/>
      <w:bookmarkEnd w:id="749"/>
      <w:bookmarkEnd w:id="750"/>
      <w:bookmarkEnd w:id="751"/>
    </w:p>
    <w:p w:rsidR="0060461B" w:rsidRPr="0083740B" w:rsidRDefault="0060461B" w:rsidP="00B247C9">
      <w:pPr>
        <w:pStyle w:val="StyleJustifiedCharChar"/>
      </w:pPr>
      <w:r w:rsidRPr="0083740B">
        <w:t>Clinical conditions indicating that a change to second-line therapy is warranted include:</w:t>
      </w:r>
    </w:p>
    <w:p w:rsidR="0060461B" w:rsidRPr="0083740B" w:rsidRDefault="0060461B" w:rsidP="00B247C9">
      <w:pPr>
        <w:pStyle w:val="StyleJustifiedCharChar"/>
      </w:pPr>
      <w:r w:rsidRPr="0083740B">
        <w:t xml:space="preserve">Poor growth (failure to gain weight, declining or stationary weight) over a 6-months period, after excluding other causes, such as TB, food insecurity </w:t>
      </w:r>
    </w:p>
    <w:p w:rsidR="0060461B" w:rsidRPr="0083740B" w:rsidRDefault="0060461B" w:rsidP="00B247C9">
      <w:pPr>
        <w:pStyle w:val="StyleJustifiedCharChar"/>
      </w:pPr>
      <w:r w:rsidRPr="0083740B">
        <w:t>No improvement of neuro-developmental milestones</w:t>
      </w:r>
    </w:p>
    <w:p w:rsidR="0060461B" w:rsidRPr="0083740B" w:rsidRDefault="0060461B" w:rsidP="00B247C9">
      <w:pPr>
        <w:pStyle w:val="StyleJustifiedCharChar"/>
      </w:pPr>
      <w:r w:rsidRPr="0083740B">
        <w:t xml:space="preserve">Development of HIV encephalopathy </w:t>
      </w:r>
    </w:p>
    <w:p w:rsidR="0060461B" w:rsidRPr="0083740B" w:rsidRDefault="0060461B" w:rsidP="00B247C9">
      <w:pPr>
        <w:pStyle w:val="StyleJustifiedCharChar"/>
      </w:pPr>
      <w:r w:rsidRPr="0083740B">
        <w:t>Recurrent infections, such as oral candidiasis, persistent diarrhoea, recurrent severe bacterial pneumonia, etc. (see annex 2 Paediatric WHO Clinical Staging).</w:t>
      </w:r>
    </w:p>
    <w:p w:rsidR="0060461B" w:rsidRPr="0063082B" w:rsidRDefault="0060461B" w:rsidP="00B247C9">
      <w:pPr>
        <w:pStyle w:val="StyleJustifiedCharChar"/>
      </w:pPr>
      <w:r w:rsidRPr="0083740B">
        <w:t xml:space="preserve">Advancement from one clinical stage to another or new evidence of new WHO stage 3 or 4 </w:t>
      </w:r>
      <w:r w:rsidRPr="000815A7">
        <w:t>disease (see annex 2 Paediatric WHO Clinical Staging)</w:t>
      </w:r>
    </w:p>
    <w:p w:rsidR="0060461B" w:rsidRPr="0063082B" w:rsidRDefault="0060461B" w:rsidP="00B247C9">
      <w:pPr>
        <w:pStyle w:val="StyleJustifiedCharChar"/>
      </w:pPr>
    </w:p>
    <w:p w:rsidR="0060461B" w:rsidRPr="0063082B" w:rsidRDefault="0060461B" w:rsidP="00AA771C">
      <w:pPr>
        <w:autoSpaceDE w:val="0"/>
        <w:autoSpaceDN w:val="0"/>
        <w:adjustRightInd w:val="0"/>
        <w:spacing w:beforeLines="50" w:before="120" w:afterLines="50" w:after="120" w:line="240" w:lineRule="auto"/>
        <w:jc w:val="both"/>
        <w:rPr>
          <w:rFonts w:ascii="Arial" w:eastAsia="HelveticaNeueLTStd-Lt" w:hAnsi="Arial" w:cs="Arial"/>
        </w:rPr>
      </w:pPr>
      <w:r w:rsidRPr="0063082B">
        <w:rPr>
          <w:rFonts w:ascii="Arial" w:hAnsi="Arial" w:cs="Arial"/>
          <w:b/>
        </w:rPr>
        <w:t>Note:</w:t>
      </w:r>
      <w:r w:rsidRPr="0063082B">
        <w:rPr>
          <w:rFonts w:ascii="Arial" w:hAnsi="Arial" w:cs="Arial"/>
        </w:rPr>
        <w:t xml:space="preserve">  Short intercurrent episodes of pneumonia, LRTI and gastroenteritis should not be regarded as clinical failure.</w:t>
      </w:r>
      <w:r w:rsidRPr="0063082B">
        <w:rPr>
          <w:rFonts w:ascii="Arial" w:eastAsia="HelveticaNeueLTStd-Lt" w:hAnsi="Arial" w:cs="Arial"/>
        </w:rPr>
        <w:t xml:space="preserve"> Pulmonary or lymph node TB, which are clinical stage 3 conditions, may not be an indication of treatment failure, and thus may not require consideration of second-line therapy. The response to TB therapy should be used to evaluate the need for switching therapy</w:t>
      </w:r>
    </w:p>
    <w:p w:rsidR="0060461B" w:rsidRPr="0083740B" w:rsidRDefault="0060461B" w:rsidP="00B247C9">
      <w:pPr>
        <w:pStyle w:val="StyleJustifiedCharChar"/>
      </w:pPr>
      <w:r w:rsidRPr="0083740B">
        <w:t>Before an ARV regimen is thought to be failing based on clinical criteria, the child should have received the regimen for at least 6 months.</w:t>
      </w:r>
    </w:p>
    <w:p w:rsidR="0060461B" w:rsidRPr="00B97180" w:rsidRDefault="0060461B" w:rsidP="00BE5A5D">
      <w:pPr>
        <w:pStyle w:val="Heading4"/>
      </w:pPr>
      <w:bookmarkStart w:id="752" w:name="_Toc185658481"/>
      <w:bookmarkStart w:id="753" w:name="_Toc185673317"/>
      <w:bookmarkStart w:id="754" w:name="_Toc185673495"/>
      <w:bookmarkStart w:id="755" w:name="_Toc185677834"/>
      <w:bookmarkStart w:id="756" w:name="_Toc185678218"/>
      <w:bookmarkStart w:id="757" w:name="_Toc185736190"/>
      <w:r w:rsidRPr="00B97180">
        <w:t>9.9.4.2 Immunological Criteria for treatment failure</w:t>
      </w:r>
      <w:bookmarkEnd w:id="752"/>
      <w:bookmarkEnd w:id="753"/>
      <w:bookmarkEnd w:id="754"/>
      <w:bookmarkEnd w:id="755"/>
      <w:bookmarkEnd w:id="756"/>
      <w:bookmarkEnd w:id="757"/>
    </w:p>
    <w:p w:rsidR="0060461B" w:rsidRPr="0083740B" w:rsidRDefault="0060461B" w:rsidP="00B247C9">
      <w:pPr>
        <w:pStyle w:val="StyleJustifiedCharChar"/>
      </w:pPr>
      <w:r w:rsidRPr="0083740B">
        <w:t>If adherence is good, immunological criteria indicating that a change to second-line therapy is warranted includes: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230"/>
      </w:tblGrid>
      <w:tr w:rsidR="0060461B" w:rsidRPr="0063082B" w:rsidTr="00BE5A5D">
        <w:tc>
          <w:tcPr>
            <w:tcW w:w="9018" w:type="dxa"/>
            <w:gridSpan w:val="2"/>
            <w:shd w:val="clear" w:color="auto" w:fill="000000"/>
          </w:tcPr>
          <w:p w:rsidR="0060461B" w:rsidRPr="0063082B" w:rsidRDefault="0060461B" w:rsidP="00BE5A5D">
            <w:pPr>
              <w:spacing w:before="120" w:after="120" w:line="240" w:lineRule="auto"/>
              <w:rPr>
                <w:rFonts w:ascii="Arial" w:hAnsi="Arial" w:cs="Arial"/>
                <w:b/>
              </w:rPr>
            </w:pPr>
            <w:r>
              <w:rPr>
                <w:rFonts w:ascii="Arial" w:hAnsi="Arial" w:cs="Arial"/>
                <w:b/>
              </w:rPr>
              <w:t>Table 9.10</w:t>
            </w:r>
            <w:r w:rsidRPr="0063082B">
              <w:rPr>
                <w:rFonts w:ascii="Arial" w:hAnsi="Arial" w:cs="Arial"/>
                <w:b/>
              </w:rPr>
              <w:t xml:space="preserve">: CD4 criteria suggesting immunological failure </w:t>
            </w:r>
            <w:r w:rsidRPr="0063082B">
              <w:rPr>
                <w:rFonts w:ascii="Arial" w:hAnsi="Arial" w:cs="Arial"/>
                <w:b/>
                <w:vertAlign w:val="superscript"/>
              </w:rPr>
              <w:t>a</w:t>
            </w:r>
          </w:p>
        </w:tc>
      </w:tr>
      <w:tr w:rsidR="0060461B" w:rsidRPr="0063082B" w:rsidTr="00BE5A5D">
        <w:tc>
          <w:tcPr>
            <w:tcW w:w="9018" w:type="dxa"/>
            <w:gridSpan w:val="2"/>
            <w:shd w:val="clear" w:color="auto" w:fill="D9D9D9"/>
          </w:tcPr>
          <w:p w:rsidR="0060461B" w:rsidRPr="0063082B" w:rsidRDefault="0060461B" w:rsidP="00BE5A5D">
            <w:pPr>
              <w:spacing w:before="120" w:after="120" w:line="240" w:lineRule="auto"/>
              <w:rPr>
                <w:rFonts w:ascii="Arial" w:hAnsi="Arial" w:cs="Arial"/>
              </w:rPr>
            </w:pPr>
            <w:r w:rsidRPr="0063082B">
              <w:rPr>
                <w:rFonts w:ascii="Arial" w:hAnsi="Arial" w:cs="Arial"/>
              </w:rPr>
              <w:t>Immunological failure is recognized as developing or returning to the following age-related immunological thresholds after at least 24 weeks on ART, in a treatment-adherent child:</w:t>
            </w:r>
          </w:p>
        </w:tc>
      </w:tr>
      <w:tr w:rsidR="0060461B" w:rsidRPr="0063082B" w:rsidTr="00BE5A5D">
        <w:tc>
          <w:tcPr>
            <w:tcW w:w="4788" w:type="dxa"/>
            <w:shd w:val="clear" w:color="auto" w:fill="D9D9D9"/>
          </w:tcPr>
          <w:p w:rsidR="0060461B" w:rsidRPr="0063082B" w:rsidRDefault="0060461B" w:rsidP="00BE5A5D">
            <w:pPr>
              <w:spacing w:before="120" w:after="120" w:line="240" w:lineRule="auto"/>
              <w:rPr>
                <w:rFonts w:ascii="Arial" w:hAnsi="Arial" w:cs="Arial"/>
              </w:rPr>
            </w:pPr>
            <w:r w:rsidRPr="0063082B">
              <w:rPr>
                <w:rFonts w:ascii="Arial" w:hAnsi="Arial" w:cs="Arial"/>
              </w:rPr>
              <w:t>≥ 2years to &lt;5 years of age</w:t>
            </w:r>
          </w:p>
        </w:tc>
        <w:tc>
          <w:tcPr>
            <w:tcW w:w="4230" w:type="dxa"/>
            <w:shd w:val="clear" w:color="auto" w:fill="D9D9D9"/>
          </w:tcPr>
          <w:p w:rsidR="0060461B" w:rsidRPr="0063082B" w:rsidRDefault="0060461B" w:rsidP="00BE5A5D">
            <w:pPr>
              <w:spacing w:before="120" w:after="120" w:line="240" w:lineRule="auto"/>
              <w:rPr>
                <w:rFonts w:ascii="Arial" w:hAnsi="Arial" w:cs="Arial"/>
              </w:rPr>
            </w:pPr>
            <w:r w:rsidRPr="0063082B">
              <w:rPr>
                <w:rFonts w:ascii="Arial" w:hAnsi="Arial" w:cs="Arial"/>
              </w:rPr>
              <w:t>CD4 count of &lt;200 cells/mm3 or %CD4+ &lt;10</w:t>
            </w:r>
          </w:p>
        </w:tc>
      </w:tr>
      <w:tr w:rsidR="0060461B" w:rsidRPr="0063082B" w:rsidTr="00BE5A5D">
        <w:tc>
          <w:tcPr>
            <w:tcW w:w="4788" w:type="dxa"/>
            <w:shd w:val="clear" w:color="auto" w:fill="D9D9D9"/>
          </w:tcPr>
          <w:p w:rsidR="0060461B" w:rsidRPr="0063082B" w:rsidRDefault="0060461B" w:rsidP="00BE5A5D">
            <w:pPr>
              <w:spacing w:before="120" w:after="120" w:line="240" w:lineRule="auto"/>
              <w:rPr>
                <w:rFonts w:ascii="Arial" w:hAnsi="Arial" w:cs="Arial"/>
              </w:rPr>
            </w:pPr>
            <w:r w:rsidRPr="0063082B">
              <w:rPr>
                <w:rFonts w:ascii="Arial" w:hAnsi="Arial" w:cs="Arial"/>
              </w:rPr>
              <w:t>≥5 years of age</w:t>
            </w:r>
          </w:p>
        </w:tc>
        <w:tc>
          <w:tcPr>
            <w:tcW w:w="4230" w:type="dxa"/>
            <w:shd w:val="clear" w:color="auto" w:fill="D9D9D9"/>
          </w:tcPr>
          <w:p w:rsidR="0060461B" w:rsidRPr="0063082B" w:rsidRDefault="0060461B" w:rsidP="00BE5A5D">
            <w:pPr>
              <w:spacing w:before="120" w:after="120" w:line="240" w:lineRule="auto"/>
              <w:rPr>
                <w:rFonts w:ascii="Arial" w:hAnsi="Arial" w:cs="Arial"/>
              </w:rPr>
            </w:pPr>
            <w:r w:rsidRPr="0063082B">
              <w:rPr>
                <w:rFonts w:ascii="Arial" w:hAnsi="Arial" w:cs="Arial"/>
              </w:rPr>
              <w:t>CD4 count of &lt;100 cells/mm3</w:t>
            </w:r>
          </w:p>
        </w:tc>
      </w:tr>
      <w:tr w:rsidR="0060461B" w:rsidRPr="0063082B" w:rsidTr="00BE5A5D">
        <w:tc>
          <w:tcPr>
            <w:tcW w:w="9018" w:type="dxa"/>
            <w:gridSpan w:val="2"/>
          </w:tcPr>
          <w:p w:rsidR="0060461B" w:rsidRPr="0063082B" w:rsidRDefault="0060461B" w:rsidP="00BE5A5D">
            <w:pPr>
              <w:spacing w:before="120" w:after="120" w:line="240" w:lineRule="auto"/>
              <w:rPr>
                <w:rFonts w:ascii="Arial" w:hAnsi="Arial" w:cs="Arial"/>
              </w:rPr>
            </w:pPr>
            <w:r w:rsidRPr="0063082B">
              <w:rPr>
                <w:rFonts w:ascii="Arial" w:hAnsi="Arial" w:cs="Arial"/>
                <w:vertAlign w:val="superscript"/>
              </w:rPr>
              <w:t xml:space="preserve">a </w:t>
            </w:r>
            <w:r w:rsidRPr="0063082B">
              <w:rPr>
                <w:rFonts w:ascii="Arial" w:hAnsi="Arial" w:cs="Arial"/>
              </w:rPr>
              <w:t xml:space="preserve">Preferably, at two CD4 measurements should be available. </w:t>
            </w:r>
          </w:p>
          <w:p w:rsidR="0060461B" w:rsidRPr="0063082B" w:rsidRDefault="0060461B" w:rsidP="00BE5A5D">
            <w:pPr>
              <w:spacing w:before="120" w:after="120" w:line="240" w:lineRule="auto"/>
              <w:rPr>
                <w:rFonts w:ascii="Arial" w:hAnsi="Arial" w:cs="Arial"/>
              </w:rPr>
            </w:pPr>
            <w:r w:rsidRPr="0063082B">
              <w:rPr>
                <w:rFonts w:ascii="Arial" w:hAnsi="Arial" w:cs="Arial"/>
              </w:rPr>
              <w:t xml:space="preserve">  Use of %CD4+ in children &lt;5 years and absolute CD4 counts in those ≥5 years of age is preferred.</w:t>
            </w:r>
          </w:p>
          <w:p w:rsidR="0060461B" w:rsidRPr="0063082B" w:rsidRDefault="0060461B" w:rsidP="00BE5A5D">
            <w:pPr>
              <w:spacing w:before="120" w:after="120" w:line="240" w:lineRule="auto"/>
              <w:rPr>
                <w:rFonts w:ascii="Arial" w:hAnsi="Arial" w:cs="Arial"/>
              </w:rPr>
            </w:pPr>
            <w:r w:rsidRPr="0063082B">
              <w:rPr>
                <w:rFonts w:ascii="Arial" w:hAnsi="Arial" w:cs="Arial"/>
              </w:rPr>
              <w:t xml:space="preserve">  If serial CD4 values are available, the rate of decline should be taken into consideration</w:t>
            </w:r>
          </w:p>
        </w:tc>
      </w:tr>
    </w:tbl>
    <w:p w:rsidR="0060461B" w:rsidRPr="0083740B" w:rsidRDefault="0060461B" w:rsidP="00B247C9">
      <w:pPr>
        <w:pStyle w:val="StyleJustifiedCharChar"/>
      </w:pPr>
      <w:r w:rsidRPr="0083740B">
        <w:t>Note: CD4 percent should not be measured during an intercurrent infection but can be determined when the child has recovered</w:t>
      </w:r>
    </w:p>
    <w:p w:rsidR="0060461B" w:rsidRPr="0083740B" w:rsidRDefault="0060461B" w:rsidP="00B247C9">
      <w:pPr>
        <w:pStyle w:val="StyleJustifiedCharChar"/>
      </w:pPr>
      <w:r w:rsidRPr="0083740B">
        <w:t>If there is a modest decline in CD4 count or percent (&lt; 5%) and if there is no failure to thrive, do not change medication, instead maintain close monitoring.</w:t>
      </w:r>
    </w:p>
    <w:p w:rsidR="0060461B" w:rsidRPr="00B97180" w:rsidRDefault="0060461B" w:rsidP="00BE5A5D">
      <w:pPr>
        <w:pStyle w:val="Heading4"/>
      </w:pPr>
      <w:bookmarkStart w:id="758" w:name="_Toc185658482"/>
      <w:bookmarkStart w:id="759" w:name="_Toc185673318"/>
      <w:bookmarkStart w:id="760" w:name="_Toc185673496"/>
      <w:bookmarkStart w:id="761" w:name="_Toc185677835"/>
      <w:bookmarkStart w:id="762" w:name="_Toc185678219"/>
      <w:bookmarkStart w:id="763" w:name="_Toc185736191"/>
      <w:r w:rsidRPr="00B97180">
        <w:t>9.9.4.3 Virological Criteria for treatment failure</w:t>
      </w:r>
      <w:bookmarkEnd w:id="758"/>
      <w:bookmarkEnd w:id="759"/>
      <w:bookmarkEnd w:id="760"/>
      <w:bookmarkEnd w:id="761"/>
      <w:bookmarkEnd w:id="762"/>
      <w:bookmarkEnd w:id="763"/>
    </w:p>
    <w:p w:rsidR="0060461B" w:rsidRPr="0083740B" w:rsidRDefault="0060461B" w:rsidP="00B247C9">
      <w:pPr>
        <w:pStyle w:val="StyleJustifiedCharChar"/>
      </w:pPr>
      <w:r w:rsidRPr="0083740B">
        <w:t>Virological failure is recognized if the child is adherent to their (first line) ART regimen, more than 6 months from ART initiation and has a two consecutive  viral load measurements over 1000copies/ml after 3 months.</w:t>
      </w:r>
    </w:p>
    <w:p w:rsidR="0060461B" w:rsidRPr="0063082B" w:rsidRDefault="0060461B" w:rsidP="00AA771C">
      <w:pPr>
        <w:autoSpaceDE w:val="0"/>
        <w:autoSpaceDN w:val="0"/>
        <w:adjustRightInd w:val="0"/>
        <w:spacing w:beforeLines="120" w:before="288" w:afterLines="120" w:after="288" w:line="240" w:lineRule="auto"/>
        <w:jc w:val="both"/>
        <w:rPr>
          <w:rFonts w:ascii="Arial" w:hAnsi="Arial" w:cs="Arial"/>
        </w:rPr>
      </w:pPr>
      <w:r w:rsidRPr="0063082B">
        <w:rPr>
          <w:rFonts w:ascii="Arial" w:hAnsi="Arial" w:cs="Arial"/>
        </w:rPr>
        <w:t xml:space="preserve">The WHO recommends the use of routine viral load monitoring to decide on treatment failure where there is regular access and where affordable. Viral load is the most sensitive method to detect viral replication.  </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4"/>
        <w:gridCol w:w="1256"/>
        <w:gridCol w:w="1257"/>
        <w:gridCol w:w="1253"/>
        <w:gridCol w:w="1268"/>
      </w:tblGrid>
      <w:tr w:rsidR="0060461B" w:rsidRPr="0063082B" w:rsidTr="00BE5A5D">
        <w:trPr>
          <w:trHeight w:val="296"/>
        </w:trPr>
        <w:tc>
          <w:tcPr>
            <w:tcW w:w="9738" w:type="dxa"/>
            <w:gridSpan w:val="5"/>
            <w:tcBorders>
              <w:top w:val="nil"/>
              <w:left w:val="nil"/>
              <w:bottom w:val="single" w:sz="4" w:space="0" w:color="auto"/>
              <w:right w:val="nil"/>
            </w:tcBorders>
          </w:tcPr>
          <w:p w:rsidR="0060461B" w:rsidRPr="0063082B" w:rsidRDefault="0060461B" w:rsidP="00BE5A5D">
            <w:pPr>
              <w:spacing w:before="120" w:after="120" w:line="240" w:lineRule="auto"/>
              <w:rPr>
                <w:rFonts w:ascii="Arial" w:hAnsi="Arial" w:cs="Arial"/>
                <w:b/>
              </w:rPr>
            </w:pPr>
            <w:r>
              <w:rPr>
                <w:rFonts w:ascii="Arial" w:hAnsi="Arial" w:cs="Arial"/>
                <w:b/>
              </w:rPr>
              <w:t>Table 9.11</w:t>
            </w:r>
            <w:r w:rsidRPr="0063082B">
              <w:rPr>
                <w:rFonts w:ascii="Arial" w:hAnsi="Arial" w:cs="Arial"/>
                <w:b/>
              </w:rPr>
              <w:t>: Laboratory parameters for monitoring infants and children at baseline, before and during ART</w:t>
            </w:r>
          </w:p>
        </w:tc>
      </w:tr>
      <w:tr w:rsidR="0060461B" w:rsidRPr="0063082B" w:rsidTr="00BE5A5D">
        <w:tc>
          <w:tcPr>
            <w:tcW w:w="4704" w:type="dxa"/>
            <w:tcBorders>
              <w:top w:val="single" w:sz="4" w:space="0" w:color="auto"/>
              <w:left w:val="single" w:sz="4" w:space="0" w:color="auto"/>
              <w:bottom w:val="single" w:sz="4" w:space="0" w:color="auto"/>
              <w:right w:val="single" w:sz="4" w:space="0" w:color="FFFFFF"/>
            </w:tcBorders>
            <w:shd w:val="clear" w:color="auto" w:fill="000000"/>
          </w:tcPr>
          <w:p w:rsidR="0060461B" w:rsidRPr="0063082B" w:rsidRDefault="0060461B" w:rsidP="00BE5A5D">
            <w:pPr>
              <w:spacing w:before="120" w:after="120" w:line="240" w:lineRule="auto"/>
              <w:rPr>
                <w:rFonts w:ascii="Arial" w:hAnsi="Arial" w:cs="Arial"/>
                <w:b/>
              </w:rPr>
            </w:pPr>
            <w:r w:rsidRPr="0063082B">
              <w:rPr>
                <w:rFonts w:ascii="Arial" w:hAnsi="Arial" w:cs="Arial"/>
                <w:b/>
              </w:rPr>
              <w:t>Laboratory tests for diagnosis and monitoring</w:t>
            </w:r>
          </w:p>
        </w:tc>
        <w:tc>
          <w:tcPr>
            <w:tcW w:w="1256" w:type="dxa"/>
            <w:tcBorders>
              <w:top w:val="single" w:sz="4" w:space="0" w:color="auto"/>
              <w:left w:val="single" w:sz="4" w:space="0" w:color="FFFFFF"/>
              <w:bottom w:val="single" w:sz="4" w:space="0" w:color="auto"/>
              <w:right w:val="single" w:sz="4" w:space="0" w:color="FFFFFF"/>
            </w:tcBorders>
            <w:shd w:val="clear" w:color="auto" w:fill="000000"/>
          </w:tcPr>
          <w:p w:rsidR="0060461B" w:rsidRPr="0063082B" w:rsidRDefault="0060461B" w:rsidP="00BE5A5D">
            <w:pPr>
              <w:spacing w:before="120" w:after="120" w:line="240" w:lineRule="auto"/>
              <w:jc w:val="center"/>
              <w:rPr>
                <w:rFonts w:ascii="Arial" w:hAnsi="Arial" w:cs="Arial"/>
                <w:b/>
              </w:rPr>
            </w:pPr>
            <w:r w:rsidRPr="0063082B">
              <w:rPr>
                <w:rFonts w:ascii="Arial" w:hAnsi="Arial" w:cs="Arial"/>
                <w:b/>
              </w:rPr>
              <w:t>Baseline (at entry into care)</w:t>
            </w:r>
          </w:p>
        </w:tc>
        <w:tc>
          <w:tcPr>
            <w:tcW w:w="1257" w:type="dxa"/>
            <w:tcBorders>
              <w:top w:val="single" w:sz="4" w:space="0" w:color="auto"/>
              <w:left w:val="single" w:sz="4" w:space="0" w:color="FFFFFF"/>
              <w:bottom w:val="single" w:sz="4" w:space="0" w:color="auto"/>
              <w:right w:val="single" w:sz="4" w:space="0" w:color="FFFFFF"/>
            </w:tcBorders>
            <w:shd w:val="clear" w:color="auto" w:fill="000000"/>
          </w:tcPr>
          <w:p w:rsidR="0060461B" w:rsidRPr="0063082B" w:rsidRDefault="0060461B" w:rsidP="00BE5A5D">
            <w:pPr>
              <w:spacing w:before="120" w:after="120" w:line="240" w:lineRule="auto"/>
              <w:jc w:val="center"/>
              <w:rPr>
                <w:rFonts w:ascii="Arial" w:hAnsi="Arial" w:cs="Arial"/>
                <w:b/>
              </w:rPr>
            </w:pPr>
            <w:r w:rsidRPr="0063082B">
              <w:rPr>
                <w:rFonts w:ascii="Arial" w:hAnsi="Arial" w:cs="Arial"/>
                <w:b/>
              </w:rPr>
              <w:t>At initiation of first-line or second-line ART regimen</w:t>
            </w:r>
          </w:p>
        </w:tc>
        <w:tc>
          <w:tcPr>
            <w:tcW w:w="1253" w:type="dxa"/>
            <w:tcBorders>
              <w:top w:val="single" w:sz="4" w:space="0" w:color="auto"/>
              <w:left w:val="single" w:sz="4" w:space="0" w:color="FFFFFF"/>
              <w:bottom w:val="single" w:sz="4" w:space="0" w:color="auto"/>
              <w:right w:val="single" w:sz="4" w:space="0" w:color="FFFFFF"/>
            </w:tcBorders>
            <w:shd w:val="clear" w:color="auto" w:fill="000000"/>
          </w:tcPr>
          <w:p w:rsidR="0060461B" w:rsidRPr="0063082B" w:rsidRDefault="0060461B" w:rsidP="00BE5A5D">
            <w:pPr>
              <w:spacing w:before="120" w:after="120" w:line="240" w:lineRule="auto"/>
              <w:jc w:val="center"/>
              <w:rPr>
                <w:rFonts w:ascii="Arial" w:hAnsi="Arial" w:cs="Arial"/>
                <w:b/>
              </w:rPr>
            </w:pPr>
            <w:r w:rsidRPr="0063082B">
              <w:rPr>
                <w:rFonts w:ascii="Arial" w:hAnsi="Arial" w:cs="Arial"/>
                <w:b/>
              </w:rPr>
              <w:t>Every six months</w:t>
            </w:r>
          </w:p>
        </w:tc>
        <w:tc>
          <w:tcPr>
            <w:tcW w:w="1268" w:type="dxa"/>
            <w:tcBorders>
              <w:top w:val="single" w:sz="4" w:space="0" w:color="auto"/>
              <w:left w:val="single" w:sz="4" w:space="0" w:color="FFFFFF"/>
              <w:bottom w:val="single" w:sz="4" w:space="0" w:color="auto"/>
              <w:right w:val="single" w:sz="4" w:space="0" w:color="auto"/>
            </w:tcBorders>
            <w:shd w:val="clear" w:color="auto" w:fill="000000"/>
          </w:tcPr>
          <w:p w:rsidR="0060461B" w:rsidRPr="0063082B" w:rsidRDefault="0060461B" w:rsidP="00BE5A5D">
            <w:pPr>
              <w:spacing w:before="120" w:after="120" w:line="240" w:lineRule="auto"/>
              <w:jc w:val="center"/>
              <w:rPr>
                <w:rFonts w:ascii="Arial" w:hAnsi="Arial" w:cs="Arial"/>
                <w:b/>
              </w:rPr>
            </w:pPr>
            <w:r w:rsidRPr="0063082B">
              <w:rPr>
                <w:rFonts w:ascii="Arial" w:hAnsi="Arial" w:cs="Arial"/>
                <w:b/>
              </w:rPr>
              <w:t>As required or symptom-directed</w:t>
            </w:r>
          </w:p>
        </w:tc>
      </w:tr>
      <w:tr w:rsidR="0060461B" w:rsidRPr="0063082B" w:rsidTr="00BE5A5D">
        <w:tc>
          <w:tcPr>
            <w:tcW w:w="4704" w:type="dxa"/>
            <w:tcBorders>
              <w:top w:val="single" w:sz="4" w:space="0" w:color="auto"/>
            </w:tcBorders>
            <w:shd w:val="clear" w:color="auto" w:fill="D9D9D9"/>
          </w:tcPr>
          <w:p w:rsidR="0060461B" w:rsidRPr="0063082B" w:rsidRDefault="0060461B" w:rsidP="00BE5A5D">
            <w:pPr>
              <w:spacing w:before="120" w:after="120" w:line="240" w:lineRule="auto"/>
              <w:rPr>
                <w:rFonts w:ascii="Arial" w:hAnsi="Arial" w:cs="Arial"/>
              </w:rPr>
            </w:pPr>
            <w:r w:rsidRPr="0063082B">
              <w:rPr>
                <w:rFonts w:ascii="Arial" w:hAnsi="Arial" w:cs="Arial"/>
              </w:rPr>
              <w:t>HIV diagnostic testing</w:t>
            </w:r>
          </w:p>
        </w:tc>
        <w:tc>
          <w:tcPr>
            <w:tcW w:w="1256" w:type="dxa"/>
            <w:tcBorders>
              <w:top w:val="single" w:sz="4" w:space="0" w:color="auto"/>
            </w:tcBorders>
            <w:shd w:val="clear" w:color="auto" w:fill="D9D9D9"/>
          </w:tcPr>
          <w:p w:rsidR="0060461B" w:rsidRPr="0063082B" w:rsidRDefault="0060461B" w:rsidP="00BE5A5D">
            <w:pPr>
              <w:spacing w:before="120" w:after="120" w:line="240" w:lineRule="auto"/>
              <w:jc w:val="center"/>
              <w:rPr>
                <w:rFonts w:ascii="Arial" w:hAnsi="Arial" w:cs="Arial"/>
                <w:b/>
              </w:rPr>
            </w:pPr>
            <w:r w:rsidRPr="0063082B">
              <w:rPr>
                <w:rFonts w:ascii="Arial" w:hAnsi="Arial" w:cs="Arial"/>
                <w:b/>
              </w:rPr>
              <w:t>√</w:t>
            </w:r>
          </w:p>
        </w:tc>
        <w:tc>
          <w:tcPr>
            <w:tcW w:w="1257" w:type="dxa"/>
            <w:tcBorders>
              <w:top w:val="single" w:sz="4" w:space="0" w:color="auto"/>
            </w:tcBorders>
            <w:shd w:val="clear" w:color="auto" w:fill="D9D9D9"/>
          </w:tcPr>
          <w:p w:rsidR="0060461B" w:rsidRPr="0063082B" w:rsidRDefault="0060461B" w:rsidP="00BE5A5D">
            <w:pPr>
              <w:spacing w:before="120" w:after="120" w:line="240" w:lineRule="auto"/>
              <w:jc w:val="center"/>
              <w:rPr>
                <w:rFonts w:ascii="Arial" w:hAnsi="Arial" w:cs="Arial"/>
                <w:b/>
              </w:rPr>
            </w:pPr>
          </w:p>
        </w:tc>
        <w:tc>
          <w:tcPr>
            <w:tcW w:w="1253" w:type="dxa"/>
            <w:tcBorders>
              <w:top w:val="single" w:sz="4" w:space="0" w:color="auto"/>
            </w:tcBorders>
            <w:shd w:val="clear" w:color="auto" w:fill="D9D9D9"/>
          </w:tcPr>
          <w:p w:rsidR="0060461B" w:rsidRPr="0063082B" w:rsidRDefault="0060461B" w:rsidP="00BE5A5D">
            <w:pPr>
              <w:spacing w:before="120" w:after="120" w:line="240" w:lineRule="auto"/>
              <w:jc w:val="center"/>
              <w:rPr>
                <w:rFonts w:ascii="Arial" w:hAnsi="Arial" w:cs="Arial"/>
                <w:b/>
              </w:rPr>
            </w:pPr>
          </w:p>
        </w:tc>
        <w:tc>
          <w:tcPr>
            <w:tcW w:w="1268" w:type="dxa"/>
            <w:tcBorders>
              <w:top w:val="single" w:sz="4" w:space="0" w:color="auto"/>
            </w:tcBorders>
            <w:shd w:val="clear" w:color="auto" w:fill="D9D9D9"/>
          </w:tcPr>
          <w:p w:rsidR="0060461B" w:rsidRPr="0063082B" w:rsidRDefault="0060461B" w:rsidP="00BE5A5D">
            <w:pPr>
              <w:spacing w:before="120" w:after="120" w:line="240" w:lineRule="auto"/>
              <w:rPr>
                <w:rFonts w:ascii="Arial" w:hAnsi="Arial" w:cs="Arial"/>
                <w:b/>
              </w:rPr>
            </w:pPr>
            <w:r w:rsidRPr="0063082B">
              <w:rPr>
                <w:rFonts w:ascii="Arial" w:hAnsi="Arial" w:cs="Arial"/>
                <w:b/>
              </w:rPr>
              <w:t>√</w:t>
            </w:r>
          </w:p>
        </w:tc>
      </w:tr>
      <w:tr w:rsidR="0060461B" w:rsidRPr="0063082B" w:rsidTr="00BE5A5D">
        <w:tc>
          <w:tcPr>
            <w:tcW w:w="4704" w:type="dxa"/>
          </w:tcPr>
          <w:p w:rsidR="0060461B" w:rsidRPr="0063082B" w:rsidRDefault="0060461B" w:rsidP="00BE5A5D">
            <w:pPr>
              <w:spacing w:before="120" w:after="120" w:line="240" w:lineRule="auto"/>
              <w:rPr>
                <w:rFonts w:ascii="Arial" w:hAnsi="Arial" w:cs="Arial"/>
              </w:rPr>
            </w:pPr>
            <w:r w:rsidRPr="0063082B">
              <w:rPr>
                <w:rFonts w:ascii="Arial" w:hAnsi="Arial" w:cs="Arial"/>
              </w:rPr>
              <w:t>Haemoglobin</w:t>
            </w:r>
            <w:r w:rsidRPr="0063082B">
              <w:rPr>
                <w:rFonts w:ascii="Arial" w:hAnsi="Arial" w:cs="Arial"/>
                <w:vertAlign w:val="superscript"/>
              </w:rPr>
              <w:t>a</w:t>
            </w:r>
            <w:r w:rsidRPr="0063082B">
              <w:rPr>
                <w:rFonts w:ascii="Arial" w:hAnsi="Arial" w:cs="Arial"/>
              </w:rPr>
              <w:t xml:space="preserve"> </w:t>
            </w:r>
          </w:p>
        </w:tc>
        <w:tc>
          <w:tcPr>
            <w:tcW w:w="1256" w:type="dxa"/>
          </w:tcPr>
          <w:p w:rsidR="0060461B" w:rsidRPr="0063082B" w:rsidRDefault="0060461B" w:rsidP="00BE5A5D">
            <w:pPr>
              <w:spacing w:before="120" w:after="120" w:line="240" w:lineRule="auto"/>
              <w:jc w:val="center"/>
              <w:rPr>
                <w:rFonts w:ascii="Arial" w:hAnsi="Arial" w:cs="Arial"/>
                <w:b/>
              </w:rPr>
            </w:pPr>
            <w:r w:rsidRPr="0063082B">
              <w:rPr>
                <w:rFonts w:ascii="Arial" w:hAnsi="Arial" w:cs="Arial"/>
                <w:b/>
              </w:rPr>
              <w:t>√</w:t>
            </w:r>
          </w:p>
        </w:tc>
        <w:tc>
          <w:tcPr>
            <w:tcW w:w="1257" w:type="dxa"/>
          </w:tcPr>
          <w:p w:rsidR="0060461B" w:rsidRPr="0063082B" w:rsidRDefault="0060461B" w:rsidP="00BE5A5D">
            <w:pPr>
              <w:spacing w:before="120" w:after="120" w:line="240" w:lineRule="auto"/>
              <w:jc w:val="center"/>
              <w:rPr>
                <w:rFonts w:ascii="Arial" w:hAnsi="Arial" w:cs="Arial"/>
                <w:b/>
              </w:rPr>
            </w:pPr>
            <w:r w:rsidRPr="0063082B">
              <w:rPr>
                <w:rFonts w:ascii="Arial" w:hAnsi="Arial" w:cs="Arial"/>
                <w:b/>
              </w:rPr>
              <w:t>√</w:t>
            </w:r>
          </w:p>
        </w:tc>
        <w:tc>
          <w:tcPr>
            <w:tcW w:w="1253" w:type="dxa"/>
          </w:tcPr>
          <w:p w:rsidR="0060461B" w:rsidRPr="0063082B" w:rsidRDefault="0060461B" w:rsidP="00BE5A5D">
            <w:pPr>
              <w:spacing w:before="120" w:after="120" w:line="240" w:lineRule="auto"/>
              <w:jc w:val="center"/>
              <w:rPr>
                <w:rFonts w:ascii="Arial" w:hAnsi="Arial" w:cs="Arial"/>
                <w:b/>
              </w:rPr>
            </w:pPr>
          </w:p>
        </w:tc>
        <w:tc>
          <w:tcPr>
            <w:tcW w:w="1268" w:type="dxa"/>
          </w:tcPr>
          <w:p w:rsidR="0060461B" w:rsidRPr="0063082B" w:rsidRDefault="0060461B" w:rsidP="00BE5A5D">
            <w:pPr>
              <w:spacing w:before="120" w:after="120" w:line="240" w:lineRule="auto"/>
              <w:rPr>
                <w:rFonts w:ascii="Arial" w:hAnsi="Arial" w:cs="Arial"/>
                <w:b/>
              </w:rPr>
            </w:pPr>
            <w:r w:rsidRPr="0063082B">
              <w:rPr>
                <w:rFonts w:ascii="Arial" w:hAnsi="Arial" w:cs="Arial"/>
                <w:b/>
              </w:rPr>
              <w:t>√</w:t>
            </w:r>
          </w:p>
        </w:tc>
      </w:tr>
      <w:tr w:rsidR="0060461B" w:rsidRPr="0063082B" w:rsidTr="00BE5A5D">
        <w:tc>
          <w:tcPr>
            <w:tcW w:w="4704" w:type="dxa"/>
            <w:shd w:val="clear" w:color="auto" w:fill="D9D9D9"/>
          </w:tcPr>
          <w:p w:rsidR="0060461B" w:rsidRPr="0063082B" w:rsidRDefault="0060461B" w:rsidP="00BE5A5D">
            <w:pPr>
              <w:spacing w:before="120" w:after="120" w:line="240" w:lineRule="auto"/>
              <w:rPr>
                <w:rFonts w:ascii="Arial" w:hAnsi="Arial" w:cs="Arial"/>
              </w:rPr>
            </w:pPr>
            <w:r w:rsidRPr="0063082B">
              <w:rPr>
                <w:rFonts w:ascii="Arial" w:hAnsi="Arial" w:cs="Arial"/>
              </w:rPr>
              <w:t xml:space="preserve">WBC and differential count </w:t>
            </w:r>
          </w:p>
        </w:tc>
        <w:tc>
          <w:tcPr>
            <w:tcW w:w="1256" w:type="dxa"/>
            <w:shd w:val="clear" w:color="auto" w:fill="D9D9D9"/>
          </w:tcPr>
          <w:p w:rsidR="0060461B" w:rsidRPr="0063082B" w:rsidRDefault="0060461B" w:rsidP="00BE5A5D">
            <w:pPr>
              <w:spacing w:before="120" w:after="120" w:line="240" w:lineRule="auto"/>
              <w:jc w:val="center"/>
              <w:rPr>
                <w:rFonts w:ascii="Arial" w:hAnsi="Arial" w:cs="Arial"/>
                <w:b/>
              </w:rPr>
            </w:pPr>
          </w:p>
        </w:tc>
        <w:tc>
          <w:tcPr>
            <w:tcW w:w="1257" w:type="dxa"/>
            <w:shd w:val="clear" w:color="auto" w:fill="D9D9D9"/>
          </w:tcPr>
          <w:p w:rsidR="0060461B" w:rsidRPr="0063082B" w:rsidRDefault="0060461B" w:rsidP="00BE5A5D">
            <w:pPr>
              <w:spacing w:before="120" w:after="120" w:line="240" w:lineRule="auto"/>
              <w:rPr>
                <w:rFonts w:ascii="Arial" w:hAnsi="Arial" w:cs="Arial"/>
                <w:b/>
              </w:rPr>
            </w:pPr>
          </w:p>
        </w:tc>
        <w:tc>
          <w:tcPr>
            <w:tcW w:w="1253" w:type="dxa"/>
            <w:shd w:val="clear" w:color="auto" w:fill="D9D9D9"/>
          </w:tcPr>
          <w:p w:rsidR="0060461B" w:rsidRPr="0063082B" w:rsidRDefault="0060461B" w:rsidP="00BE5A5D">
            <w:pPr>
              <w:spacing w:before="120" w:after="120" w:line="240" w:lineRule="auto"/>
              <w:jc w:val="center"/>
              <w:rPr>
                <w:rFonts w:ascii="Arial" w:hAnsi="Arial" w:cs="Arial"/>
                <w:b/>
              </w:rPr>
            </w:pPr>
          </w:p>
        </w:tc>
        <w:tc>
          <w:tcPr>
            <w:tcW w:w="1268" w:type="dxa"/>
            <w:shd w:val="clear" w:color="auto" w:fill="D9D9D9"/>
          </w:tcPr>
          <w:p w:rsidR="0060461B" w:rsidRPr="0063082B" w:rsidRDefault="0060461B" w:rsidP="00BE5A5D">
            <w:pPr>
              <w:spacing w:before="120" w:after="120" w:line="240" w:lineRule="auto"/>
              <w:rPr>
                <w:rFonts w:ascii="Arial" w:hAnsi="Arial" w:cs="Arial"/>
                <w:b/>
              </w:rPr>
            </w:pPr>
            <w:r w:rsidRPr="0063082B">
              <w:rPr>
                <w:rFonts w:ascii="Arial" w:hAnsi="Arial" w:cs="Arial"/>
                <w:b/>
              </w:rPr>
              <w:t>√</w:t>
            </w:r>
          </w:p>
        </w:tc>
      </w:tr>
      <w:tr w:rsidR="0060461B" w:rsidRPr="0063082B" w:rsidTr="00BE5A5D">
        <w:tc>
          <w:tcPr>
            <w:tcW w:w="4704" w:type="dxa"/>
          </w:tcPr>
          <w:p w:rsidR="0060461B" w:rsidRPr="0063082B" w:rsidRDefault="0060461B" w:rsidP="00BE5A5D">
            <w:pPr>
              <w:spacing w:before="120" w:after="120" w:line="240" w:lineRule="auto"/>
              <w:rPr>
                <w:rFonts w:ascii="Arial" w:hAnsi="Arial" w:cs="Arial"/>
              </w:rPr>
            </w:pPr>
            <w:r w:rsidRPr="0063082B">
              <w:rPr>
                <w:rFonts w:ascii="Arial" w:hAnsi="Arial" w:cs="Arial"/>
              </w:rPr>
              <w:t>%CD4+ or absolute CD4 cell count</w:t>
            </w:r>
            <w:r w:rsidRPr="0063082B">
              <w:rPr>
                <w:rFonts w:ascii="Arial" w:hAnsi="Arial" w:cs="Arial"/>
                <w:vertAlign w:val="superscript"/>
              </w:rPr>
              <w:t>b</w:t>
            </w:r>
          </w:p>
        </w:tc>
        <w:tc>
          <w:tcPr>
            <w:tcW w:w="1256" w:type="dxa"/>
          </w:tcPr>
          <w:p w:rsidR="0060461B" w:rsidRPr="0063082B" w:rsidRDefault="0060461B" w:rsidP="00BE5A5D">
            <w:pPr>
              <w:spacing w:before="120" w:after="120" w:line="240" w:lineRule="auto"/>
              <w:jc w:val="center"/>
              <w:rPr>
                <w:rFonts w:ascii="Arial" w:hAnsi="Arial" w:cs="Arial"/>
                <w:b/>
              </w:rPr>
            </w:pPr>
            <w:r w:rsidRPr="0063082B">
              <w:rPr>
                <w:rFonts w:ascii="Arial" w:hAnsi="Arial" w:cs="Arial"/>
                <w:b/>
              </w:rPr>
              <w:t>√</w:t>
            </w:r>
          </w:p>
        </w:tc>
        <w:tc>
          <w:tcPr>
            <w:tcW w:w="1257" w:type="dxa"/>
          </w:tcPr>
          <w:p w:rsidR="0060461B" w:rsidRPr="0063082B" w:rsidRDefault="0060461B" w:rsidP="00BE5A5D">
            <w:pPr>
              <w:spacing w:before="120" w:after="120" w:line="240" w:lineRule="auto"/>
              <w:jc w:val="center"/>
              <w:rPr>
                <w:rFonts w:ascii="Arial" w:hAnsi="Arial" w:cs="Arial"/>
                <w:b/>
              </w:rPr>
            </w:pPr>
            <w:r w:rsidRPr="0063082B">
              <w:rPr>
                <w:rFonts w:ascii="Arial" w:hAnsi="Arial" w:cs="Arial"/>
                <w:b/>
              </w:rPr>
              <w:t>√</w:t>
            </w:r>
          </w:p>
        </w:tc>
        <w:tc>
          <w:tcPr>
            <w:tcW w:w="1253" w:type="dxa"/>
          </w:tcPr>
          <w:p w:rsidR="0060461B" w:rsidRPr="0063082B" w:rsidRDefault="0060461B" w:rsidP="00BE5A5D">
            <w:pPr>
              <w:spacing w:before="120" w:after="120" w:line="240" w:lineRule="auto"/>
              <w:jc w:val="center"/>
              <w:rPr>
                <w:rFonts w:ascii="Arial" w:hAnsi="Arial" w:cs="Arial"/>
                <w:b/>
              </w:rPr>
            </w:pPr>
            <w:r w:rsidRPr="0063082B">
              <w:rPr>
                <w:rFonts w:ascii="Arial" w:hAnsi="Arial" w:cs="Arial"/>
                <w:b/>
              </w:rPr>
              <w:t>√</w:t>
            </w:r>
          </w:p>
        </w:tc>
        <w:tc>
          <w:tcPr>
            <w:tcW w:w="1268" w:type="dxa"/>
          </w:tcPr>
          <w:p w:rsidR="0060461B" w:rsidRPr="0063082B" w:rsidRDefault="0060461B" w:rsidP="00BE5A5D">
            <w:pPr>
              <w:spacing w:before="120" w:after="120" w:line="240" w:lineRule="auto"/>
              <w:rPr>
                <w:rFonts w:ascii="Arial" w:hAnsi="Arial" w:cs="Arial"/>
                <w:b/>
              </w:rPr>
            </w:pPr>
            <w:r w:rsidRPr="0063082B">
              <w:rPr>
                <w:rFonts w:ascii="Arial" w:hAnsi="Arial" w:cs="Arial"/>
                <w:b/>
              </w:rPr>
              <w:t>√</w:t>
            </w:r>
          </w:p>
        </w:tc>
      </w:tr>
      <w:tr w:rsidR="0060461B" w:rsidRPr="0063082B" w:rsidTr="00BE5A5D">
        <w:tc>
          <w:tcPr>
            <w:tcW w:w="4704" w:type="dxa"/>
            <w:shd w:val="clear" w:color="auto" w:fill="D9D9D9"/>
          </w:tcPr>
          <w:p w:rsidR="0060461B" w:rsidRPr="0063082B" w:rsidRDefault="0060461B" w:rsidP="00BE5A5D">
            <w:pPr>
              <w:spacing w:before="120" w:after="120" w:line="240" w:lineRule="auto"/>
              <w:rPr>
                <w:rFonts w:ascii="Arial" w:hAnsi="Arial" w:cs="Arial"/>
              </w:rPr>
            </w:pPr>
            <w:r w:rsidRPr="0063082B">
              <w:rPr>
                <w:rFonts w:ascii="Arial" w:hAnsi="Arial" w:cs="Arial"/>
              </w:rPr>
              <w:t>Pregnancy testing in adolescent girls</w:t>
            </w:r>
          </w:p>
        </w:tc>
        <w:tc>
          <w:tcPr>
            <w:tcW w:w="1256" w:type="dxa"/>
            <w:shd w:val="clear" w:color="auto" w:fill="D9D9D9"/>
          </w:tcPr>
          <w:p w:rsidR="0060461B" w:rsidRPr="0063082B" w:rsidRDefault="0060461B" w:rsidP="00BE5A5D">
            <w:pPr>
              <w:spacing w:before="120" w:after="120" w:line="240" w:lineRule="auto"/>
              <w:jc w:val="center"/>
              <w:rPr>
                <w:rFonts w:ascii="Arial" w:hAnsi="Arial" w:cs="Arial"/>
                <w:b/>
              </w:rPr>
            </w:pPr>
          </w:p>
        </w:tc>
        <w:tc>
          <w:tcPr>
            <w:tcW w:w="1257" w:type="dxa"/>
            <w:shd w:val="clear" w:color="auto" w:fill="D9D9D9"/>
          </w:tcPr>
          <w:p w:rsidR="0060461B" w:rsidRPr="0063082B" w:rsidRDefault="0060461B" w:rsidP="00BE5A5D">
            <w:pPr>
              <w:spacing w:before="120" w:after="120" w:line="240" w:lineRule="auto"/>
              <w:jc w:val="center"/>
              <w:rPr>
                <w:rFonts w:ascii="Arial" w:hAnsi="Arial" w:cs="Arial"/>
                <w:b/>
              </w:rPr>
            </w:pPr>
            <w:r w:rsidRPr="0063082B">
              <w:rPr>
                <w:rFonts w:ascii="Arial" w:hAnsi="Arial" w:cs="Arial"/>
                <w:b/>
              </w:rPr>
              <w:t>√</w:t>
            </w:r>
            <w:r w:rsidRPr="0063082B">
              <w:rPr>
                <w:rFonts w:ascii="Arial" w:hAnsi="Arial" w:cs="Arial"/>
                <w:b/>
                <w:vertAlign w:val="superscript"/>
              </w:rPr>
              <w:t>c</w:t>
            </w:r>
          </w:p>
        </w:tc>
        <w:tc>
          <w:tcPr>
            <w:tcW w:w="1253" w:type="dxa"/>
            <w:shd w:val="clear" w:color="auto" w:fill="D9D9D9"/>
          </w:tcPr>
          <w:p w:rsidR="0060461B" w:rsidRPr="0063082B" w:rsidRDefault="0060461B" w:rsidP="00BE5A5D">
            <w:pPr>
              <w:spacing w:before="120" w:after="120" w:line="240" w:lineRule="auto"/>
              <w:jc w:val="center"/>
              <w:rPr>
                <w:rFonts w:ascii="Arial" w:hAnsi="Arial" w:cs="Arial"/>
                <w:b/>
              </w:rPr>
            </w:pPr>
          </w:p>
        </w:tc>
        <w:tc>
          <w:tcPr>
            <w:tcW w:w="1268" w:type="dxa"/>
            <w:shd w:val="clear" w:color="auto" w:fill="D9D9D9"/>
          </w:tcPr>
          <w:p w:rsidR="0060461B" w:rsidRPr="0063082B" w:rsidRDefault="0060461B" w:rsidP="00BE5A5D">
            <w:pPr>
              <w:spacing w:before="120" w:after="120" w:line="240" w:lineRule="auto"/>
              <w:rPr>
                <w:rFonts w:ascii="Arial" w:hAnsi="Arial" w:cs="Arial"/>
                <w:b/>
              </w:rPr>
            </w:pPr>
            <w:r w:rsidRPr="0063082B">
              <w:rPr>
                <w:rFonts w:ascii="Arial" w:hAnsi="Arial" w:cs="Arial"/>
                <w:b/>
              </w:rPr>
              <w:t>√</w:t>
            </w:r>
            <w:r w:rsidRPr="0063082B">
              <w:rPr>
                <w:rFonts w:ascii="Arial" w:hAnsi="Arial" w:cs="Arial"/>
                <w:b/>
                <w:vertAlign w:val="superscript"/>
              </w:rPr>
              <w:t>d</w:t>
            </w:r>
          </w:p>
        </w:tc>
      </w:tr>
      <w:tr w:rsidR="0060461B" w:rsidRPr="0063082B" w:rsidTr="00BE5A5D">
        <w:tc>
          <w:tcPr>
            <w:tcW w:w="4704" w:type="dxa"/>
          </w:tcPr>
          <w:p w:rsidR="0060461B" w:rsidRPr="0063082B" w:rsidRDefault="0060461B" w:rsidP="00BE5A5D">
            <w:pPr>
              <w:spacing w:before="120" w:after="120" w:line="240" w:lineRule="auto"/>
              <w:rPr>
                <w:rFonts w:ascii="Arial" w:hAnsi="Arial" w:cs="Arial"/>
              </w:rPr>
            </w:pPr>
            <w:r w:rsidRPr="0063082B">
              <w:rPr>
                <w:rFonts w:ascii="Arial" w:hAnsi="Arial" w:cs="Arial"/>
              </w:rPr>
              <w:t>Full chemistry (including, but not restricted to, liver enzymes, renal function, glucose, lipids, amylase, lipase and serum electrolytes)</w:t>
            </w:r>
            <w:r w:rsidRPr="0063082B">
              <w:rPr>
                <w:rFonts w:ascii="Arial" w:hAnsi="Arial" w:cs="Arial"/>
                <w:vertAlign w:val="superscript"/>
              </w:rPr>
              <w:t>e</w:t>
            </w:r>
          </w:p>
        </w:tc>
        <w:tc>
          <w:tcPr>
            <w:tcW w:w="1256" w:type="dxa"/>
          </w:tcPr>
          <w:p w:rsidR="0060461B" w:rsidRPr="0063082B" w:rsidRDefault="0060461B" w:rsidP="00BE5A5D">
            <w:pPr>
              <w:spacing w:before="120" w:after="120" w:line="240" w:lineRule="auto"/>
              <w:jc w:val="center"/>
              <w:rPr>
                <w:rFonts w:ascii="Arial" w:hAnsi="Arial" w:cs="Arial"/>
                <w:b/>
              </w:rPr>
            </w:pPr>
          </w:p>
        </w:tc>
        <w:tc>
          <w:tcPr>
            <w:tcW w:w="1257" w:type="dxa"/>
          </w:tcPr>
          <w:p w:rsidR="0060461B" w:rsidRPr="0063082B" w:rsidRDefault="0060461B" w:rsidP="00BE5A5D">
            <w:pPr>
              <w:spacing w:before="120" w:after="120" w:line="240" w:lineRule="auto"/>
              <w:jc w:val="center"/>
              <w:rPr>
                <w:rFonts w:ascii="Arial" w:hAnsi="Arial" w:cs="Arial"/>
                <w:b/>
              </w:rPr>
            </w:pPr>
          </w:p>
        </w:tc>
        <w:tc>
          <w:tcPr>
            <w:tcW w:w="1253" w:type="dxa"/>
          </w:tcPr>
          <w:p w:rsidR="0060461B" w:rsidRPr="0063082B" w:rsidRDefault="0060461B" w:rsidP="00BE5A5D">
            <w:pPr>
              <w:spacing w:before="120" w:after="120" w:line="240" w:lineRule="auto"/>
              <w:jc w:val="center"/>
              <w:rPr>
                <w:rFonts w:ascii="Arial" w:hAnsi="Arial" w:cs="Arial"/>
                <w:b/>
              </w:rPr>
            </w:pPr>
          </w:p>
        </w:tc>
        <w:tc>
          <w:tcPr>
            <w:tcW w:w="1268" w:type="dxa"/>
          </w:tcPr>
          <w:p w:rsidR="0060461B" w:rsidRPr="0063082B" w:rsidRDefault="0060461B" w:rsidP="00BE5A5D">
            <w:pPr>
              <w:spacing w:before="120" w:after="120" w:line="240" w:lineRule="auto"/>
              <w:rPr>
                <w:rFonts w:ascii="Arial" w:hAnsi="Arial" w:cs="Arial"/>
                <w:b/>
              </w:rPr>
            </w:pPr>
            <w:r w:rsidRPr="0063082B">
              <w:rPr>
                <w:rFonts w:ascii="Arial" w:hAnsi="Arial" w:cs="Arial"/>
                <w:b/>
              </w:rPr>
              <w:t>√</w:t>
            </w:r>
          </w:p>
        </w:tc>
      </w:tr>
      <w:tr w:rsidR="0060461B" w:rsidRPr="0063082B" w:rsidTr="00BE5A5D">
        <w:tc>
          <w:tcPr>
            <w:tcW w:w="4704" w:type="dxa"/>
            <w:shd w:val="clear" w:color="auto" w:fill="D9D9D9"/>
          </w:tcPr>
          <w:p w:rsidR="0060461B" w:rsidRPr="0063082B" w:rsidRDefault="0060461B" w:rsidP="00BE5A5D">
            <w:pPr>
              <w:spacing w:before="120" w:after="120" w:line="240" w:lineRule="auto"/>
              <w:rPr>
                <w:rFonts w:ascii="Arial" w:hAnsi="Arial" w:cs="Arial"/>
              </w:rPr>
            </w:pPr>
            <w:r w:rsidRPr="0063082B">
              <w:rPr>
                <w:rFonts w:ascii="Arial" w:hAnsi="Arial" w:cs="Arial"/>
              </w:rPr>
              <w:t xml:space="preserve">HIV VL measurement </w:t>
            </w:r>
            <w:r w:rsidRPr="0063082B">
              <w:rPr>
                <w:rFonts w:ascii="Arial" w:hAnsi="Arial" w:cs="Arial"/>
                <w:vertAlign w:val="superscript"/>
              </w:rPr>
              <w:t>f,g</w:t>
            </w:r>
          </w:p>
        </w:tc>
        <w:tc>
          <w:tcPr>
            <w:tcW w:w="1256" w:type="dxa"/>
            <w:shd w:val="clear" w:color="auto" w:fill="D9D9D9"/>
          </w:tcPr>
          <w:p w:rsidR="0060461B" w:rsidRPr="0063082B" w:rsidRDefault="0060461B" w:rsidP="00BE5A5D">
            <w:pPr>
              <w:spacing w:before="120" w:after="120" w:line="240" w:lineRule="auto"/>
              <w:jc w:val="center"/>
              <w:rPr>
                <w:rFonts w:ascii="Arial" w:hAnsi="Arial" w:cs="Arial"/>
                <w:b/>
              </w:rPr>
            </w:pPr>
          </w:p>
        </w:tc>
        <w:tc>
          <w:tcPr>
            <w:tcW w:w="1257" w:type="dxa"/>
            <w:shd w:val="clear" w:color="auto" w:fill="D9D9D9"/>
          </w:tcPr>
          <w:p w:rsidR="0060461B" w:rsidRPr="0063082B" w:rsidRDefault="0060461B" w:rsidP="00BE5A5D">
            <w:pPr>
              <w:spacing w:before="120" w:after="120" w:line="240" w:lineRule="auto"/>
              <w:jc w:val="center"/>
              <w:rPr>
                <w:rFonts w:ascii="Arial" w:hAnsi="Arial" w:cs="Arial"/>
                <w:b/>
              </w:rPr>
            </w:pPr>
          </w:p>
        </w:tc>
        <w:tc>
          <w:tcPr>
            <w:tcW w:w="1253" w:type="dxa"/>
            <w:shd w:val="clear" w:color="auto" w:fill="D9D9D9"/>
          </w:tcPr>
          <w:p w:rsidR="0060461B" w:rsidRPr="0063082B" w:rsidRDefault="0060461B" w:rsidP="00BE5A5D">
            <w:pPr>
              <w:spacing w:before="120" w:after="120" w:line="240" w:lineRule="auto"/>
              <w:jc w:val="center"/>
              <w:rPr>
                <w:rFonts w:ascii="Arial" w:hAnsi="Arial" w:cs="Arial"/>
                <w:b/>
              </w:rPr>
            </w:pPr>
          </w:p>
        </w:tc>
        <w:tc>
          <w:tcPr>
            <w:tcW w:w="1268" w:type="dxa"/>
            <w:shd w:val="clear" w:color="auto" w:fill="D9D9D9"/>
          </w:tcPr>
          <w:p w:rsidR="0060461B" w:rsidRPr="0063082B" w:rsidRDefault="0060461B" w:rsidP="00BE5A5D">
            <w:pPr>
              <w:spacing w:before="120" w:after="120" w:line="240" w:lineRule="auto"/>
              <w:rPr>
                <w:rFonts w:ascii="Arial" w:hAnsi="Arial" w:cs="Arial"/>
                <w:b/>
              </w:rPr>
            </w:pPr>
            <w:r w:rsidRPr="0063082B">
              <w:rPr>
                <w:rFonts w:ascii="Arial" w:hAnsi="Arial" w:cs="Arial"/>
                <w:b/>
              </w:rPr>
              <w:t>√</w:t>
            </w:r>
          </w:p>
        </w:tc>
      </w:tr>
      <w:tr w:rsidR="0060461B" w:rsidRPr="0063082B" w:rsidTr="00BE5A5D">
        <w:tc>
          <w:tcPr>
            <w:tcW w:w="4704" w:type="dxa"/>
            <w:shd w:val="clear" w:color="auto" w:fill="auto"/>
          </w:tcPr>
          <w:p w:rsidR="0060461B" w:rsidRPr="0063082B" w:rsidRDefault="0060461B" w:rsidP="00BE5A5D">
            <w:pPr>
              <w:spacing w:before="120" w:after="120" w:line="240" w:lineRule="auto"/>
              <w:rPr>
                <w:rFonts w:ascii="Arial" w:hAnsi="Arial" w:cs="Arial"/>
              </w:rPr>
            </w:pPr>
            <w:r w:rsidRPr="0063082B">
              <w:rPr>
                <w:rFonts w:ascii="Arial" w:hAnsi="Arial" w:cs="Arial"/>
              </w:rPr>
              <w:t>OI screening (where possible)</w:t>
            </w:r>
          </w:p>
        </w:tc>
        <w:tc>
          <w:tcPr>
            <w:tcW w:w="1256" w:type="dxa"/>
            <w:shd w:val="clear" w:color="auto" w:fill="auto"/>
          </w:tcPr>
          <w:p w:rsidR="0060461B" w:rsidRPr="0063082B" w:rsidRDefault="0060461B" w:rsidP="00BE5A5D">
            <w:pPr>
              <w:spacing w:before="120" w:after="120" w:line="240" w:lineRule="auto"/>
              <w:jc w:val="center"/>
              <w:rPr>
                <w:rFonts w:ascii="Arial" w:hAnsi="Arial" w:cs="Arial"/>
                <w:b/>
              </w:rPr>
            </w:pPr>
            <w:r w:rsidRPr="0063082B">
              <w:rPr>
                <w:rFonts w:ascii="Arial" w:hAnsi="Arial" w:cs="Arial"/>
                <w:b/>
              </w:rPr>
              <w:t>√</w:t>
            </w:r>
          </w:p>
        </w:tc>
        <w:tc>
          <w:tcPr>
            <w:tcW w:w="1257" w:type="dxa"/>
            <w:shd w:val="clear" w:color="auto" w:fill="auto"/>
          </w:tcPr>
          <w:p w:rsidR="0060461B" w:rsidRPr="0063082B" w:rsidRDefault="0060461B" w:rsidP="00BE5A5D">
            <w:pPr>
              <w:jc w:val="center"/>
            </w:pPr>
            <w:r w:rsidRPr="0063082B">
              <w:rPr>
                <w:rFonts w:ascii="Arial" w:hAnsi="Arial" w:cs="Arial"/>
                <w:b/>
              </w:rPr>
              <w:t>√</w:t>
            </w:r>
          </w:p>
        </w:tc>
        <w:tc>
          <w:tcPr>
            <w:tcW w:w="1253" w:type="dxa"/>
            <w:shd w:val="clear" w:color="auto" w:fill="auto"/>
          </w:tcPr>
          <w:p w:rsidR="0060461B" w:rsidRPr="0063082B" w:rsidRDefault="0060461B" w:rsidP="00BE5A5D">
            <w:pPr>
              <w:jc w:val="center"/>
            </w:pPr>
            <w:r w:rsidRPr="0063082B">
              <w:rPr>
                <w:rFonts w:ascii="Arial" w:hAnsi="Arial" w:cs="Arial"/>
                <w:b/>
              </w:rPr>
              <w:t>√</w:t>
            </w:r>
          </w:p>
        </w:tc>
        <w:tc>
          <w:tcPr>
            <w:tcW w:w="1268" w:type="dxa"/>
            <w:shd w:val="clear" w:color="auto" w:fill="auto"/>
          </w:tcPr>
          <w:p w:rsidR="0060461B" w:rsidRPr="0063082B" w:rsidRDefault="0060461B" w:rsidP="00BE5A5D">
            <w:pPr>
              <w:spacing w:before="120" w:after="120" w:line="240" w:lineRule="auto"/>
              <w:jc w:val="center"/>
              <w:rPr>
                <w:rFonts w:ascii="Arial" w:hAnsi="Arial" w:cs="Arial"/>
                <w:b/>
              </w:rPr>
            </w:pPr>
            <w:r w:rsidRPr="0063082B">
              <w:rPr>
                <w:rFonts w:ascii="Arial" w:hAnsi="Arial" w:cs="Arial"/>
                <w:b/>
              </w:rPr>
              <w:t>√</w:t>
            </w:r>
          </w:p>
        </w:tc>
      </w:tr>
      <w:tr w:rsidR="0060461B" w:rsidRPr="0063082B" w:rsidTr="00BE5A5D">
        <w:tc>
          <w:tcPr>
            <w:tcW w:w="9738" w:type="dxa"/>
            <w:gridSpan w:val="5"/>
            <w:shd w:val="clear" w:color="auto" w:fill="auto"/>
          </w:tcPr>
          <w:p w:rsidR="0060461B" w:rsidRPr="0063082B" w:rsidRDefault="0060461B" w:rsidP="00BE5A5D">
            <w:pPr>
              <w:spacing w:before="120" w:after="120" w:line="240" w:lineRule="auto"/>
              <w:rPr>
                <w:rFonts w:ascii="Arial" w:hAnsi="Arial" w:cs="Arial"/>
              </w:rPr>
            </w:pPr>
            <w:r w:rsidRPr="0063082B">
              <w:rPr>
                <w:rFonts w:ascii="Arial" w:hAnsi="Arial" w:cs="Arial"/>
                <w:vertAlign w:val="superscript"/>
              </w:rPr>
              <w:t xml:space="preserve">a </w:t>
            </w:r>
            <w:r w:rsidRPr="0063082B">
              <w:rPr>
                <w:rFonts w:ascii="Arial" w:hAnsi="Arial" w:cs="Arial"/>
              </w:rPr>
              <w:t xml:space="preserve">  Haemoglobin monitoring at week 8 after initiation of ART is recommended if AZT is used.</w:t>
            </w:r>
          </w:p>
          <w:p w:rsidR="0060461B" w:rsidRPr="0063082B" w:rsidRDefault="0060461B" w:rsidP="00BE5A5D">
            <w:pPr>
              <w:spacing w:before="120" w:after="120" w:line="240" w:lineRule="auto"/>
              <w:rPr>
                <w:rFonts w:ascii="Arial" w:hAnsi="Arial" w:cs="Arial"/>
              </w:rPr>
            </w:pPr>
            <w:r w:rsidRPr="0063082B">
              <w:rPr>
                <w:rFonts w:ascii="Arial" w:hAnsi="Arial" w:cs="Arial"/>
                <w:vertAlign w:val="superscript"/>
              </w:rPr>
              <w:t>b</w:t>
            </w:r>
            <w:r w:rsidRPr="0063082B">
              <w:rPr>
                <w:rFonts w:ascii="Arial" w:hAnsi="Arial" w:cs="Arial"/>
              </w:rPr>
              <w:t xml:space="preserve">  HIV-infected children not yet eligible for ART should be monitored with CD4 count every six months. For infants and children who develop new or recurrent WHO stage 2 or 3 events, or whose CD4 count approaches threshold value, the frequency of CD4 measurement can be increased. CD4+ is preferred in children &lt;5 years of age.</w:t>
            </w:r>
          </w:p>
          <w:p w:rsidR="0060461B" w:rsidRPr="0063082B" w:rsidRDefault="0060461B" w:rsidP="00BE5A5D">
            <w:pPr>
              <w:spacing w:before="120" w:after="120" w:line="240" w:lineRule="auto"/>
              <w:rPr>
                <w:rFonts w:ascii="Arial" w:hAnsi="Arial" w:cs="Arial"/>
              </w:rPr>
            </w:pPr>
            <w:r w:rsidRPr="0063082B">
              <w:rPr>
                <w:rFonts w:ascii="Arial" w:hAnsi="Arial" w:cs="Arial"/>
                <w:vertAlign w:val="superscript"/>
              </w:rPr>
              <w:t>c</w:t>
            </w:r>
            <w:r w:rsidRPr="0063082B">
              <w:rPr>
                <w:rFonts w:ascii="Arial" w:hAnsi="Arial" w:cs="Arial"/>
              </w:rPr>
              <w:t xml:space="preserve"> Pregnancy testing may be needed for adolescent girls prior to initiating a regimen containing EFV.</w:t>
            </w:r>
          </w:p>
          <w:p w:rsidR="0060461B" w:rsidRPr="0063082B" w:rsidRDefault="0060461B" w:rsidP="00BE5A5D">
            <w:pPr>
              <w:spacing w:before="120" w:after="120" w:line="240" w:lineRule="auto"/>
              <w:rPr>
                <w:rFonts w:ascii="Arial" w:hAnsi="Arial" w:cs="Arial"/>
              </w:rPr>
            </w:pPr>
            <w:r w:rsidRPr="0063082B">
              <w:rPr>
                <w:rFonts w:ascii="Arial" w:hAnsi="Arial" w:cs="Arial"/>
                <w:vertAlign w:val="superscript"/>
              </w:rPr>
              <w:t>d</w:t>
            </w:r>
            <w:r w:rsidRPr="0063082B">
              <w:rPr>
                <w:rFonts w:ascii="Arial" w:hAnsi="Arial" w:cs="Arial"/>
              </w:rPr>
              <w:t xml:space="preserve"> Pregnant adolescents are eligible for ART regardless of CD4 count or WHO staging. </w:t>
            </w:r>
          </w:p>
          <w:p w:rsidR="0060461B" w:rsidRPr="0063082B" w:rsidRDefault="0060461B" w:rsidP="00BE5A5D">
            <w:pPr>
              <w:spacing w:before="120" w:after="120" w:line="240" w:lineRule="auto"/>
              <w:rPr>
                <w:rFonts w:ascii="Arial" w:hAnsi="Arial" w:cs="Arial"/>
              </w:rPr>
            </w:pPr>
            <w:r w:rsidRPr="0063082B">
              <w:rPr>
                <w:rFonts w:ascii="Arial" w:hAnsi="Arial" w:cs="Arial"/>
                <w:vertAlign w:val="superscript"/>
              </w:rPr>
              <w:t>e</w:t>
            </w:r>
            <w:r w:rsidRPr="0063082B">
              <w:rPr>
                <w:rFonts w:ascii="Arial" w:hAnsi="Arial" w:cs="Arial"/>
              </w:rPr>
              <w:t xml:space="preserve"> Routine monitoring (every six months) of full chemistry, particularly lipid levels, liver enzymes and renal functions, should be considered for infants and children on second-line drugs.</w:t>
            </w:r>
          </w:p>
          <w:p w:rsidR="0060461B" w:rsidRPr="0063082B" w:rsidRDefault="0060461B" w:rsidP="00BE5A5D">
            <w:pPr>
              <w:spacing w:before="120" w:after="120" w:line="240" w:lineRule="auto"/>
              <w:rPr>
                <w:rFonts w:ascii="Arial" w:hAnsi="Arial" w:cs="Arial"/>
              </w:rPr>
            </w:pPr>
            <w:r w:rsidRPr="0063082B">
              <w:rPr>
                <w:rFonts w:ascii="Arial" w:hAnsi="Arial" w:cs="Arial"/>
                <w:vertAlign w:val="superscript"/>
              </w:rPr>
              <w:t>f</w:t>
            </w:r>
            <w:r w:rsidRPr="0063082B">
              <w:rPr>
                <w:rFonts w:ascii="Arial" w:hAnsi="Arial" w:cs="Arial"/>
              </w:rPr>
              <w:t xml:space="preserve"> If available, VL can be used to diagnose HIV infection, and to confirm clinical or immunological failure prior to switching treatment regimen.</w:t>
            </w:r>
          </w:p>
          <w:p w:rsidR="0060461B" w:rsidRPr="0063082B" w:rsidRDefault="0060461B" w:rsidP="00BE5A5D">
            <w:pPr>
              <w:spacing w:before="120" w:after="120" w:line="240" w:lineRule="auto"/>
              <w:rPr>
                <w:rFonts w:ascii="Arial" w:hAnsi="Arial" w:cs="Arial"/>
              </w:rPr>
            </w:pPr>
            <w:r w:rsidRPr="0063082B">
              <w:rPr>
                <w:rFonts w:ascii="Arial" w:hAnsi="Arial" w:cs="Arial"/>
                <w:vertAlign w:val="superscript"/>
              </w:rPr>
              <w:t>g</w:t>
            </w:r>
            <w:r w:rsidRPr="0063082B">
              <w:rPr>
                <w:rFonts w:ascii="Arial" w:hAnsi="Arial" w:cs="Arial"/>
              </w:rPr>
              <w:t xml:space="preserve"> If available, VL should be assessed in infants on NNRTI-based regimens who are known to have been exposed to NNRTIs intrapartum or through breastfeeding. </w:t>
            </w:r>
          </w:p>
          <w:p w:rsidR="0060461B" w:rsidRPr="0063082B" w:rsidRDefault="0060461B" w:rsidP="00BE5A5D">
            <w:pPr>
              <w:spacing w:before="120" w:after="120" w:line="240" w:lineRule="auto"/>
              <w:rPr>
                <w:rFonts w:ascii="Arial" w:hAnsi="Arial" w:cs="Arial"/>
              </w:rPr>
            </w:pPr>
          </w:p>
        </w:tc>
      </w:tr>
    </w:tbl>
    <w:p w:rsidR="0060461B" w:rsidRPr="00B97180" w:rsidRDefault="0060461B" w:rsidP="00BE5A5D">
      <w:pPr>
        <w:pStyle w:val="Heading3"/>
        <w:rPr>
          <w:highlight w:val="yellow"/>
        </w:rPr>
      </w:pPr>
      <w:bookmarkStart w:id="764" w:name="_Toc185658477"/>
      <w:bookmarkStart w:id="765" w:name="_Toc185673313"/>
      <w:bookmarkStart w:id="766" w:name="_Toc185673491"/>
      <w:bookmarkStart w:id="767" w:name="_Toc185677830"/>
      <w:bookmarkStart w:id="768" w:name="_Toc185678214"/>
      <w:bookmarkStart w:id="769" w:name="_Toc185736186"/>
      <w:bookmarkStart w:id="770" w:name="_Toc374515304"/>
      <w:bookmarkStart w:id="771" w:name="_Toc378258235"/>
      <w:bookmarkStart w:id="772" w:name="_Toc381351651"/>
      <w:r w:rsidRPr="00B97180">
        <w:t>9.9.5 Clinical Assessment of Infants and Children Receiving ARV Therapy</w:t>
      </w:r>
      <w:bookmarkEnd w:id="764"/>
      <w:bookmarkEnd w:id="765"/>
      <w:bookmarkEnd w:id="766"/>
      <w:bookmarkEnd w:id="767"/>
      <w:bookmarkEnd w:id="768"/>
      <w:bookmarkEnd w:id="769"/>
      <w:bookmarkEnd w:id="770"/>
      <w:bookmarkEnd w:id="771"/>
      <w:bookmarkEnd w:id="772"/>
    </w:p>
    <w:p w:rsidR="0060461B" w:rsidRPr="0063082B" w:rsidRDefault="0060461B" w:rsidP="00BE5A5D">
      <w:pPr>
        <w:spacing w:before="120" w:after="120" w:line="240" w:lineRule="auto"/>
        <w:jc w:val="both"/>
        <w:rPr>
          <w:rFonts w:ascii="Arial" w:hAnsi="Arial" w:cs="Arial"/>
        </w:rPr>
      </w:pPr>
      <w:r w:rsidRPr="0063082B">
        <w:rPr>
          <w:rFonts w:ascii="Arial" w:hAnsi="Arial" w:cs="Arial"/>
        </w:rPr>
        <w:t>Important clinical signs of response to ARV therapy in children include improvement in growth and development and decreased frequency of infections (bacterial infections, oral thrush, and/or other opportunistic infections).  Clinical monitoring of ARV treatment in children should include:</w:t>
      </w:r>
    </w:p>
    <w:p w:rsidR="0060461B" w:rsidRPr="0063082B" w:rsidRDefault="0060461B" w:rsidP="00274941">
      <w:pPr>
        <w:pStyle w:val="ListParagraph"/>
        <w:numPr>
          <w:ilvl w:val="0"/>
          <w:numId w:val="80"/>
        </w:numPr>
        <w:contextualSpacing w:val="0"/>
        <w:jc w:val="both"/>
        <w:rPr>
          <w:rFonts w:ascii="Arial" w:hAnsi="Arial" w:cs="Arial"/>
          <w:sz w:val="22"/>
          <w:szCs w:val="22"/>
        </w:rPr>
      </w:pPr>
      <w:r w:rsidRPr="0063082B">
        <w:rPr>
          <w:rFonts w:ascii="Arial" w:hAnsi="Arial" w:cs="Arial"/>
          <w:sz w:val="22"/>
          <w:szCs w:val="22"/>
        </w:rPr>
        <w:t xml:space="preserve">Feeding practice and nutritional status </w:t>
      </w:r>
    </w:p>
    <w:p w:rsidR="0060461B" w:rsidRPr="0063082B" w:rsidRDefault="0060461B" w:rsidP="00274941">
      <w:pPr>
        <w:pStyle w:val="ListParagraph"/>
        <w:numPr>
          <w:ilvl w:val="0"/>
          <w:numId w:val="80"/>
        </w:numPr>
        <w:contextualSpacing w:val="0"/>
        <w:jc w:val="both"/>
        <w:rPr>
          <w:rFonts w:ascii="Arial" w:hAnsi="Arial" w:cs="Arial"/>
          <w:sz w:val="22"/>
          <w:szCs w:val="22"/>
        </w:rPr>
      </w:pPr>
      <w:r w:rsidRPr="0063082B">
        <w:rPr>
          <w:rFonts w:ascii="Arial" w:hAnsi="Arial" w:cs="Arial"/>
          <w:sz w:val="22"/>
          <w:szCs w:val="22"/>
        </w:rPr>
        <w:t>Growth monitoring: weight, height, MUAC (mid-upper arm circumference)</w:t>
      </w:r>
    </w:p>
    <w:p w:rsidR="0060461B" w:rsidRPr="0063082B" w:rsidRDefault="0060461B" w:rsidP="00274941">
      <w:pPr>
        <w:pStyle w:val="ListParagraph"/>
        <w:numPr>
          <w:ilvl w:val="0"/>
          <w:numId w:val="80"/>
        </w:numPr>
        <w:contextualSpacing w:val="0"/>
        <w:jc w:val="both"/>
        <w:rPr>
          <w:rFonts w:ascii="Arial" w:hAnsi="Arial" w:cs="Arial"/>
          <w:sz w:val="22"/>
          <w:szCs w:val="22"/>
        </w:rPr>
      </w:pPr>
      <w:r w:rsidRPr="0063082B">
        <w:rPr>
          <w:rFonts w:ascii="Arial" w:hAnsi="Arial" w:cs="Arial"/>
          <w:sz w:val="22"/>
          <w:szCs w:val="22"/>
        </w:rPr>
        <w:t>Head circumference should be monitored in  children under 3 years old.</w:t>
      </w:r>
    </w:p>
    <w:p w:rsidR="0060461B" w:rsidRPr="0063082B" w:rsidRDefault="0060461B" w:rsidP="00274941">
      <w:pPr>
        <w:pStyle w:val="ListParagraph"/>
        <w:numPr>
          <w:ilvl w:val="0"/>
          <w:numId w:val="80"/>
        </w:numPr>
        <w:contextualSpacing w:val="0"/>
        <w:jc w:val="both"/>
        <w:rPr>
          <w:rFonts w:ascii="Arial" w:hAnsi="Arial" w:cs="Arial"/>
          <w:sz w:val="22"/>
          <w:szCs w:val="22"/>
        </w:rPr>
      </w:pPr>
      <w:r w:rsidRPr="0063082B">
        <w:rPr>
          <w:rFonts w:ascii="Arial" w:hAnsi="Arial" w:cs="Arial"/>
          <w:sz w:val="22"/>
          <w:szCs w:val="22"/>
        </w:rPr>
        <w:t>Neurologic symptoms and developmental milestones</w:t>
      </w:r>
    </w:p>
    <w:p w:rsidR="0060461B" w:rsidRPr="0063082B" w:rsidRDefault="0060461B" w:rsidP="00274941">
      <w:pPr>
        <w:pStyle w:val="ListParagraph"/>
        <w:numPr>
          <w:ilvl w:val="0"/>
          <w:numId w:val="80"/>
        </w:numPr>
        <w:contextualSpacing w:val="0"/>
        <w:jc w:val="both"/>
        <w:rPr>
          <w:rFonts w:ascii="Arial" w:hAnsi="Arial" w:cs="Arial"/>
          <w:sz w:val="22"/>
          <w:szCs w:val="22"/>
        </w:rPr>
      </w:pPr>
      <w:r w:rsidRPr="0063082B">
        <w:rPr>
          <w:rFonts w:ascii="Arial" w:hAnsi="Arial" w:cs="Arial"/>
          <w:sz w:val="22"/>
          <w:szCs w:val="22"/>
        </w:rPr>
        <w:t>Cotrimoxazole prophylaxis taken daily</w:t>
      </w:r>
    </w:p>
    <w:p w:rsidR="0060461B" w:rsidRPr="0063082B" w:rsidRDefault="0060461B" w:rsidP="00274941">
      <w:pPr>
        <w:pStyle w:val="ListParagraph"/>
        <w:numPr>
          <w:ilvl w:val="0"/>
          <w:numId w:val="80"/>
        </w:numPr>
        <w:contextualSpacing w:val="0"/>
        <w:jc w:val="both"/>
        <w:rPr>
          <w:rFonts w:ascii="Arial" w:hAnsi="Arial" w:cs="Arial"/>
          <w:sz w:val="22"/>
          <w:szCs w:val="22"/>
        </w:rPr>
      </w:pPr>
      <w:r w:rsidRPr="0063082B">
        <w:rPr>
          <w:rFonts w:ascii="Arial" w:hAnsi="Arial" w:cs="Arial"/>
          <w:sz w:val="22"/>
          <w:szCs w:val="22"/>
        </w:rPr>
        <w:t>Clinical staging</w:t>
      </w:r>
    </w:p>
    <w:p w:rsidR="0060461B" w:rsidRPr="0063082B" w:rsidRDefault="0060461B" w:rsidP="00274941">
      <w:pPr>
        <w:pStyle w:val="ListParagraph"/>
        <w:numPr>
          <w:ilvl w:val="0"/>
          <w:numId w:val="80"/>
        </w:numPr>
        <w:contextualSpacing w:val="0"/>
        <w:jc w:val="both"/>
        <w:rPr>
          <w:rFonts w:ascii="Arial" w:hAnsi="Arial" w:cs="Arial"/>
          <w:sz w:val="22"/>
          <w:szCs w:val="22"/>
        </w:rPr>
      </w:pPr>
      <w:r w:rsidRPr="0063082B">
        <w:rPr>
          <w:rFonts w:ascii="Arial" w:hAnsi="Arial" w:cs="Arial"/>
          <w:sz w:val="22"/>
          <w:szCs w:val="22"/>
        </w:rPr>
        <w:t>Immunization status</w:t>
      </w:r>
    </w:p>
    <w:p w:rsidR="0060461B" w:rsidRPr="0063082B" w:rsidRDefault="0060461B" w:rsidP="00274941">
      <w:pPr>
        <w:pStyle w:val="ListParagraph"/>
        <w:numPr>
          <w:ilvl w:val="0"/>
          <w:numId w:val="80"/>
        </w:numPr>
        <w:contextualSpacing w:val="0"/>
        <w:jc w:val="both"/>
        <w:rPr>
          <w:rFonts w:ascii="Arial" w:hAnsi="Arial" w:cs="Arial"/>
          <w:sz w:val="22"/>
          <w:szCs w:val="22"/>
        </w:rPr>
      </w:pPr>
      <w:r w:rsidRPr="0063082B">
        <w:rPr>
          <w:rFonts w:ascii="Arial" w:hAnsi="Arial" w:cs="Arial"/>
          <w:sz w:val="22"/>
          <w:szCs w:val="22"/>
        </w:rPr>
        <w:t>Other medical conditions</w:t>
      </w:r>
    </w:p>
    <w:p w:rsidR="0060461B" w:rsidRPr="0063082B" w:rsidRDefault="0060461B" w:rsidP="00274941">
      <w:pPr>
        <w:pStyle w:val="ListParagraph"/>
        <w:numPr>
          <w:ilvl w:val="0"/>
          <w:numId w:val="80"/>
        </w:numPr>
        <w:contextualSpacing w:val="0"/>
        <w:jc w:val="both"/>
        <w:rPr>
          <w:rFonts w:ascii="Arial" w:hAnsi="Arial" w:cs="Arial"/>
          <w:sz w:val="22"/>
          <w:szCs w:val="22"/>
        </w:rPr>
      </w:pPr>
      <w:r w:rsidRPr="0063082B">
        <w:rPr>
          <w:rFonts w:ascii="Arial" w:hAnsi="Arial" w:cs="Arial"/>
          <w:sz w:val="22"/>
          <w:szCs w:val="22"/>
        </w:rPr>
        <w:t>Screening for malaria and TB</w:t>
      </w:r>
    </w:p>
    <w:p w:rsidR="0060461B" w:rsidRPr="0063082B" w:rsidRDefault="0060461B" w:rsidP="00BE5A5D">
      <w:pPr>
        <w:spacing w:before="120" w:after="120" w:line="240" w:lineRule="auto"/>
        <w:rPr>
          <w:rFonts w:ascii="Arial" w:hAnsi="Arial" w:cs="Arial"/>
          <w:b/>
        </w:rPr>
      </w:pPr>
    </w:p>
    <w:p w:rsidR="0060461B" w:rsidRPr="00B97180" w:rsidRDefault="0060461B" w:rsidP="00BE5A5D">
      <w:pPr>
        <w:pStyle w:val="Heading3"/>
      </w:pPr>
      <w:bookmarkStart w:id="773" w:name="_Toc374515310"/>
      <w:bookmarkStart w:id="774" w:name="_Toc378258241"/>
      <w:bookmarkStart w:id="775" w:name="_Toc381351652"/>
      <w:r w:rsidRPr="00B97180">
        <w:t>9.9.6 Recommended Second-Line ARV Therapy for Infants and Children</w:t>
      </w:r>
      <w:bookmarkEnd w:id="773"/>
      <w:bookmarkEnd w:id="774"/>
      <w:bookmarkEnd w:id="775"/>
    </w:p>
    <w:p w:rsidR="0060461B" w:rsidRPr="00B97180" w:rsidRDefault="0060461B" w:rsidP="00274941">
      <w:pPr>
        <w:numPr>
          <w:ilvl w:val="0"/>
          <w:numId w:val="83"/>
        </w:numPr>
        <w:spacing w:after="0" w:line="240" w:lineRule="auto"/>
        <w:rPr>
          <w:rFonts w:ascii="Arial" w:hAnsi="Arial" w:cs="Arial"/>
          <w:b/>
        </w:rPr>
      </w:pPr>
      <w:r w:rsidRPr="00B97180">
        <w:rPr>
          <w:rFonts w:ascii="Arial" w:hAnsi="Arial" w:cs="Arial"/>
        </w:rPr>
        <w:t>After failure of a first-line NRTI-based regimen, a boosted PI plus two NRTIs are recommended for second line ART; LPV/r is the preferred boosted PI</w:t>
      </w:r>
      <w:r>
        <w:rPr>
          <w:rFonts w:ascii="Arial" w:hAnsi="Arial" w:cs="Arial"/>
        </w:rPr>
        <w:t>.</w:t>
      </w:r>
    </w:p>
    <w:p w:rsidR="0060461B" w:rsidRPr="000815A7" w:rsidRDefault="0060461B" w:rsidP="00274941">
      <w:pPr>
        <w:numPr>
          <w:ilvl w:val="0"/>
          <w:numId w:val="83"/>
        </w:numPr>
        <w:spacing w:after="0" w:line="240" w:lineRule="auto"/>
        <w:rPr>
          <w:rFonts w:ascii="Arial" w:hAnsi="Arial" w:cs="Arial"/>
          <w:b/>
        </w:rPr>
      </w:pPr>
      <w:r w:rsidRPr="000815A7">
        <w:rPr>
          <w:rFonts w:ascii="Arial" w:hAnsi="Arial" w:cs="Arial"/>
        </w:rPr>
        <w:t>After failure of a first line LPV/r-based regimen, children younger than 3 years should remain on their first line regimen, and measures to improve adherence should be undertaken.</w:t>
      </w:r>
    </w:p>
    <w:p w:rsidR="0060461B" w:rsidRPr="00B97180" w:rsidRDefault="0060461B" w:rsidP="00274941">
      <w:pPr>
        <w:numPr>
          <w:ilvl w:val="0"/>
          <w:numId w:val="83"/>
        </w:numPr>
        <w:spacing w:after="0" w:line="240" w:lineRule="auto"/>
        <w:rPr>
          <w:rFonts w:ascii="Arial" w:hAnsi="Arial" w:cs="Arial"/>
          <w:b/>
        </w:rPr>
      </w:pPr>
      <w:r w:rsidRPr="00B97180">
        <w:rPr>
          <w:rFonts w:ascii="Arial" w:hAnsi="Arial" w:cs="Arial"/>
        </w:rPr>
        <w:t>After failure of a first line LPV/r based regimen, children 3 years or older should switch to a second-line regimen containing an NNRTI plus two NRTIs; EFV is the preferred NNRTI</w:t>
      </w:r>
      <w:r>
        <w:rPr>
          <w:rFonts w:ascii="Arial" w:hAnsi="Arial" w:cs="Arial"/>
        </w:rPr>
        <w:t>.</w:t>
      </w:r>
    </w:p>
    <w:p w:rsidR="0060461B" w:rsidRPr="00B97180" w:rsidRDefault="0060461B" w:rsidP="00274941">
      <w:pPr>
        <w:numPr>
          <w:ilvl w:val="0"/>
          <w:numId w:val="83"/>
        </w:numPr>
        <w:spacing w:after="0" w:line="240" w:lineRule="auto"/>
        <w:rPr>
          <w:rFonts w:ascii="Arial" w:hAnsi="Arial" w:cs="Arial"/>
          <w:b/>
        </w:rPr>
      </w:pPr>
      <w:r w:rsidRPr="00B97180">
        <w:rPr>
          <w:rFonts w:ascii="Arial" w:hAnsi="Arial" w:cs="Arial"/>
        </w:rPr>
        <w:t>After failure of a first-line regimen of ABC or TDF + 3TC, the preferred NRTI backbone option for second line ART is AZT + 3TC</w:t>
      </w:r>
      <w:r>
        <w:rPr>
          <w:rFonts w:ascii="Arial" w:hAnsi="Arial" w:cs="Arial"/>
        </w:rPr>
        <w:t>.</w:t>
      </w:r>
    </w:p>
    <w:p w:rsidR="0060461B" w:rsidRPr="00B97180" w:rsidRDefault="0060461B" w:rsidP="00274941">
      <w:pPr>
        <w:numPr>
          <w:ilvl w:val="0"/>
          <w:numId w:val="83"/>
        </w:numPr>
        <w:spacing w:after="0" w:line="240" w:lineRule="auto"/>
        <w:rPr>
          <w:rFonts w:ascii="Arial" w:hAnsi="Arial" w:cs="Arial"/>
          <w:b/>
        </w:rPr>
      </w:pPr>
      <w:r w:rsidRPr="00B97180">
        <w:rPr>
          <w:rFonts w:ascii="Arial" w:hAnsi="Arial" w:cs="Arial"/>
        </w:rPr>
        <w:t>After failure of a first-line regimen containing AZT or d4T + 3TC, the preferred NRTI backbone option for second line ART is ABC or TDF + 3TC.</w:t>
      </w:r>
    </w:p>
    <w:p w:rsidR="0060461B" w:rsidRPr="0063082B" w:rsidRDefault="0060461B" w:rsidP="00BE5A5D">
      <w:pPr>
        <w:spacing w:before="120" w:after="120" w:line="240" w:lineRule="auto"/>
        <w:rPr>
          <w:rFonts w:ascii="Arial" w:hAnsi="Arial" w:cs="Arial"/>
        </w:rPr>
      </w:pPr>
    </w:p>
    <w:p w:rsidR="0060461B" w:rsidRPr="0063082B" w:rsidRDefault="0060461B" w:rsidP="00AA771C">
      <w:pPr>
        <w:autoSpaceDE w:val="0"/>
        <w:autoSpaceDN w:val="0"/>
        <w:adjustRightInd w:val="0"/>
        <w:spacing w:beforeLines="120" w:before="288" w:afterLines="120" w:after="288" w:line="240" w:lineRule="auto"/>
        <w:jc w:val="both"/>
        <w:rPr>
          <w:rFonts w:ascii="Arial" w:hAnsi="Arial" w:cs="Arial"/>
          <w:b/>
        </w:rPr>
        <w:sectPr w:rsidR="0060461B" w:rsidRPr="0063082B" w:rsidSect="00BE5A5D">
          <w:pgSz w:w="12240" w:h="15840"/>
          <w:pgMar w:top="1440" w:right="1440" w:bottom="1440" w:left="1440" w:header="720" w:footer="720" w:gutter="0"/>
          <w:cols w:space="720"/>
          <w:docGrid w:linePitch="360"/>
        </w:sect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8"/>
        <w:gridCol w:w="1620"/>
        <w:gridCol w:w="3060"/>
        <w:gridCol w:w="3330"/>
      </w:tblGrid>
      <w:tr w:rsidR="0060461B" w:rsidRPr="00B97180" w:rsidTr="00BE5A5D">
        <w:tc>
          <w:tcPr>
            <w:tcW w:w="10188" w:type="dxa"/>
            <w:gridSpan w:val="4"/>
            <w:tcBorders>
              <w:top w:val="nil"/>
              <w:left w:val="nil"/>
              <w:bottom w:val="single" w:sz="4" w:space="0" w:color="auto"/>
              <w:right w:val="nil"/>
            </w:tcBorders>
          </w:tcPr>
          <w:p w:rsidR="0060461B" w:rsidRPr="0083740B" w:rsidRDefault="0060461B" w:rsidP="00BE5A5D">
            <w:pPr>
              <w:rPr>
                <w:rFonts w:ascii="Arial" w:hAnsi="Arial" w:cs="Arial"/>
                <w:b/>
              </w:rPr>
            </w:pPr>
            <w:r w:rsidRPr="0083740B">
              <w:rPr>
                <w:rFonts w:ascii="Arial" w:hAnsi="Arial" w:cs="Arial"/>
                <w:b/>
              </w:rPr>
              <w:t>Table 9.12: Summary of recommended first- and second-line ART regimens in children &lt; 15 years</w:t>
            </w:r>
          </w:p>
        </w:tc>
      </w:tr>
      <w:tr w:rsidR="0060461B" w:rsidRPr="00B97180" w:rsidTr="00BE5A5D">
        <w:tc>
          <w:tcPr>
            <w:tcW w:w="2178" w:type="dxa"/>
            <w:tcBorders>
              <w:top w:val="single" w:sz="4" w:space="0" w:color="000000"/>
              <w:left w:val="single" w:sz="4" w:space="0" w:color="000000"/>
              <w:bottom w:val="single" w:sz="4" w:space="0" w:color="000000"/>
              <w:right w:val="single" w:sz="4" w:space="0" w:color="FFFFFF"/>
            </w:tcBorders>
            <w:shd w:val="clear" w:color="auto" w:fill="000000"/>
          </w:tcPr>
          <w:p w:rsidR="0060461B" w:rsidRPr="00B97180" w:rsidRDefault="0060461B" w:rsidP="00BE5A5D">
            <w:pPr>
              <w:rPr>
                <w:rFonts w:ascii="Arial" w:hAnsi="Arial" w:cs="Arial"/>
              </w:rPr>
            </w:pPr>
          </w:p>
        </w:tc>
        <w:tc>
          <w:tcPr>
            <w:tcW w:w="1620" w:type="dxa"/>
            <w:tcBorders>
              <w:top w:val="single" w:sz="4" w:space="0" w:color="000000"/>
              <w:left w:val="single" w:sz="4" w:space="0" w:color="FFFFFF"/>
              <w:bottom w:val="single" w:sz="4" w:space="0" w:color="000000"/>
              <w:right w:val="single" w:sz="4" w:space="0" w:color="FFFFFF"/>
            </w:tcBorders>
            <w:shd w:val="clear" w:color="auto" w:fill="000000"/>
          </w:tcPr>
          <w:p w:rsidR="0060461B" w:rsidRPr="00B97180" w:rsidRDefault="0060461B" w:rsidP="00BE5A5D">
            <w:pPr>
              <w:rPr>
                <w:rFonts w:ascii="Arial" w:hAnsi="Arial" w:cs="Arial"/>
              </w:rPr>
            </w:pPr>
            <w:r w:rsidRPr="00B97180">
              <w:rPr>
                <w:rFonts w:ascii="Arial" w:hAnsi="Arial" w:cs="Arial"/>
              </w:rPr>
              <w:t>Children</w:t>
            </w:r>
          </w:p>
        </w:tc>
        <w:tc>
          <w:tcPr>
            <w:tcW w:w="3060" w:type="dxa"/>
            <w:tcBorders>
              <w:top w:val="single" w:sz="4" w:space="0" w:color="000000"/>
              <w:left w:val="single" w:sz="4" w:space="0" w:color="FFFFFF"/>
              <w:bottom w:val="single" w:sz="4" w:space="0" w:color="000000"/>
              <w:right w:val="single" w:sz="4" w:space="0" w:color="FFFFFF"/>
            </w:tcBorders>
            <w:shd w:val="clear" w:color="auto" w:fill="000000"/>
          </w:tcPr>
          <w:p w:rsidR="0060461B" w:rsidRPr="00B97180" w:rsidRDefault="0060461B" w:rsidP="00BE5A5D">
            <w:pPr>
              <w:rPr>
                <w:rFonts w:ascii="Arial" w:hAnsi="Arial" w:cs="Arial"/>
              </w:rPr>
            </w:pPr>
            <w:r w:rsidRPr="00B97180">
              <w:rPr>
                <w:rFonts w:ascii="Arial" w:hAnsi="Arial" w:cs="Arial"/>
              </w:rPr>
              <w:t>First Line Regimen</w:t>
            </w:r>
          </w:p>
        </w:tc>
        <w:tc>
          <w:tcPr>
            <w:tcW w:w="3330" w:type="dxa"/>
            <w:tcBorders>
              <w:top w:val="single" w:sz="4" w:space="0" w:color="000000"/>
              <w:left w:val="single" w:sz="4" w:space="0" w:color="FFFFFF"/>
              <w:bottom w:val="single" w:sz="4" w:space="0" w:color="000000"/>
              <w:right w:val="single" w:sz="4" w:space="0" w:color="000000"/>
            </w:tcBorders>
            <w:shd w:val="clear" w:color="auto" w:fill="000000"/>
          </w:tcPr>
          <w:p w:rsidR="0060461B" w:rsidRPr="00B97180" w:rsidRDefault="0060461B" w:rsidP="00BE5A5D">
            <w:pPr>
              <w:rPr>
                <w:rFonts w:ascii="Arial" w:hAnsi="Arial" w:cs="Arial"/>
              </w:rPr>
            </w:pPr>
            <w:r w:rsidRPr="00B97180">
              <w:rPr>
                <w:rFonts w:ascii="Arial" w:hAnsi="Arial" w:cs="Arial"/>
              </w:rPr>
              <w:t>Second Line Regimen</w:t>
            </w:r>
          </w:p>
        </w:tc>
      </w:tr>
      <w:tr w:rsidR="0060461B" w:rsidRPr="00B97180" w:rsidTr="00BE5A5D">
        <w:trPr>
          <w:trHeight w:val="683"/>
        </w:trPr>
        <w:tc>
          <w:tcPr>
            <w:tcW w:w="2178" w:type="dxa"/>
            <w:vMerge w:val="restart"/>
            <w:tcBorders>
              <w:top w:val="single" w:sz="4" w:space="0" w:color="000000"/>
            </w:tcBorders>
            <w:shd w:val="clear" w:color="auto" w:fill="D9D9D9"/>
          </w:tcPr>
          <w:p w:rsidR="0060461B" w:rsidRPr="00B97180" w:rsidRDefault="0060461B" w:rsidP="00BE5A5D">
            <w:pPr>
              <w:rPr>
                <w:rFonts w:ascii="Arial" w:hAnsi="Arial" w:cs="Arial"/>
              </w:rPr>
            </w:pPr>
            <w:r w:rsidRPr="00B97180">
              <w:rPr>
                <w:rFonts w:ascii="Arial" w:hAnsi="Arial" w:cs="Arial"/>
              </w:rPr>
              <w:t>LPV/r – based first line regimen</w:t>
            </w:r>
          </w:p>
        </w:tc>
        <w:tc>
          <w:tcPr>
            <w:tcW w:w="1620" w:type="dxa"/>
            <w:vMerge w:val="restart"/>
            <w:tcBorders>
              <w:top w:val="single" w:sz="4" w:space="0" w:color="000000"/>
            </w:tcBorders>
            <w:shd w:val="clear" w:color="auto" w:fill="D9D9D9"/>
          </w:tcPr>
          <w:p w:rsidR="0060461B" w:rsidRPr="00B97180" w:rsidRDefault="0060461B" w:rsidP="00BE5A5D">
            <w:pPr>
              <w:rPr>
                <w:rFonts w:ascii="Arial" w:hAnsi="Arial" w:cs="Arial"/>
              </w:rPr>
            </w:pPr>
            <w:r w:rsidRPr="00B97180">
              <w:rPr>
                <w:rFonts w:ascii="Arial" w:hAnsi="Arial" w:cs="Arial"/>
              </w:rPr>
              <w:t>&lt;3 years</w:t>
            </w:r>
          </w:p>
        </w:tc>
        <w:tc>
          <w:tcPr>
            <w:tcW w:w="3060" w:type="dxa"/>
            <w:tcBorders>
              <w:top w:val="single" w:sz="4" w:space="0" w:color="000000"/>
            </w:tcBorders>
            <w:shd w:val="clear" w:color="auto" w:fill="D9D9D9"/>
          </w:tcPr>
          <w:p w:rsidR="0060461B" w:rsidRPr="00B97180" w:rsidRDefault="0060461B" w:rsidP="00BE5A5D">
            <w:pPr>
              <w:rPr>
                <w:rFonts w:ascii="Arial" w:hAnsi="Arial" w:cs="Arial"/>
              </w:rPr>
            </w:pPr>
            <w:r w:rsidRPr="00B97180">
              <w:rPr>
                <w:rFonts w:ascii="Arial" w:hAnsi="Arial" w:cs="Arial"/>
              </w:rPr>
              <w:t>ABC+3TC + LPV/r</w:t>
            </w:r>
          </w:p>
        </w:tc>
        <w:tc>
          <w:tcPr>
            <w:tcW w:w="3330" w:type="dxa"/>
            <w:vMerge w:val="restart"/>
            <w:tcBorders>
              <w:top w:val="single" w:sz="4" w:space="0" w:color="000000"/>
            </w:tcBorders>
            <w:shd w:val="clear" w:color="auto" w:fill="D9D9D9"/>
          </w:tcPr>
          <w:p w:rsidR="0060461B" w:rsidRPr="00B97180" w:rsidRDefault="0060461B" w:rsidP="00BE5A5D">
            <w:pPr>
              <w:rPr>
                <w:rFonts w:ascii="Arial" w:hAnsi="Arial" w:cs="Arial"/>
              </w:rPr>
            </w:pPr>
            <w:r w:rsidRPr="00B97180">
              <w:rPr>
                <w:rFonts w:ascii="Arial" w:hAnsi="Arial" w:cs="Arial"/>
              </w:rPr>
              <w:t>No change</w:t>
            </w:r>
            <w:r w:rsidRPr="00B97180">
              <w:rPr>
                <w:rFonts w:ascii="Arial" w:hAnsi="Arial" w:cs="Arial"/>
                <w:vertAlign w:val="superscript"/>
              </w:rPr>
              <w:t>a</w:t>
            </w:r>
          </w:p>
        </w:tc>
      </w:tr>
      <w:tr w:rsidR="0060461B" w:rsidRPr="00B97180" w:rsidTr="00BE5A5D">
        <w:trPr>
          <w:trHeight w:val="514"/>
        </w:trPr>
        <w:tc>
          <w:tcPr>
            <w:tcW w:w="2178" w:type="dxa"/>
            <w:vMerge/>
            <w:shd w:val="clear" w:color="auto" w:fill="D9D9D9"/>
          </w:tcPr>
          <w:p w:rsidR="0060461B" w:rsidRPr="00B97180" w:rsidRDefault="0060461B" w:rsidP="00BE5A5D">
            <w:pPr>
              <w:rPr>
                <w:rFonts w:ascii="Arial" w:hAnsi="Arial" w:cs="Arial"/>
              </w:rPr>
            </w:pPr>
          </w:p>
        </w:tc>
        <w:tc>
          <w:tcPr>
            <w:tcW w:w="1620" w:type="dxa"/>
            <w:vMerge/>
            <w:shd w:val="clear" w:color="auto" w:fill="D9D9D9"/>
          </w:tcPr>
          <w:p w:rsidR="0060461B" w:rsidRPr="00B97180" w:rsidRDefault="0060461B" w:rsidP="00BE5A5D">
            <w:pPr>
              <w:rPr>
                <w:rFonts w:ascii="Arial" w:hAnsi="Arial" w:cs="Arial"/>
              </w:rPr>
            </w:pPr>
          </w:p>
        </w:tc>
        <w:tc>
          <w:tcPr>
            <w:tcW w:w="3060" w:type="dxa"/>
            <w:shd w:val="clear" w:color="auto" w:fill="D9D9D9"/>
          </w:tcPr>
          <w:p w:rsidR="0060461B" w:rsidRPr="00B97180" w:rsidRDefault="0060461B" w:rsidP="00BE5A5D">
            <w:pPr>
              <w:rPr>
                <w:rFonts w:ascii="Arial" w:hAnsi="Arial" w:cs="Arial"/>
              </w:rPr>
            </w:pPr>
            <w:r w:rsidRPr="00B97180">
              <w:rPr>
                <w:rFonts w:ascii="Arial" w:hAnsi="Arial" w:cs="Arial"/>
              </w:rPr>
              <w:t>AZT +3TC+ LPV/r</w:t>
            </w:r>
          </w:p>
        </w:tc>
        <w:tc>
          <w:tcPr>
            <w:tcW w:w="3330" w:type="dxa"/>
            <w:vMerge/>
            <w:shd w:val="clear" w:color="auto" w:fill="D9D9D9"/>
          </w:tcPr>
          <w:p w:rsidR="0060461B" w:rsidRPr="00B97180" w:rsidRDefault="0060461B" w:rsidP="00BE5A5D">
            <w:pPr>
              <w:rPr>
                <w:rFonts w:ascii="Arial" w:hAnsi="Arial" w:cs="Arial"/>
              </w:rPr>
            </w:pPr>
          </w:p>
        </w:tc>
      </w:tr>
      <w:tr w:rsidR="0060461B" w:rsidRPr="00B97180" w:rsidTr="00BE5A5D">
        <w:trPr>
          <w:trHeight w:val="515"/>
        </w:trPr>
        <w:tc>
          <w:tcPr>
            <w:tcW w:w="2178" w:type="dxa"/>
            <w:vMerge/>
            <w:shd w:val="clear" w:color="auto" w:fill="D9D9D9"/>
          </w:tcPr>
          <w:p w:rsidR="0060461B" w:rsidRPr="00B97180" w:rsidRDefault="0060461B" w:rsidP="00BE5A5D">
            <w:pPr>
              <w:rPr>
                <w:rFonts w:ascii="Arial" w:hAnsi="Arial" w:cs="Arial"/>
              </w:rPr>
            </w:pPr>
          </w:p>
        </w:tc>
        <w:tc>
          <w:tcPr>
            <w:tcW w:w="1620" w:type="dxa"/>
            <w:vMerge w:val="restart"/>
            <w:shd w:val="clear" w:color="auto" w:fill="D9D9D9"/>
          </w:tcPr>
          <w:p w:rsidR="0060461B" w:rsidRPr="00B97180" w:rsidRDefault="0060461B" w:rsidP="00BE5A5D">
            <w:pPr>
              <w:rPr>
                <w:rFonts w:ascii="Arial" w:hAnsi="Arial" w:cs="Arial"/>
              </w:rPr>
            </w:pPr>
            <w:r w:rsidRPr="00B97180">
              <w:rPr>
                <w:rFonts w:ascii="Arial" w:hAnsi="Arial" w:cs="Arial"/>
              </w:rPr>
              <w:t xml:space="preserve">≥ 3 years </w:t>
            </w:r>
          </w:p>
        </w:tc>
        <w:tc>
          <w:tcPr>
            <w:tcW w:w="3060" w:type="dxa"/>
            <w:shd w:val="clear" w:color="auto" w:fill="D9D9D9"/>
          </w:tcPr>
          <w:p w:rsidR="0060461B" w:rsidRPr="00B97180" w:rsidRDefault="0060461B" w:rsidP="00BE5A5D">
            <w:pPr>
              <w:rPr>
                <w:rFonts w:ascii="Arial" w:hAnsi="Arial" w:cs="Arial"/>
              </w:rPr>
            </w:pPr>
            <w:r w:rsidRPr="00B97180">
              <w:rPr>
                <w:rFonts w:ascii="Arial" w:hAnsi="Arial" w:cs="Arial"/>
              </w:rPr>
              <w:t>ABC+3TC + LPV/r</w:t>
            </w:r>
          </w:p>
        </w:tc>
        <w:tc>
          <w:tcPr>
            <w:tcW w:w="3330" w:type="dxa"/>
            <w:shd w:val="clear" w:color="auto" w:fill="D9D9D9"/>
          </w:tcPr>
          <w:p w:rsidR="0060461B" w:rsidRPr="00B97180" w:rsidRDefault="0060461B" w:rsidP="00BE5A5D">
            <w:pPr>
              <w:rPr>
                <w:rFonts w:ascii="Arial" w:hAnsi="Arial" w:cs="Arial"/>
              </w:rPr>
            </w:pPr>
            <w:r w:rsidRPr="00B97180">
              <w:rPr>
                <w:rFonts w:ascii="Arial" w:hAnsi="Arial" w:cs="Arial"/>
              </w:rPr>
              <w:t>AZT + 3TC + EFV</w:t>
            </w:r>
          </w:p>
        </w:tc>
      </w:tr>
      <w:tr w:rsidR="0060461B" w:rsidRPr="00B97180" w:rsidTr="00BE5A5D">
        <w:trPr>
          <w:trHeight w:val="514"/>
        </w:trPr>
        <w:tc>
          <w:tcPr>
            <w:tcW w:w="2178" w:type="dxa"/>
            <w:vMerge/>
            <w:shd w:val="clear" w:color="auto" w:fill="D9D9D9"/>
          </w:tcPr>
          <w:p w:rsidR="0060461B" w:rsidRPr="00B97180" w:rsidRDefault="0060461B" w:rsidP="00BE5A5D">
            <w:pPr>
              <w:rPr>
                <w:rFonts w:ascii="Arial" w:hAnsi="Arial" w:cs="Arial"/>
              </w:rPr>
            </w:pPr>
          </w:p>
        </w:tc>
        <w:tc>
          <w:tcPr>
            <w:tcW w:w="1620" w:type="dxa"/>
            <w:vMerge/>
            <w:shd w:val="clear" w:color="auto" w:fill="D9D9D9"/>
          </w:tcPr>
          <w:p w:rsidR="0060461B" w:rsidRPr="00B97180" w:rsidRDefault="0060461B" w:rsidP="00BE5A5D">
            <w:pPr>
              <w:rPr>
                <w:rFonts w:ascii="Arial" w:hAnsi="Arial" w:cs="Arial"/>
              </w:rPr>
            </w:pPr>
          </w:p>
        </w:tc>
        <w:tc>
          <w:tcPr>
            <w:tcW w:w="3060" w:type="dxa"/>
            <w:shd w:val="clear" w:color="auto" w:fill="D9D9D9"/>
          </w:tcPr>
          <w:p w:rsidR="0060461B" w:rsidRPr="00B97180" w:rsidRDefault="0060461B" w:rsidP="00BE5A5D">
            <w:pPr>
              <w:rPr>
                <w:rFonts w:ascii="Arial" w:hAnsi="Arial" w:cs="Arial"/>
              </w:rPr>
            </w:pPr>
            <w:r w:rsidRPr="00B97180">
              <w:rPr>
                <w:rFonts w:ascii="Arial" w:hAnsi="Arial" w:cs="Arial"/>
              </w:rPr>
              <w:t>AZT +3TC+ LPV/r</w:t>
            </w:r>
          </w:p>
        </w:tc>
        <w:tc>
          <w:tcPr>
            <w:tcW w:w="3330" w:type="dxa"/>
            <w:shd w:val="clear" w:color="auto" w:fill="D9D9D9"/>
          </w:tcPr>
          <w:p w:rsidR="0060461B" w:rsidRPr="00B97180" w:rsidRDefault="0060461B" w:rsidP="00BE5A5D">
            <w:pPr>
              <w:rPr>
                <w:rFonts w:ascii="Arial" w:hAnsi="Arial" w:cs="Arial"/>
              </w:rPr>
            </w:pPr>
            <w:r w:rsidRPr="00B97180">
              <w:rPr>
                <w:rFonts w:ascii="Arial" w:hAnsi="Arial" w:cs="Arial"/>
              </w:rPr>
              <w:t>ABC or TDF</w:t>
            </w:r>
            <w:r w:rsidRPr="00B97180">
              <w:rPr>
                <w:rFonts w:ascii="Arial" w:hAnsi="Arial" w:cs="Arial"/>
                <w:vertAlign w:val="superscript"/>
              </w:rPr>
              <w:t>b</w:t>
            </w:r>
            <w:r w:rsidRPr="00B97180">
              <w:rPr>
                <w:rFonts w:ascii="Arial" w:hAnsi="Arial" w:cs="Arial"/>
              </w:rPr>
              <w:t xml:space="preserve"> + 3TC + EFV</w:t>
            </w:r>
          </w:p>
        </w:tc>
      </w:tr>
      <w:tr w:rsidR="0060461B" w:rsidRPr="00B97180" w:rsidTr="00BE5A5D">
        <w:tc>
          <w:tcPr>
            <w:tcW w:w="2178" w:type="dxa"/>
            <w:vMerge w:val="restart"/>
          </w:tcPr>
          <w:p w:rsidR="0060461B" w:rsidRPr="00B97180" w:rsidRDefault="0060461B" w:rsidP="00BE5A5D">
            <w:pPr>
              <w:rPr>
                <w:rFonts w:ascii="Arial" w:hAnsi="Arial" w:cs="Arial"/>
              </w:rPr>
            </w:pPr>
            <w:r w:rsidRPr="00B97180">
              <w:rPr>
                <w:rFonts w:ascii="Arial" w:hAnsi="Arial" w:cs="Arial"/>
              </w:rPr>
              <w:t>NNRTI based first line regimen</w:t>
            </w:r>
          </w:p>
        </w:tc>
        <w:tc>
          <w:tcPr>
            <w:tcW w:w="1620" w:type="dxa"/>
            <w:vMerge w:val="restart"/>
          </w:tcPr>
          <w:p w:rsidR="0060461B" w:rsidRPr="00B97180" w:rsidRDefault="0060461B" w:rsidP="00BE5A5D">
            <w:pPr>
              <w:rPr>
                <w:rFonts w:ascii="Arial" w:hAnsi="Arial" w:cs="Arial"/>
              </w:rPr>
            </w:pPr>
            <w:r w:rsidRPr="00B97180">
              <w:rPr>
                <w:rFonts w:ascii="Arial" w:hAnsi="Arial" w:cs="Arial"/>
              </w:rPr>
              <w:t xml:space="preserve"> All ages</w:t>
            </w:r>
          </w:p>
        </w:tc>
        <w:tc>
          <w:tcPr>
            <w:tcW w:w="3060" w:type="dxa"/>
          </w:tcPr>
          <w:p w:rsidR="0060461B" w:rsidRPr="00B97180" w:rsidRDefault="0060461B" w:rsidP="00BE5A5D">
            <w:pPr>
              <w:rPr>
                <w:rFonts w:ascii="Arial" w:hAnsi="Arial" w:cs="Arial"/>
              </w:rPr>
            </w:pPr>
            <w:r w:rsidRPr="00B97180">
              <w:rPr>
                <w:rFonts w:ascii="Arial" w:hAnsi="Arial" w:cs="Arial"/>
              </w:rPr>
              <w:t>ABC+3TC + EFV (or NVP)</w:t>
            </w:r>
          </w:p>
        </w:tc>
        <w:tc>
          <w:tcPr>
            <w:tcW w:w="3330" w:type="dxa"/>
            <w:vMerge w:val="restart"/>
          </w:tcPr>
          <w:p w:rsidR="0060461B" w:rsidRPr="00B97180" w:rsidRDefault="0060461B" w:rsidP="00BE5A5D">
            <w:pPr>
              <w:rPr>
                <w:rFonts w:ascii="Arial" w:hAnsi="Arial" w:cs="Arial"/>
              </w:rPr>
            </w:pPr>
            <w:r w:rsidRPr="00B97180">
              <w:rPr>
                <w:rFonts w:ascii="Arial" w:hAnsi="Arial" w:cs="Arial"/>
              </w:rPr>
              <w:t>AZT + 3TC + LPV/r</w:t>
            </w:r>
            <w:r w:rsidRPr="00B97180">
              <w:rPr>
                <w:rFonts w:ascii="Arial" w:hAnsi="Arial" w:cs="Arial"/>
                <w:vertAlign w:val="superscript"/>
              </w:rPr>
              <w:t>C</w:t>
            </w:r>
          </w:p>
        </w:tc>
      </w:tr>
      <w:tr w:rsidR="0060461B" w:rsidRPr="00B97180" w:rsidTr="00BE5A5D">
        <w:tc>
          <w:tcPr>
            <w:tcW w:w="2178" w:type="dxa"/>
            <w:vMerge/>
          </w:tcPr>
          <w:p w:rsidR="0060461B" w:rsidRPr="00B97180" w:rsidRDefault="0060461B" w:rsidP="00BE5A5D">
            <w:pPr>
              <w:rPr>
                <w:rFonts w:ascii="Arial" w:hAnsi="Arial" w:cs="Arial"/>
              </w:rPr>
            </w:pPr>
          </w:p>
        </w:tc>
        <w:tc>
          <w:tcPr>
            <w:tcW w:w="1620" w:type="dxa"/>
            <w:vMerge/>
          </w:tcPr>
          <w:p w:rsidR="0060461B" w:rsidRPr="00B97180" w:rsidRDefault="0060461B" w:rsidP="00BE5A5D">
            <w:pPr>
              <w:rPr>
                <w:rFonts w:ascii="Arial" w:hAnsi="Arial" w:cs="Arial"/>
              </w:rPr>
            </w:pPr>
          </w:p>
        </w:tc>
        <w:tc>
          <w:tcPr>
            <w:tcW w:w="3060" w:type="dxa"/>
          </w:tcPr>
          <w:p w:rsidR="0060461B" w:rsidRPr="00B97180" w:rsidRDefault="0060461B" w:rsidP="00BE5A5D">
            <w:pPr>
              <w:rPr>
                <w:rFonts w:ascii="Arial" w:hAnsi="Arial" w:cs="Arial"/>
              </w:rPr>
            </w:pPr>
            <w:r w:rsidRPr="00B97180">
              <w:rPr>
                <w:rFonts w:ascii="Arial" w:hAnsi="Arial" w:cs="Arial"/>
              </w:rPr>
              <w:t>TDF</w:t>
            </w:r>
            <w:r w:rsidRPr="00B97180">
              <w:rPr>
                <w:rFonts w:ascii="Arial" w:hAnsi="Arial" w:cs="Arial"/>
                <w:vertAlign w:val="superscript"/>
              </w:rPr>
              <w:t>b</w:t>
            </w:r>
            <w:r w:rsidRPr="00B97180">
              <w:rPr>
                <w:rFonts w:ascii="Arial" w:hAnsi="Arial" w:cs="Arial"/>
              </w:rPr>
              <w:t xml:space="preserve"> + 3TC + EFV (or NVP)</w:t>
            </w:r>
          </w:p>
        </w:tc>
        <w:tc>
          <w:tcPr>
            <w:tcW w:w="3330" w:type="dxa"/>
            <w:vMerge/>
          </w:tcPr>
          <w:p w:rsidR="0060461B" w:rsidRPr="00B97180" w:rsidRDefault="0060461B" w:rsidP="00BE5A5D">
            <w:pPr>
              <w:rPr>
                <w:rFonts w:ascii="Arial" w:hAnsi="Arial" w:cs="Arial"/>
              </w:rPr>
            </w:pPr>
          </w:p>
        </w:tc>
      </w:tr>
      <w:tr w:rsidR="0060461B" w:rsidRPr="00B97180" w:rsidTr="00BE5A5D">
        <w:tc>
          <w:tcPr>
            <w:tcW w:w="2178" w:type="dxa"/>
            <w:vMerge/>
          </w:tcPr>
          <w:p w:rsidR="0060461B" w:rsidRPr="00B97180" w:rsidRDefault="0060461B" w:rsidP="00BE5A5D">
            <w:pPr>
              <w:rPr>
                <w:rFonts w:ascii="Arial" w:hAnsi="Arial" w:cs="Arial"/>
              </w:rPr>
            </w:pPr>
          </w:p>
        </w:tc>
        <w:tc>
          <w:tcPr>
            <w:tcW w:w="1620" w:type="dxa"/>
            <w:vMerge/>
          </w:tcPr>
          <w:p w:rsidR="0060461B" w:rsidRPr="00B97180" w:rsidRDefault="0060461B" w:rsidP="00BE5A5D">
            <w:pPr>
              <w:rPr>
                <w:rFonts w:ascii="Arial" w:hAnsi="Arial" w:cs="Arial"/>
              </w:rPr>
            </w:pPr>
          </w:p>
        </w:tc>
        <w:tc>
          <w:tcPr>
            <w:tcW w:w="3060" w:type="dxa"/>
          </w:tcPr>
          <w:p w:rsidR="0060461B" w:rsidRPr="00B97180" w:rsidRDefault="0060461B" w:rsidP="00BE5A5D">
            <w:pPr>
              <w:rPr>
                <w:rFonts w:ascii="Arial" w:hAnsi="Arial" w:cs="Arial"/>
              </w:rPr>
            </w:pPr>
            <w:r w:rsidRPr="00B97180">
              <w:rPr>
                <w:rFonts w:ascii="Arial" w:hAnsi="Arial" w:cs="Arial"/>
              </w:rPr>
              <w:t>AZT +3TC+ EFV (or NVP)</w:t>
            </w:r>
          </w:p>
        </w:tc>
        <w:tc>
          <w:tcPr>
            <w:tcW w:w="3330" w:type="dxa"/>
          </w:tcPr>
          <w:p w:rsidR="0060461B" w:rsidRPr="00B97180" w:rsidRDefault="0060461B" w:rsidP="00BE5A5D">
            <w:pPr>
              <w:rPr>
                <w:rFonts w:ascii="Arial" w:hAnsi="Arial" w:cs="Arial"/>
              </w:rPr>
            </w:pPr>
            <w:r w:rsidRPr="00B97180">
              <w:rPr>
                <w:rFonts w:ascii="Arial" w:hAnsi="Arial" w:cs="Arial"/>
              </w:rPr>
              <w:t>ABC or TDF</w:t>
            </w:r>
            <w:r w:rsidRPr="00B97180">
              <w:rPr>
                <w:rFonts w:ascii="Arial" w:hAnsi="Arial" w:cs="Arial"/>
                <w:vertAlign w:val="superscript"/>
              </w:rPr>
              <w:t>b</w:t>
            </w:r>
            <w:r w:rsidRPr="00B97180">
              <w:rPr>
                <w:rFonts w:ascii="Arial" w:hAnsi="Arial" w:cs="Arial"/>
              </w:rPr>
              <w:t xml:space="preserve"> + 3TC + LPV/r</w:t>
            </w:r>
            <w:r w:rsidRPr="00B97180">
              <w:rPr>
                <w:rFonts w:ascii="Arial" w:hAnsi="Arial" w:cs="Arial"/>
                <w:vertAlign w:val="superscript"/>
              </w:rPr>
              <w:t>C</w:t>
            </w:r>
          </w:p>
        </w:tc>
      </w:tr>
      <w:tr w:rsidR="0060461B" w:rsidRPr="00B97180" w:rsidTr="00BE5A5D">
        <w:tc>
          <w:tcPr>
            <w:tcW w:w="10188" w:type="dxa"/>
            <w:gridSpan w:val="4"/>
          </w:tcPr>
          <w:p w:rsidR="0060461B" w:rsidRPr="00B97180" w:rsidRDefault="0060461B" w:rsidP="00BE5A5D">
            <w:pPr>
              <w:rPr>
                <w:rFonts w:ascii="Arial" w:hAnsi="Arial" w:cs="Arial"/>
              </w:rPr>
            </w:pPr>
            <w:r w:rsidRPr="00B97180">
              <w:rPr>
                <w:rFonts w:ascii="Arial" w:hAnsi="Arial" w:cs="Arial"/>
                <w:vertAlign w:val="superscript"/>
              </w:rPr>
              <w:t xml:space="preserve">a  </w:t>
            </w:r>
            <w:r w:rsidRPr="00B97180">
              <w:rPr>
                <w:rFonts w:ascii="Arial" w:hAnsi="Arial" w:cs="Arial"/>
              </w:rPr>
              <w:t>No change is recommended unless in the presence of advanced clinical disease progression or lack of adherence specifically because of poor palatability of LPV/r. In this case, switching to a second line NVP-based regimen should be considered. Based on the recent approval of the use of EFV in children less than 3 years, an EFV-based regimen could be considered as an alternative.</w:t>
            </w:r>
          </w:p>
          <w:p w:rsidR="0060461B" w:rsidRPr="00B97180" w:rsidRDefault="0060461B" w:rsidP="00BE5A5D">
            <w:pPr>
              <w:rPr>
                <w:rFonts w:ascii="Arial" w:hAnsi="Arial" w:cs="Arial"/>
              </w:rPr>
            </w:pPr>
            <w:r w:rsidRPr="00B97180">
              <w:rPr>
                <w:rFonts w:ascii="Arial" w:hAnsi="Arial" w:cs="Arial"/>
                <w:vertAlign w:val="superscript"/>
              </w:rPr>
              <w:t xml:space="preserve">b </w:t>
            </w:r>
            <w:r w:rsidRPr="00B97180">
              <w:rPr>
                <w:rFonts w:ascii="Arial" w:hAnsi="Arial" w:cs="Arial"/>
              </w:rPr>
              <w:t>TDF may only be given to children &gt; 2 years</w:t>
            </w:r>
          </w:p>
          <w:p w:rsidR="0060461B" w:rsidRPr="00B97180" w:rsidRDefault="0060461B" w:rsidP="00BE5A5D">
            <w:pPr>
              <w:rPr>
                <w:rFonts w:ascii="Arial" w:hAnsi="Arial" w:cs="Arial"/>
              </w:rPr>
            </w:pPr>
            <w:r w:rsidRPr="00B97180">
              <w:rPr>
                <w:rFonts w:ascii="Arial" w:hAnsi="Arial" w:cs="Arial"/>
                <w:vertAlign w:val="superscript"/>
              </w:rPr>
              <w:t>c</w:t>
            </w:r>
            <w:r w:rsidRPr="00B97180">
              <w:rPr>
                <w:rFonts w:ascii="Arial" w:hAnsi="Arial" w:cs="Arial"/>
              </w:rPr>
              <w:t xml:space="preserve"> ATV/r can be used as an alternative to LPV/r in children older than 6 years</w:t>
            </w:r>
          </w:p>
        </w:tc>
      </w:tr>
    </w:tbl>
    <w:p w:rsidR="0060461B" w:rsidRPr="0063082B" w:rsidRDefault="0060461B" w:rsidP="00AA771C">
      <w:pPr>
        <w:autoSpaceDE w:val="0"/>
        <w:autoSpaceDN w:val="0"/>
        <w:adjustRightInd w:val="0"/>
        <w:spacing w:beforeLines="120" w:before="288" w:afterLines="120" w:after="288" w:line="240" w:lineRule="auto"/>
        <w:jc w:val="both"/>
        <w:rPr>
          <w:rFonts w:ascii="Arial" w:eastAsia="CronosPro-SemiboldCapt" w:hAnsi="Arial" w:cs="Arial"/>
          <w:b/>
        </w:rPr>
      </w:pPr>
    </w:p>
    <w:p w:rsidR="0060461B" w:rsidRPr="00B97180" w:rsidRDefault="0060461B" w:rsidP="00BE5A5D">
      <w:pPr>
        <w:pStyle w:val="Heading3"/>
        <w:rPr>
          <w:rFonts w:eastAsia="CronosPro-SemiboldCapt"/>
        </w:rPr>
      </w:pPr>
      <w:bookmarkStart w:id="776" w:name="_Toc381351653"/>
      <w:r w:rsidRPr="00B97180">
        <w:rPr>
          <w:rFonts w:eastAsia="CronosPro-SemiboldCapt"/>
        </w:rPr>
        <w:t>9.9.7 Adverse reactions</w:t>
      </w:r>
      <w:r>
        <w:rPr>
          <w:rFonts w:eastAsia="CronosPro-SemiboldCapt"/>
        </w:rPr>
        <w:t xml:space="preserve"> in children</w:t>
      </w:r>
      <w:bookmarkEnd w:id="776"/>
    </w:p>
    <w:p w:rsidR="0060461B" w:rsidRPr="0063082B" w:rsidRDefault="0060461B" w:rsidP="00AA771C">
      <w:pPr>
        <w:autoSpaceDE w:val="0"/>
        <w:autoSpaceDN w:val="0"/>
        <w:adjustRightInd w:val="0"/>
        <w:spacing w:beforeLines="120" w:before="288" w:afterLines="120" w:after="288" w:line="240" w:lineRule="auto"/>
        <w:jc w:val="both"/>
        <w:rPr>
          <w:rFonts w:ascii="Arial" w:eastAsia="CronosPro-SemiboldCapt" w:hAnsi="Arial" w:cs="Arial"/>
        </w:rPr>
      </w:pPr>
      <w:r w:rsidRPr="0063082B">
        <w:rPr>
          <w:rFonts w:ascii="Arial" w:eastAsia="CronosPro-SemiboldCapt" w:hAnsi="Arial" w:cs="Arial"/>
        </w:rPr>
        <w:t>Drug-related adverse reactions while on ART can occur immediately (soon after a drug has been administered), early (within the first days or weeks of treatment) or late (after months or more of treatment).</w:t>
      </w:r>
    </w:p>
    <w:p w:rsidR="0060461B" w:rsidRPr="0063082B" w:rsidRDefault="0060461B" w:rsidP="00AA771C">
      <w:pPr>
        <w:autoSpaceDE w:val="0"/>
        <w:autoSpaceDN w:val="0"/>
        <w:adjustRightInd w:val="0"/>
        <w:spacing w:beforeLines="120" w:before="288" w:afterLines="120" w:after="288" w:line="240" w:lineRule="auto"/>
        <w:jc w:val="both"/>
        <w:rPr>
          <w:rFonts w:ascii="Arial" w:eastAsia="CronosPro-SemiboldCapt" w:hAnsi="Arial" w:cs="Arial"/>
        </w:rPr>
      </w:pPr>
      <w:r w:rsidRPr="0063082B">
        <w:rPr>
          <w:rFonts w:ascii="Arial" w:eastAsia="CronosPro-SemiboldCapt" w:hAnsi="Arial" w:cs="Arial"/>
        </w:rPr>
        <w:t xml:space="preserve">Adverse reactions can vary in severity from mild to severe to life-threatening and may be specific to the drug or generic to the class of drugs in use. </w:t>
      </w:r>
    </w:p>
    <w:p w:rsidR="0060461B" w:rsidRPr="0063082B" w:rsidRDefault="0060461B" w:rsidP="00AA771C">
      <w:pPr>
        <w:autoSpaceDE w:val="0"/>
        <w:autoSpaceDN w:val="0"/>
        <w:adjustRightInd w:val="0"/>
        <w:spacing w:beforeLines="120" w:before="288" w:afterLines="120" w:after="288" w:line="240" w:lineRule="auto"/>
        <w:jc w:val="both"/>
        <w:rPr>
          <w:rFonts w:ascii="Arial" w:eastAsia="HelveticaNeueLTStd-Lt" w:hAnsi="Arial" w:cs="Arial"/>
        </w:rPr>
      </w:pPr>
      <w:r w:rsidRPr="0063082B">
        <w:rPr>
          <w:rFonts w:ascii="Arial" w:eastAsia="HelveticaNeueLTStd-Lt" w:hAnsi="Arial" w:cs="Arial"/>
          <w:b/>
        </w:rPr>
        <w:t>Major Types of ARV Toxicity in Children</w:t>
      </w:r>
      <w:r w:rsidRPr="0063082B">
        <w:rPr>
          <w:rFonts w:ascii="Arial" w:eastAsia="HelveticaNeueLTStd-Lt" w:hAnsi="Arial" w:cs="Arial"/>
        </w:rPr>
        <w:t>:</w:t>
      </w:r>
    </w:p>
    <w:p w:rsidR="0060461B" w:rsidRPr="0063082B" w:rsidRDefault="0060461B" w:rsidP="00AA771C">
      <w:pPr>
        <w:autoSpaceDE w:val="0"/>
        <w:autoSpaceDN w:val="0"/>
        <w:adjustRightInd w:val="0"/>
        <w:spacing w:beforeLines="120" w:before="288" w:afterLines="120" w:after="288" w:line="240" w:lineRule="auto"/>
        <w:jc w:val="both"/>
        <w:rPr>
          <w:rFonts w:ascii="Arial" w:eastAsia="HelveticaNeueLTStd-Lt" w:hAnsi="Arial" w:cs="Arial"/>
          <w:b/>
        </w:rPr>
      </w:pPr>
      <w:r w:rsidRPr="0063082B">
        <w:rPr>
          <w:rFonts w:ascii="Arial" w:eastAsia="HelveticaNeueLTStd-Lt" w:hAnsi="Arial" w:cs="Arial"/>
          <w:b/>
        </w:rPr>
        <w:t>ABC</w:t>
      </w:r>
    </w:p>
    <w:p w:rsidR="0060461B" w:rsidRPr="0063082B" w:rsidRDefault="0060461B" w:rsidP="00AA771C">
      <w:pPr>
        <w:autoSpaceDE w:val="0"/>
        <w:autoSpaceDN w:val="0"/>
        <w:adjustRightInd w:val="0"/>
        <w:spacing w:beforeLines="120" w:before="288" w:afterLines="120" w:after="288" w:line="240" w:lineRule="auto"/>
        <w:jc w:val="both"/>
        <w:rPr>
          <w:rFonts w:ascii="Arial" w:eastAsia="HelveticaNeueLTStd-Lt" w:hAnsi="Arial" w:cs="Arial"/>
        </w:rPr>
      </w:pPr>
      <w:r w:rsidRPr="0063082B">
        <w:rPr>
          <w:rFonts w:ascii="Arial" w:eastAsia="HelveticaNeueLTStd-Lt" w:hAnsi="Arial" w:cs="Arial"/>
        </w:rPr>
        <w:t>ABC is associated with hypersensitivity reactions. Patients may have severe skin rashes or other non-specific symptoms such as fever, arthralgias and lymph node enlargement.</w:t>
      </w:r>
    </w:p>
    <w:p w:rsidR="0060461B" w:rsidRPr="0063082B" w:rsidRDefault="0060461B" w:rsidP="00AA771C">
      <w:pPr>
        <w:autoSpaceDE w:val="0"/>
        <w:autoSpaceDN w:val="0"/>
        <w:adjustRightInd w:val="0"/>
        <w:spacing w:beforeLines="120" w:before="288" w:afterLines="120" w:after="288" w:line="240" w:lineRule="auto"/>
        <w:jc w:val="both"/>
        <w:rPr>
          <w:rFonts w:ascii="Arial" w:eastAsia="HelveticaNeueLTStd-Lt" w:hAnsi="Arial" w:cs="Arial"/>
          <w:b/>
        </w:rPr>
      </w:pPr>
      <w:r w:rsidRPr="0063082B">
        <w:rPr>
          <w:rFonts w:ascii="Arial" w:eastAsia="HelveticaNeueLTStd-Lt" w:hAnsi="Arial" w:cs="Arial"/>
          <w:b/>
        </w:rPr>
        <w:t>AZT</w:t>
      </w:r>
    </w:p>
    <w:p w:rsidR="0060461B" w:rsidRPr="0063082B" w:rsidRDefault="0060461B" w:rsidP="00AA771C">
      <w:pPr>
        <w:autoSpaceDE w:val="0"/>
        <w:autoSpaceDN w:val="0"/>
        <w:adjustRightInd w:val="0"/>
        <w:spacing w:beforeLines="120" w:before="288" w:afterLines="120" w:after="288" w:line="240" w:lineRule="auto"/>
        <w:jc w:val="both"/>
        <w:rPr>
          <w:rFonts w:ascii="Arial" w:eastAsia="HelveticaNeueLTStd-Lt" w:hAnsi="Arial" w:cs="Arial"/>
        </w:rPr>
      </w:pPr>
      <w:r w:rsidRPr="0063082B">
        <w:rPr>
          <w:rFonts w:ascii="Arial" w:eastAsia="HelveticaNeueLTStd-Lt" w:hAnsi="Arial" w:cs="Arial"/>
        </w:rPr>
        <w:t>AZT is associated with risk of haematological toxicity which can include anemia and neutropenia. Measuring hemoglobin is recommended before initiating ART among children with low body weight, low CD4 counts and advanced HIV disease. Patients with severe anemia at baseline (haemoglobin &lt; 7.5 g/dL) should avoid AZT as first line therapy.</w:t>
      </w:r>
    </w:p>
    <w:p w:rsidR="0060461B" w:rsidRPr="0063082B" w:rsidRDefault="0060461B" w:rsidP="00AA771C">
      <w:pPr>
        <w:autoSpaceDE w:val="0"/>
        <w:autoSpaceDN w:val="0"/>
        <w:adjustRightInd w:val="0"/>
        <w:spacing w:beforeLines="120" w:before="288" w:afterLines="120" w:after="288" w:line="240" w:lineRule="auto"/>
        <w:jc w:val="both"/>
        <w:rPr>
          <w:rFonts w:ascii="Arial" w:eastAsia="HelveticaNeueLTStd-Lt" w:hAnsi="Arial" w:cs="Arial"/>
        </w:rPr>
      </w:pPr>
      <w:r w:rsidRPr="0063082B">
        <w:rPr>
          <w:rFonts w:ascii="Arial" w:eastAsia="HelveticaNeueLTStd-Lt" w:hAnsi="Arial" w:cs="Arial"/>
          <w:b/>
        </w:rPr>
        <w:t>TDF</w:t>
      </w:r>
    </w:p>
    <w:p w:rsidR="0060461B" w:rsidRPr="0063082B" w:rsidRDefault="0060461B" w:rsidP="00AA771C">
      <w:pPr>
        <w:autoSpaceDE w:val="0"/>
        <w:autoSpaceDN w:val="0"/>
        <w:adjustRightInd w:val="0"/>
        <w:spacing w:beforeLines="120" w:before="288" w:afterLines="120" w:after="288" w:line="240" w:lineRule="auto"/>
        <w:jc w:val="both"/>
        <w:rPr>
          <w:rFonts w:ascii="Arial" w:eastAsia="HelveticaNeueLTStd-Lt" w:hAnsi="Arial" w:cs="Arial"/>
        </w:rPr>
      </w:pPr>
      <w:r w:rsidRPr="0063082B">
        <w:rPr>
          <w:rFonts w:ascii="Arial" w:eastAsia="HelveticaNeueLTStd-Lt" w:hAnsi="Arial" w:cs="Arial"/>
        </w:rPr>
        <w:t xml:space="preserve">TDF is associated with nephrotoxicity. Nephrotoxicity is more common in elderly patients, those with long term diabetes or uncontrolled hypertension or also taking PI based therapy. Monitoring of creatinine clearance is recommended for these high risk individuals. </w:t>
      </w:r>
    </w:p>
    <w:p w:rsidR="0060461B" w:rsidRPr="0063082B" w:rsidRDefault="0060461B" w:rsidP="00AA771C">
      <w:pPr>
        <w:autoSpaceDE w:val="0"/>
        <w:autoSpaceDN w:val="0"/>
        <w:adjustRightInd w:val="0"/>
        <w:spacing w:beforeLines="120" w:before="288" w:afterLines="120" w:after="288" w:line="240" w:lineRule="auto"/>
        <w:jc w:val="both"/>
        <w:rPr>
          <w:rFonts w:ascii="Arial" w:eastAsia="HelveticaNeueLTStd-Lt" w:hAnsi="Arial" w:cs="Arial"/>
          <w:b/>
        </w:rPr>
      </w:pPr>
      <w:r w:rsidRPr="0063082B">
        <w:rPr>
          <w:rFonts w:ascii="Arial" w:eastAsia="HelveticaNeueLTStd-Lt" w:hAnsi="Arial" w:cs="Arial"/>
          <w:b/>
        </w:rPr>
        <w:t>EFV</w:t>
      </w:r>
    </w:p>
    <w:p w:rsidR="0060461B" w:rsidRPr="0063082B" w:rsidRDefault="0060461B" w:rsidP="00AA771C">
      <w:pPr>
        <w:autoSpaceDE w:val="0"/>
        <w:autoSpaceDN w:val="0"/>
        <w:adjustRightInd w:val="0"/>
        <w:spacing w:beforeLines="120" w:before="288" w:afterLines="120" w:after="288" w:line="240" w:lineRule="auto"/>
        <w:jc w:val="both"/>
        <w:rPr>
          <w:rFonts w:ascii="Arial" w:eastAsia="HelveticaNeueLTStd-Lt" w:hAnsi="Arial" w:cs="Arial"/>
        </w:rPr>
      </w:pPr>
      <w:r w:rsidRPr="0063082B">
        <w:rPr>
          <w:rFonts w:ascii="Arial" w:eastAsia="HelveticaNeueLTStd-Lt" w:hAnsi="Arial" w:cs="Arial"/>
        </w:rPr>
        <w:t>EFV’s main type of toxicity is central nervous system side effects, which typically resolve after a few weeks. However, in some cases, they can persist for months or not resolve at all.</w:t>
      </w:r>
    </w:p>
    <w:p w:rsidR="0060461B" w:rsidRPr="0063082B" w:rsidRDefault="0060461B" w:rsidP="00AA771C">
      <w:pPr>
        <w:autoSpaceDE w:val="0"/>
        <w:autoSpaceDN w:val="0"/>
        <w:adjustRightInd w:val="0"/>
        <w:spacing w:beforeLines="120" w:before="288" w:afterLines="120" w:after="288" w:line="240" w:lineRule="auto"/>
        <w:jc w:val="both"/>
        <w:rPr>
          <w:rFonts w:ascii="Arial" w:eastAsia="HelveticaNeueLTStd-Lt" w:hAnsi="Arial" w:cs="Arial"/>
          <w:b/>
        </w:rPr>
      </w:pPr>
      <w:r w:rsidRPr="0063082B">
        <w:rPr>
          <w:rFonts w:ascii="Arial" w:eastAsia="HelveticaNeueLTStd-Lt" w:hAnsi="Arial" w:cs="Arial"/>
          <w:b/>
        </w:rPr>
        <w:t>NVP</w:t>
      </w:r>
    </w:p>
    <w:p w:rsidR="0060461B" w:rsidRPr="0063082B" w:rsidRDefault="0060461B" w:rsidP="00AA771C">
      <w:pPr>
        <w:autoSpaceDE w:val="0"/>
        <w:autoSpaceDN w:val="0"/>
        <w:adjustRightInd w:val="0"/>
        <w:spacing w:beforeLines="120" w:before="288" w:afterLines="120" w:after="288" w:line="240" w:lineRule="auto"/>
        <w:jc w:val="both"/>
        <w:rPr>
          <w:rFonts w:ascii="Arial" w:eastAsia="HelveticaNeueLTStd-Lt" w:hAnsi="Arial" w:cs="Arial"/>
          <w:b/>
        </w:rPr>
      </w:pPr>
      <w:r w:rsidRPr="0063082B">
        <w:rPr>
          <w:rFonts w:ascii="Arial" w:eastAsia="HelveticaNeueLTStd-Lt" w:hAnsi="Arial" w:cs="Arial"/>
        </w:rPr>
        <w:t>NVP’s major toxicities include severe skin rash and hypersensitivity reaction (Steven’s Johnson syndrome) and hepatotoxicity. Because of the risk of potentially life-threatening hepatotoxicity associated with NVP, hepatic dysfunction of any etiology in a child on NVP requires careful consideration of whether NVP should be continued.</w:t>
      </w:r>
    </w:p>
    <w:p w:rsidR="0060461B" w:rsidRPr="0063082B" w:rsidRDefault="0060461B" w:rsidP="00AA771C">
      <w:pPr>
        <w:autoSpaceDE w:val="0"/>
        <w:autoSpaceDN w:val="0"/>
        <w:adjustRightInd w:val="0"/>
        <w:spacing w:beforeLines="120" w:before="288" w:afterLines="120" w:after="288" w:line="240" w:lineRule="auto"/>
        <w:jc w:val="both"/>
        <w:rPr>
          <w:rFonts w:ascii="Arial" w:eastAsia="HelveticaNeueLTStd-Lt" w:hAnsi="Arial" w:cs="Arial"/>
          <w:b/>
        </w:rPr>
      </w:pPr>
      <w:r w:rsidRPr="0063082B">
        <w:rPr>
          <w:rFonts w:ascii="Arial" w:eastAsia="HelveticaNeueLTStd-Lt" w:hAnsi="Arial" w:cs="Arial"/>
          <w:b/>
        </w:rPr>
        <w:t>LPV/r</w:t>
      </w:r>
    </w:p>
    <w:p w:rsidR="0060461B" w:rsidRPr="0063082B" w:rsidRDefault="0060461B" w:rsidP="00AA771C">
      <w:pPr>
        <w:autoSpaceDE w:val="0"/>
        <w:autoSpaceDN w:val="0"/>
        <w:adjustRightInd w:val="0"/>
        <w:spacing w:beforeLines="120" w:before="288" w:afterLines="120" w:after="288" w:line="240" w:lineRule="auto"/>
        <w:jc w:val="both"/>
        <w:rPr>
          <w:rFonts w:ascii="Arial" w:eastAsia="HelveticaNeueLTStd-Lt" w:hAnsi="Arial" w:cs="Arial"/>
        </w:rPr>
      </w:pPr>
      <w:r w:rsidRPr="0063082B">
        <w:rPr>
          <w:rFonts w:ascii="Arial" w:eastAsia="HelveticaNeueLTStd-Lt" w:hAnsi="Arial" w:cs="Arial"/>
        </w:rPr>
        <w:t>LPV/r’s major toxicity include hepatotoxicity, pancreatitis, diarrhea and lipoatrophy.  The risk of hepatotoxicity is increased in patients with underlying hepatic disease and the risk of pancreatitis is increased in patients with advanced HIV disease.  Electrocardiac abnormalities are also possible; patients with pre-existing conduction system disease are at increased risk.</w:t>
      </w:r>
    </w:p>
    <w:p w:rsidR="0060461B" w:rsidRPr="0063082B" w:rsidRDefault="0060461B" w:rsidP="00AA771C">
      <w:pPr>
        <w:autoSpaceDE w:val="0"/>
        <w:autoSpaceDN w:val="0"/>
        <w:adjustRightInd w:val="0"/>
        <w:spacing w:beforeLines="120" w:before="288" w:afterLines="120" w:after="288" w:line="240" w:lineRule="auto"/>
        <w:jc w:val="both"/>
        <w:rPr>
          <w:rFonts w:ascii="Arial" w:eastAsia="HelveticaNeueLTStd-Lt" w:hAnsi="Arial" w:cs="Arial"/>
          <w:b/>
        </w:rPr>
      </w:pPr>
      <w:r w:rsidRPr="0063082B">
        <w:rPr>
          <w:rFonts w:ascii="Arial" w:eastAsia="HelveticaNeueLTStd-Lt" w:hAnsi="Arial" w:cs="Arial"/>
          <w:b/>
        </w:rPr>
        <w:t>ATV/r</w:t>
      </w:r>
    </w:p>
    <w:p w:rsidR="0060461B" w:rsidRPr="0063082B" w:rsidRDefault="0060461B" w:rsidP="00AA771C">
      <w:pPr>
        <w:autoSpaceDE w:val="0"/>
        <w:autoSpaceDN w:val="0"/>
        <w:adjustRightInd w:val="0"/>
        <w:spacing w:beforeLines="120" w:before="288" w:afterLines="120" w:after="288" w:line="240" w:lineRule="auto"/>
        <w:jc w:val="both"/>
        <w:rPr>
          <w:rFonts w:ascii="Arial" w:eastAsia="HelveticaNeueLTStd-Lt" w:hAnsi="Arial" w:cs="Arial"/>
        </w:rPr>
      </w:pPr>
      <w:r w:rsidRPr="0063082B">
        <w:rPr>
          <w:rFonts w:ascii="Arial" w:eastAsia="HelveticaNeueLTStd-Lt" w:hAnsi="Arial" w:cs="Arial"/>
        </w:rPr>
        <w:t>Toxicities of ATV/r are similar to those of LPV/r; discussed above.</w:t>
      </w:r>
    </w:p>
    <w:p w:rsidR="0060461B" w:rsidRPr="0063082B" w:rsidRDefault="0060461B" w:rsidP="00AA771C">
      <w:pPr>
        <w:autoSpaceDE w:val="0"/>
        <w:autoSpaceDN w:val="0"/>
        <w:adjustRightInd w:val="0"/>
        <w:spacing w:beforeLines="120" w:before="288" w:afterLines="120" w:after="288" w:line="240" w:lineRule="auto"/>
        <w:jc w:val="both"/>
        <w:rPr>
          <w:rFonts w:ascii="Arial" w:eastAsia="CronosPro-SemiboldCapt" w:hAnsi="Arial" w:cs="Arial"/>
          <w:b/>
        </w:rPr>
      </w:pPr>
      <w:r w:rsidRPr="0063082B">
        <w:rPr>
          <w:rFonts w:ascii="Arial" w:eastAsia="CronosPro-SemiboldCapt" w:hAnsi="Arial" w:cs="Arial"/>
          <w:b/>
        </w:rPr>
        <w:t>Principles in the management of ARV drug toxicity</w:t>
      </w:r>
    </w:p>
    <w:p w:rsidR="0060461B" w:rsidRPr="0063082B" w:rsidRDefault="0060461B" w:rsidP="00AA771C">
      <w:pPr>
        <w:widowControl/>
        <w:numPr>
          <w:ilvl w:val="0"/>
          <w:numId w:val="81"/>
        </w:numPr>
        <w:autoSpaceDE w:val="0"/>
        <w:autoSpaceDN w:val="0"/>
        <w:adjustRightInd w:val="0"/>
        <w:spacing w:beforeLines="120" w:before="288" w:afterLines="120" w:after="288" w:line="240" w:lineRule="auto"/>
        <w:jc w:val="both"/>
        <w:rPr>
          <w:rFonts w:ascii="Arial" w:eastAsia="CronosPro-SemiboldCapt" w:hAnsi="Arial" w:cs="Arial"/>
        </w:rPr>
      </w:pPr>
      <w:r w:rsidRPr="0063082B">
        <w:rPr>
          <w:rFonts w:ascii="Arial" w:eastAsia="CronosPro-SemiboldCapt" w:hAnsi="Arial" w:cs="Arial"/>
        </w:rPr>
        <w:t xml:space="preserve">Determine the seriousness of the toxicity </w:t>
      </w:r>
    </w:p>
    <w:p w:rsidR="0060461B" w:rsidRPr="0063082B" w:rsidRDefault="0060461B" w:rsidP="00AA771C">
      <w:pPr>
        <w:widowControl/>
        <w:numPr>
          <w:ilvl w:val="0"/>
          <w:numId w:val="81"/>
        </w:numPr>
        <w:autoSpaceDE w:val="0"/>
        <w:autoSpaceDN w:val="0"/>
        <w:adjustRightInd w:val="0"/>
        <w:spacing w:beforeLines="120" w:before="288" w:afterLines="120" w:after="288" w:line="240" w:lineRule="auto"/>
        <w:jc w:val="both"/>
        <w:rPr>
          <w:rFonts w:ascii="Arial" w:eastAsia="CronosPro-SemiboldCapt" w:hAnsi="Arial" w:cs="Arial"/>
        </w:rPr>
      </w:pPr>
      <w:r w:rsidRPr="0063082B">
        <w:rPr>
          <w:rFonts w:ascii="Arial" w:eastAsia="CronosPro-SemiboldCapt" w:hAnsi="Arial" w:cs="Arial"/>
        </w:rPr>
        <w:t>Evaluate concurrent medications and establish whether the toxicity may be attributable to an ARV drug or drugs, or to a non-ARV medication taken at the same time.</w:t>
      </w:r>
    </w:p>
    <w:p w:rsidR="0060461B" w:rsidRPr="0063082B" w:rsidRDefault="0060461B" w:rsidP="00AA771C">
      <w:pPr>
        <w:widowControl/>
        <w:numPr>
          <w:ilvl w:val="0"/>
          <w:numId w:val="81"/>
        </w:numPr>
        <w:autoSpaceDE w:val="0"/>
        <w:autoSpaceDN w:val="0"/>
        <w:adjustRightInd w:val="0"/>
        <w:spacing w:beforeLines="120" w:before="288" w:afterLines="120" w:after="288" w:line="240" w:lineRule="auto"/>
        <w:jc w:val="both"/>
        <w:rPr>
          <w:rFonts w:ascii="Arial" w:eastAsia="HelveticaNeueLTStd-MdCn" w:hAnsi="Arial" w:cs="Arial"/>
        </w:rPr>
      </w:pPr>
      <w:r w:rsidRPr="0063082B">
        <w:rPr>
          <w:rFonts w:ascii="Arial" w:eastAsia="HelveticaNeueLTStd-MdCn" w:hAnsi="Arial" w:cs="Arial"/>
        </w:rPr>
        <w:t>Consider other disease processes (e.g. viral hepatitis in a child on ARV drugs who develops jaundice). Not all problems that arise during treatment are caused by ARV drugs.</w:t>
      </w:r>
    </w:p>
    <w:p w:rsidR="0060461B" w:rsidRPr="0063082B" w:rsidRDefault="0060461B" w:rsidP="00AA771C">
      <w:pPr>
        <w:widowControl/>
        <w:numPr>
          <w:ilvl w:val="0"/>
          <w:numId w:val="81"/>
        </w:numPr>
        <w:autoSpaceDE w:val="0"/>
        <w:autoSpaceDN w:val="0"/>
        <w:adjustRightInd w:val="0"/>
        <w:spacing w:beforeLines="120" w:before="288" w:afterLines="120" w:after="288" w:line="240" w:lineRule="auto"/>
        <w:jc w:val="both"/>
        <w:rPr>
          <w:rFonts w:ascii="Arial" w:eastAsia="HelveticaNeueLTStd-MdCn" w:hAnsi="Arial" w:cs="Arial"/>
        </w:rPr>
      </w:pPr>
      <w:r w:rsidRPr="0063082B">
        <w:rPr>
          <w:rFonts w:ascii="Arial" w:eastAsia="HelveticaNeueLTStd-MdCn" w:hAnsi="Arial" w:cs="Arial"/>
        </w:rPr>
        <w:t xml:space="preserve">Manage the adverse reaction according to its </w:t>
      </w:r>
      <w:r w:rsidRPr="000815A7">
        <w:rPr>
          <w:rFonts w:ascii="Arial" w:eastAsia="HelveticaNeueLTStd-MdCn" w:hAnsi="Arial" w:cs="Arial"/>
        </w:rPr>
        <w:t xml:space="preserve">severity </w:t>
      </w:r>
      <w:r w:rsidR="000815A7" w:rsidRPr="000815A7">
        <w:rPr>
          <w:rFonts w:ascii="Arial" w:eastAsia="HelveticaNeueLTStd-MdCn" w:hAnsi="Arial" w:cs="Arial"/>
          <w:b/>
        </w:rPr>
        <w:t>(see Annex 8</w:t>
      </w:r>
      <w:r w:rsidRPr="000815A7">
        <w:rPr>
          <w:rFonts w:ascii="Arial" w:eastAsia="HelveticaNeueLTStd-MdCn" w:hAnsi="Arial" w:cs="Arial"/>
          <w:b/>
        </w:rPr>
        <w:t>).</w:t>
      </w:r>
    </w:p>
    <w:p w:rsidR="0060461B" w:rsidRPr="0063082B" w:rsidRDefault="0060461B" w:rsidP="00AA771C">
      <w:pPr>
        <w:widowControl/>
        <w:numPr>
          <w:ilvl w:val="0"/>
          <w:numId w:val="81"/>
        </w:numPr>
        <w:autoSpaceDE w:val="0"/>
        <w:autoSpaceDN w:val="0"/>
        <w:adjustRightInd w:val="0"/>
        <w:spacing w:beforeLines="120" w:before="288" w:afterLines="120" w:after="288" w:line="240" w:lineRule="auto"/>
        <w:jc w:val="both"/>
        <w:rPr>
          <w:rFonts w:ascii="Arial" w:eastAsia="HelveticaNeueLTStd-MdCn" w:hAnsi="Arial" w:cs="Arial"/>
        </w:rPr>
      </w:pPr>
      <w:r w:rsidRPr="0063082B">
        <w:rPr>
          <w:rFonts w:ascii="Arial" w:eastAsia="HelveticaNeueLTStd-MdCn" w:hAnsi="Arial" w:cs="Arial"/>
        </w:rPr>
        <w:t>In general:</w:t>
      </w:r>
    </w:p>
    <w:p w:rsidR="0060461B" w:rsidRPr="0063082B" w:rsidRDefault="0060461B" w:rsidP="00AA771C">
      <w:pPr>
        <w:widowControl/>
        <w:numPr>
          <w:ilvl w:val="0"/>
          <w:numId w:val="82"/>
        </w:numPr>
        <w:autoSpaceDE w:val="0"/>
        <w:autoSpaceDN w:val="0"/>
        <w:adjustRightInd w:val="0"/>
        <w:spacing w:beforeLines="120" w:before="288" w:afterLines="120" w:after="288" w:line="240" w:lineRule="auto"/>
        <w:jc w:val="both"/>
        <w:rPr>
          <w:rFonts w:ascii="Arial" w:eastAsia="HelveticaNeueLTStd-MdCn" w:hAnsi="Arial" w:cs="Arial"/>
        </w:rPr>
      </w:pPr>
      <w:r w:rsidRPr="0063082B">
        <w:rPr>
          <w:rFonts w:ascii="Arial" w:eastAsia="HelveticaNeueLTStd-MdCn" w:hAnsi="Arial" w:cs="Arial"/>
          <w:i/>
          <w:iCs/>
        </w:rPr>
        <w:t xml:space="preserve">Severe life-threatening reactions: </w:t>
      </w:r>
      <w:r w:rsidRPr="0063082B">
        <w:rPr>
          <w:rFonts w:ascii="Arial" w:eastAsia="HelveticaNeueLTStd-MdCn" w:hAnsi="Arial" w:cs="Arial"/>
        </w:rPr>
        <w:t xml:space="preserve">Immediately discontinue all ARV drugs, manage the medical event (i.e. provide symptomatic and supportive therapy) and reintroduce ARV drugs using a modified regimen (i.e. with an ARV substitution for the offending drug) when the patient is stabilized. </w:t>
      </w:r>
    </w:p>
    <w:p w:rsidR="0060461B" w:rsidRPr="0063082B" w:rsidRDefault="0060461B" w:rsidP="00AA771C">
      <w:pPr>
        <w:widowControl/>
        <w:numPr>
          <w:ilvl w:val="0"/>
          <w:numId w:val="82"/>
        </w:numPr>
        <w:autoSpaceDE w:val="0"/>
        <w:autoSpaceDN w:val="0"/>
        <w:adjustRightInd w:val="0"/>
        <w:spacing w:beforeLines="120" w:before="288" w:afterLines="120" w:after="288" w:line="240" w:lineRule="auto"/>
        <w:jc w:val="both"/>
        <w:rPr>
          <w:rFonts w:ascii="Arial" w:eastAsia="HelveticaNeueLTStd-MdCn" w:hAnsi="Arial" w:cs="Arial"/>
        </w:rPr>
      </w:pPr>
      <w:r w:rsidRPr="0063082B">
        <w:rPr>
          <w:rFonts w:ascii="Arial" w:eastAsia="HelveticaNeueLTStd-MdCn" w:hAnsi="Arial" w:cs="Arial"/>
          <w:i/>
          <w:iCs/>
        </w:rPr>
        <w:t xml:space="preserve">Severe reactions: </w:t>
      </w:r>
      <w:r w:rsidRPr="0063082B">
        <w:rPr>
          <w:rFonts w:ascii="Arial" w:eastAsia="HelveticaNeueLTStd-MdCn" w:hAnsi="Arial" w:cs="Arial"/>
        </w:rPr>
        <w:t xml:space="preserve">Substitute the offending drug without stopping ART. </w:t>
      </w:r>
    </w:p>
    <w:p w:rsidR="0060461B" w:rsidRPr="0063082B" w:rsidRDefault="0060461B" w:rsidP="00AA771C">
      <w:pPr>
        <w:widowControl/>
        <w:numPr>
          <w:ilvl w:val="0"/>
          <w:numId w:val="82"/>
        </w:numPr>
        <w:autoSpaceDE w:val="0"/>
        <w:autoSpaceDN w:val="0"/>
        <w:adjustRightInd w:val="0"/>
        <w:spacing w:beforeLines="120" w:before="288" w:afterLines="120" w:after="288" w:line="240" w:lineRule="auto"/>
        <w:jc w:val="both"/>
        <w:rPr>
          <w:rFonts w:ascii="Arial" w:eastAsia="HelveticaNeueLTStd-MdCn" w:hAnsi="Arial" w:cs="Arial"/>
        </w:rPr>
      </w:pPr>
      <w:r w:rsidRPr="0063082B">
        <w:rPr>
          <w:rFonts w:ascii="Arial" w:eastAsia="HelveticaNeueLTStd-MdCn" w:hAnsi="Arial" w:cs="Arial"/>
          <w:i/>
          <w:iCs/>
        </w:rPr>
        <w:t xml:space="preserve">Moderate reactions: </w:t>
      </w:r>
      <w:r w:rsidRPr="0063082B">
        <w:rPr>
          <w:rFonts w:ascii="Arial" w:eastAsia="HelveticaNeueLTStd-MdCn" w:hAnsi="Arial" w:cs="Arial"/>
        </w:rPr>
        <w:t>Consider continuation of ART as long as feasible. If the patient does not improve on symptomatic therapy, consider single-drug substitution.</w:t>
      </w:r>
    </w:p>
    <w:p w:rsidR="0060461B" w:rsidRPr="0063082B" w:rsidRDefault="0060461B" w:rsidP="00AA771C">
      <w:pPr>
        <w:widowControl/>
        <w:numPr>
          <w:ilvl w:val="0"/>
          <w:numId w:val="82"/>
        </w:numPr>
        <w:autoSpaceDE w:val="0"/>
        <w:autoSpaceDN w:val="0"/>
        <w:adjustRightInd w:val="0"/>
        <w:spacing w:beforeLines="120" w:before="288" w:afterLines="120" w:after="288" w:line="240" w:lineRule="auto"/>
        <w:jc w:val="both"/>
        <w:rPr>
          <w:rFonts w:ascii="Arial" w:eastAsia="HelveticaNeueLTStd-MdCn" w:hAnsi="Arial" w:cs="Arial"/>
        </w:rPr>
      </w:pPr>
      <w:r w:rsidRPr="0063082B">
        <w:rPr>
          <w:rFonts w:ascii="Arial" w:eastAsia="HelveticaNeueLTStd-MdCn" w:hAnsi="Arial" w:cs="Arial"/>
          <w:i/>
          <w:iCs/>
        </w:rPr>
        <w:t xml:space="preserve">Mild reactions: </w:t>
      </w:r>
      <w:r w:rsidRPr="0063082B">
        <w:rPr>
          <w:rFonts w:ascii="Arial" w:eastAsia="HelveticaNeueLTStd-MdCn" w:hAnsi="Arial" w:cs="Arial"/>
        </w:rPr>
        <w:t>Reassure child and caregiver that while the reaction may be bothersome, it does not require a change in therapy; Provide counseling and support to mitigate adverse reactions.</w:t>
      </w:r>
    </w:p>
    <w:p w:rsidR="0060461B" w:rsidRPr="0063082B" w:rsidRDefault="0060461B" w:rsidP="00AA771C">
      <w:pPr>
        <w:spacing w:beforeLines="120" w:before="288" w:afterLines="120" w:after="288" w:line="240" w:lineRule="auto"/>
        <w:jc w:val="both"/>
        <w:rPr>
          <w:rFonts w:ascii="Arial" w:eastAsia="HelveticaNeueLTStd-MdCn" w:hAnsi="Arial" w:cs="Arial"/>
        </w:rPr>
      </w:pPr>
      <w:r w:rsidRPr="0063082B">
        <w:rPr>
          <w:rFonts w:ascii="Arial" w:eastAsia="HelveticaNeueLTStd-MdCn" w:hAnsi="Arial" w:cs="Arial"/>
        </w:rPr>
        <w:t>Emphasize on the maintenance of adherence despite mild and moderate reactions.</w:t>
      </w:r>
    </w:p>
    <w:tbl>
      <w:tblPr>
        <w:tblW w:w="101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338"/>
        <w:gridCol w:w="1980"/>
        <w:gridCol w:w="3870"/>
      </w:tblGrid>
      <w:tr w:rsidR="0060461B" w:rsidRPr="0063082B" w:rsidTr="00BE5A5D">
        <w:tc>
          <w:tcPr>
            <w:tcW w:w="10188" w:type="dxa"/>
            <w:gridSpan w:val="3"/>
            <w:tcBorders>
              <w:bottom w:val="single" w:sz="4" w:space="0" w:color="auto"/>
            </w:tcBorders>
          </w:tcPr>
          <w:p w:rsidR="0060461B" w:rsidRPr="0063082B" w:rsidRDefault="0060461B" w:rsidP="00BE5A5D">
            <w:pPr>
              <w:spacing w:before="120" w:after="120" w:line="240" w:lineRule="auto"/>
              <w:rPr>
                <w:rFonts w:ascii="Arial" w:hAnsi="Arial" w:cs="Arial"/>
                <w:b/>
              </w:rPr>
            </w:pPr>
            <w:r>
              <w:rPr>
                <w:rFonts w:ascii="Arial" w:hAnsi="Arial" w:cs="Arial"/>
                <w:b/>
              </w:rPr>
              <w:t>Table 9.13</w:t>
            </w:r>
            <w:r w:rsidRPr="0063082B">
              <w:rPr>
                <w:rFonts w:ascii="Arial" w:hAnsi="Arial" w:cs="Arial"/>
                <w:b/>
              </w:rPr>
              <w:t xml:space="preserve">: Severe toxicities of ARVs in infants and children, and potential drug substitutions </w:t>
            </w:r>
          </w:p>
        </w:tc>
      </w:tr>
      <w:tr w:rsidR="0060461B" w:rsidRPr="0063082B" w:rsidTr="00BE5A5D">
        <w:tc>
          <w:tcPr>
            <w:tcW w:w="4338" w:type="dxa"/>
            <w:tcBorders>
              <w:top w:val="single" w:sz="4" w:space="0" w:color="auto"/>
              <w:left w:val="single" w:sz="4" w:space="0" w:color="auto"/>
              <w:bottom w:val="single" w:sz="4" w:space="0" w:color="auto"/>
            </w:tcBorders>
            <w:shd w:val="clear" w:color="auto" w:fill="000000"/>
          </w:tcPr>
          <w:p w:rsidR="0060461B" w:rsidRPr="0063082B" w:rsidRDefault="0060461B" w:rsidP="00BE5A5D">
            <w:pPr>
              <w:spacing w:before="120" w:after="120" w:line="240" w:lineRule="auto"/>
              <w:rPr>
                <w:rFonts w:ascii="Arial" w:hAnsi="Arial" w:cs="Arial"/>
                <w:b/>
              </w:rPr>
            </w:pPr>
            <w:r w:rsidRPr="0063082B">
              <w:rPr>
                <w:rFonts w:ascii="Arial" w:hAnsi="Arial" w:cs="Arial"/>
                <w:b/>
              </w:rPr>
              <w:t>Toxicity events</w:t>
            </w:r>
          </w:p>
        </w:tc>
        <w:tc>
          <w:tcPr>
            <w:tcW w:w="1980" w:type="dxa"/>
            <w:tcBorders>
              <w:top w:val="single" w:sz="4" w:space="0" w:color="auto"/>
              <w:bottom w:val="single" w:sz="4" w:space="0" w:color="auto"/>
            </w:tcBorders>
            <w:shd w:val="clear" w:color="auto" w:fill="000000"/>
          </w:tcPr>
          <w:p w:rsidR="0060461B" w:rsidRPr="0063082B" w:rsidRDefault="0060461B" w:rsidP="00BE5A5D">
            <w:pPr>
              <w:spacing w:before="120" w:after="120" w:line="240" w:lineRule="auto"/>
              <w:rPr>
                <w:rFonts w:ascii="Arial" w:hAnsi="Arial" w:cs="Arial"/>
                <w:b/>
              </w:rPr>
            </w:pPr>
            <w:r w:rsidRPr="0063082B">
              <w:rPr>
                <w:rFonts w:ascii="Arial" w:hAnsi="Arial" w:cs="Arial"/>
                <w:b/>
              </w:rPr>
              <w:t>Responsible ARV</w:t>
            </w:r>
          </w:p>
        </w:tc>
        <w:tc>
          <w:tcPr>
            <w:tcW w:w="3870" w:type="dxa"/>
            <w:tcBorders>
              <w:top w:val="single" w:sz="4" w:space="0" w:color="auto"/>
              <w:bottom w:val="single" w:sz="4" w:space="0" w:color="auto"/>
              <w:right w:val="single" w:sz="4" w:space="0" w:color="auto"/>
            </w:tcBorders>
            <w:shd w:val="clear" w:color="auto" w:fill="000000"/>
          </w:tcPr>
          <w:p w:rsidR="0060461B" w:rsidRPr="0063082B" w:rsidRDefault="0060461B" w:rsidP="00BE5A5D">
            <w:pPr>
              <w:spacing w:before="120" w:after="120" w:line="240" w:lineRule="auto"/>
              <w:rPr>
                <w:rFonts w:ascii="Arial" w:hAnsi="Arial" w:cs="Arial"/>
                <w:b/>
              </w:rPr>
            </w:pPr>
            <w:r w:rsidRPr="0063082B">
              <w:rPr>
                <w:rFonts w:ascii="Arial" w:hAnsi="Arial" w:cs="Arial"/>
                <w:b/>
              </w:rPr>
              <w:t xml:space="preserve">Suggested first-line ARV drug substitution </w:t>
            </w:r>
          </w:p>
        </w:tc>
      </w:tr>
      <w:tr w:rsidR="0060461B" w:rsidRPr="0063082B" w:rsidTr="00BE5A5D">
        <w:tc>
          <w:tcPr>
            <w:tcW w:w="4338" w:type="dxa"/>
            <w:tcBorders>
              <w:top w:val="single" w:sz="4" w:space="0" w:color="auto"/>
              <w:left w:val="single" w:sz="4" w:space="0" w:color="auto"/>
              <w:bottom w:val="single" w:sz="4" w:space="0" w:color="auto"/>
              <w:right w:val="single" w:sz="4" w:space="0" w:color="auto"/>
            </w:tcBorders>
            <w:shd w:val="clear" w:color="auto" w:fill="D9D9D9"/>
          </w:tcPr>
          <w:p w:rsidR="0060461B" w:rsidRPr="0063082B" w:rsidRDefault="0060461B" w:rsidP="00BE5A5D">
            <w:pPr>
              <w:spacing w:before="120" w:after="120" w:line="240" w:lineRule="auto"/>
              <w:rPr>
                <w:rFonts w:ascii="Arial" w:hAnsi="Arial" w:cs="Arial"/>
              </w:rPr>
            </w:pPr>
            <w:r w:rsidRPr="0063082B">
              <w:rPr>
                <w:rFonts w:ascii="Arial" w:hAnsi="Arial" w:cs="Arial"/>
              </w:rPr>
              <w:t xml:space="preserve">Acute symptomatic hepatitis </w:t>
            </w:r>
          </w:p>
        </w:tc>
        <w:tc>
          <w:tcPr>
            <w:tcW w:w="1980" w:type="dxa"/>
            <w:vMerge w:val="restart"/>
            <w:tcBorders>
              <w:top w:val="single" w:sz="4" w:space="0" w:color="auto"/>
              <w:left w:val="single" w:sz="4" w:space="0" w:color="auto"/>
              <w:right w:val="single" w:sz="4" w:space="0" w:color="auto"/>
            </w:tcBorders>
            <w:shd w:val="clear" w:color="auto" w:fill="D9D9D9"/>
          </w:tcPr>
          <w:p w:rsidR="0060461B" w:rsidRPr="0063082B" w:rsidRDefault="0060461B" w:rsidP="00BE5A5D">
            <w:pPr>
              <w:spacing w:before="120" w:after="120" w:line="240" w:lineRule="auto"/>
              <w:jc w:val="center"/>
              <w:rPr>
                <w:rFonts w:ascii="Arial" w:hAnsi="Arial" w:cs="Arial"/>
                <w:b/>
              </w:rPr>
            </w:pPr>
            <w:r w:rsidRPr="0063082B">
              <w:rPr>
                <w:rFonts w:ascii="Arial" w:hAnsi="Arial" w:cs="Arial"/>
                <w:b/>
              </w:rPr>
              <w:t>NVP</w:t>
            </w:r>
          </w:p>
        </w:tc>
        <w:tc>
          <w:tcPr>
            <w:tcW w:w="3870" w:type="dxa"/>
            <w:tcBorders>
              <w:top w:val="single" w:sz="4" w:space="0" w:color="auto"/>
              <w:left w:val="single" w:sz="4" w:space="0" w:color="auto"/>
              <w:bottom w:val="single" w:sz="4" w:space="0" w:color="auto"/>
              <w:right w:val="single" w:sz="4" w:space="0" w:color="auto"/>
            </w:tcBorders>
            <w:shd w:val="clear" w:color="auto" w:fill="D9D9D9"/>
          </w:tcPr>
          <w:p w:rsidR="0060461B" w:rsidRPr="0063082B" w:rsidRDefault="0060461B" w:rsidP="00BE5A5D">
            <w:pPr>
              <w:spacing w:before="120" w:after="120" w:line="240" w:lineRule="auto"/>
              <w:rPr>
                <w:rFonts w:ascii="Arial" w:hAnsi="Arial" w:cs="Arial"/>
              </w:rPr>
            </w:pPr>
            <w:r w:rsidRPr="0063082B">
              <w:rPr>
                <w:rFonts w:ascii="Arial" w:hAnsi="Arial" w:cs="Arial"/>
              </w:rPr>
              <w:t>EFV</w:t>
            </w:r>
          </w:p>
          <w:p w:rsidR="0060461B" w:rsidRPr="0063082B" w:rsidRDefault="0060461B" w:rsidP="00BE5A5D">
            <w:pPr>
              <w:spacing w:before="120" w:after="120" w:line="240" w:lineRule="auto"/>
              <w:rPr>
                <w:rFonts w:ascii="Arial" w:hAnsi="Arial" w:cs="Arial"/>
              </w:rPr>
            </w:pPr>
            <w:r w:rsidRPr="0063082B">
              <w:rPr>
                <w:rFonts w:ascii="Arial" w:hAnsi="Arial" w:cs="Arial"/>
              </w:rPr>
              <w:t>If the patient cannot tolerate either NNRTU, use boosted PI</w:t>
            </w:r>
          </w:p>
        </w:tc>
      </w:tr>
      <w:tr w:rsidR="0060461B" w:rsidRPr="0063082B" w:rsidTr="00BE5A5D">
        <w:tc>
          <w:tcPr>
            <w:tcW w:w="4338" w:type="dxa"/>
            <w:tcBorders>
              <w:top w:val="single" w:sz="4" w:space="0" w:color="auto"/>
              <w:left w:val="single" w:sz="4" w:space="0" w:color="auto"/>
              <w:bottom w:val="single" w:sz="4" w:space="0" w:color="auto"/>
              <w:right w:val="single" w:sz="4" w:space="0" w:color="auto"/>
            </w:tcBorders>
            <w:shd w:val="clear" w:color="auto" w:fill="D9D9D9"/>
          </w:tcPr>
          <w:p w:rsidR="0060461B" w:rsidRPr="0063082B" w:rsidRDefault="0060461B" w:rsidP="00BE5A5D">
            <w:pPr>
              <w:spacing w:before="120" w:after="120" w:line="240" w:lineRule="auto"/>
              <w:rPr>
                <w:rFonts w:ascii="Arial" w:hAnsi="Arial" w:cs="Arial"/>
              </w:rPr>
            </w:pPr>
            <w:r w:rsidRPr="0063082B">
              <w:rPr>
                <w:rFonts w:ascii="Arial" w:hAnsi="Arial" w:cs="Arial"/>
              </w:rPr>
              <w:t xml:space="preserve">Severe or life-threatening rash (Stevens-Johnson syndrome) </w:t>
            </w:r>
          </w:p>
        </w:tc>
        <w:tc>
          <w:tcPr>
            <w:tcW w:w="1980" w:type="dxa"/>
            <w:vMerge/>
            <w:tcBorders>
              <w:left w:val="single" w:sz="4" w:space="0" w:color="auto"/>
              <w:bottom w:val="single" w:sz="4" w:space="0" w:color="auto"/>
              <w:right w:val="single" w:sz="4" w:space="0" w:color="auto"/>
            </w:tcBorders>
          </w:tcPr>
          <w:p w:rsidR="0060461B" w:rsidRPr="0063082B" w:rsidRDefault="0060461B" w:rsidP="00BE5A5D">
            <w:pPr>
              <w:spacing w:before="120" w:after="120" w:line="240" w:lineRule="auto"/>
              <w:rPr>
                <w:rFonts w:ascii="Arial" w:hAnsi="Arial" w:cs="Arial"/>
              </w:rPr>
            </w:pPr>
          </w:p>
        </w:tc>
        <w:tc>
          <w:tcPr>
            <w:tcW w:w="3870" w:type="dxa"/>
            <w:tcBorders>
              <w:left w:val="single" w:sz="4" w:space="0" w:color="auto"/>
              <w:bottom w:val="single" w:sz="4" w:space="0" w:color="auto"/>
              <w:right w:val="single" w:sz="4" w:space="0" w:color="auto"/>
            </w:tcBorders>
            <w:shd w:val="clear" w:color="auto" w:fill="D9D9D9"/>
          </w:tcPr>
          <w:p w:rsidR="0060461B" w:rsidRPr="0063082B" w:rsidRDefault="0060461B" w:rsidP="00BE5A5D">
            <w:pPr>
              <w:spacing w:before="120" w:after="120" w:line="240" w:lineRule="auto"/>
              <w:rPr>
                <w:rFonts w:ascii="Arial" w:hAnsi="Arial" w:cs="Arial"/>
              </w:rPr>
            </w:pPr>
            <w:r w:rsidRPr="0063082B">
              <w:rPr>
                <w:rFonts w:ascii="Arial" w:hAnsi="Arial" w:cs="Arial"/>
              </w:rPr>
              <w:t>boosted PI</w:t>
            </w:r>
          </w:p>
        </w:tc>
      </w:tr>
      <w:tr w:rsidR="0060461B" w:rsidRPr="0063082B" w:rsidTr="00BE5A5D">
        <w:trPr>
          <w:trHeight w:val="359"/>
        </w:trPr>
        <w:tc>
          <w:tcPr>
            <w:tcW w:w="4338" w:type="dxa"/>
            <w:tcBorders>
              <w:top w:val="single" w:sz="4" w:space="0" w:color="auto"/>
              <w:left w:val="single" w:sz="4" w:space="0" w:color="auto"/>
              <w:bottom w:val="single" w:sz="4" w:space="0" w:color="auto"/>
              <w:right w:val="single" w:sz="4" w:space="0" w:color="auto"/>
            </w:tcBorders>
            <w:shd w:val="clear" w:color="auto" w:fill="auto"/>
          </w:tcPr>
          <w:p w:rsidR="0060461B" w:rsidRPr="0063082B" w:rsidRDefault="0060461B" w:rsidP="00BE5A5D">
            <w:pPr>
              <w:spacing w:before="120" w:after="120" w:line="240" w:lineRule="auto"/>
              <w:rPr>
                <w:rFonts w:ascii="Arial" w:hAnsi="Arial" w:cs="Arial"/>
              </w:rPr>
            </w:pPr>
            <w:r w:rsidRPr="0063082B">
              <w:rPr>
                <w:rFonts w:ascii="Arial" w:hAnsi="Arial" w:cs="Arial"/>
              </w:rPr>
              <w:t>Hypersensitivity reaction</w:t>
            </w:r>
          </w:p>
        </w:tc>
        <w:tc>
          <w:tcPr>
            <w:tcW w:w="1980" w:type="dxa"/>
            <w:tcBorders>
              <w:left w:val="single" w:sz="4" w:space="0" w:color="auto"/>
              <w:bottom w:val="single" w:sz="4" w:space="0" w:color="auto"/>
              <w:right w:val="single" w:sz="4" w:space="0" w:color="auto"/>
            </w:tcBorders>
            <w:shd w:val="clear" w:color="auto" w:fill="auto"/>
          </w:tcPr>
          <w:p w:rsidR="0060461B" w:rsidRPr="0063082B" w:rsidRDefault="0060461B" w:rsidP="00BE5A5D">
            <w:pPr>
              <w:spacing w:before="120" w:after="120" w:line="240" w:lineRule="auto"/>
              <w:jc w:val="center"/>
              <w:rPr>
                <w:rFonts w:ascii="Arial" w:hAnsi="Arial" w:cs="Arial"/>
              </w:rPr>
            </w:pPr>
            <w:r w:rsidRPr="0063082B">
              <w:rPr>
                <w:rFonts w:ascii="Arial" w:hAnsi="Arial" w:cs="Arial"/>
              </w:rPr>
              <w:t>ABC</w:t>
            </w:r>
          </w:p>
        </w:tc>
        <w:tc>
          <w:tcPr>
            <w:tcW w:w="3870" w:type="dxa"/>
            <w:tcBorders>
              <w:left w:val="single" w:sz="4" w:space="0" w:color="auto"/>
              <w:bottom w:val="single" w:sz="4" w:space="0" w:color="auto"/>
              <w:right w:val="single" w:sz="4" w:space="0" w:color="auto"/>
            </w:tcBorders>
            <w:shd w:val="clear" w:color="auto" w:fill="auto"/>
          </w:tcPr>
          <w:p w:rsidR="0060461B" w:rsidRPr="0063082B" w:rsidRDefault="0060461B" w:rsidP="00BE5A5D">
            <w:pPr>
              <w:spacing w:before="120" w:after="120" w:line="240" w:lineRule="auto"/>
              <w:rPr>
                <w:rFonts w:ascii="Arial" w:hAnsi="Arial" w:cs="Arial"/>
              </w:rPr>
            </w:pPr>
            <w:r w:rsidRPr="0063082B">
              <w:rPr>
                <w:rFonts w:ascii="Arial" w:hAnsi="Arial" w:cs="Arial"/>
              </w:rPr>
              <w:t>AZT</w:t>
            </w:r>
          </w:p>
        </w:tc>
      </w:tr>
      <w:tr w:rsidR="0060461B" w:rsidRPr="0063082B" w:rsidTr="00BE5A5D">
        <w:trPr>
          <w:trHeight w:val="791"/>
        </w:trPr>
        <w:tc>
          <w:tcPr>
            <w:tcW w:w="4338" w:type="dxa"/>
            <w:tcBorders>
              <w:top w:val="single" w:sz="4" w:space="0" w:color="auto"/>
              <w:left w:val="single" w:sz="4" w:space="0" w:color="auto"/>
              <w:bottom w:val="single" w:sz="4" w:space="0" w:color="auto"/>
              <w:right w:val="single" w:sz="4" w:space="0" w:color="auto"/>
            </w:tcBorders>
            <w:shd w:val="clear" w:color="auto" w:fill="D9D9D9"/>
          </w:tcPr>
          <w:p w:rsidR="0060461B" w:rsidRPr="0063082B" w:rsidRDefault="0060461B" w:rsidP="00BE5A5D">
            <w:pPr>
              <w:spacing w:before="120" w:after="120" w:line="240" w:lineRule="auto"/>
              <w:rPr>
                <w:rFonts w:ascii="Arial" w:hAnsi="Arial" w:cs="Arial"/>
              </w:rPr>
            </w:pPr>
            <w:r w:rsidRPr="0063082B">
              <w:rPr>
                <w:rFonts w:ascii="Arial" w:hAnsi="Arial" w:cs="Arial"/>
              </w:rPr>
              <w:t>Lipoatrophy/metabolic syndrome</w:t>
            </w:r>
          </w:p>
        </w:tc>
        <w:tc>
          <w:tcPr>
            <w:tcW w:w="1980" w:type="dxa"/>
            <w:tcBorders>
              <w:left w:val="single" w:sz="4" w:space="0" w:color="auto"/>
              <w:bottom w:val="single" w:sz="4" w:space="0" w:color="auto"/>
              <w:right w:val="single" w:sz="4" w:space="0" w:color="auto"/>
            </w:tcBorders>
            <w:shd w:val="clear" w:color="auto" w:fill="D9D9D9"/>
          </w:tcPr>
          <w:p w:rsidR="0060461B" w:rsidRPr="0063082B" w:rsidRDefault="0060461B" w:rsidP="00BE5A5D">
            <w:pPr>
              <w:spacing w:before="120" w:after="120" w:line="240" w:lineRule="auto"/>
              <w:jc w:val="center"/>
              <w:rPr>
                <w:rFonts w:ascii="Arial" w:hAnsi="Arial" w:cs="Arial"/>
              </w:rPr>
            </w:pPr>
            <w:r w:rsidRPr="0063082B">
              <w:rPr>
                <w:rFonts w:ascii="Arial" w:hAnsi="Arial" w:cs="Arial"/>
              </w:rPr>
              <w:t xml:space="preserve">LPV/r </w:t>
            </w:r>
          </w:p>
        </w:tc>
        <w:tc>
          <w:tcPr>
            <w:tcW w:w="3870" w:type="dxa"/>
            <w:tcBorders>
              <w:left w:val="single" w:sz="4" w:space="0" w:color="auto"/>
              <w:bottom w:val="single" w:sz="4" w:space="0" w:color="auto"/>
              <w:right w:val="single" w:sz="4" w:space="0" w:color="auto"/>
            </w:tcBorders>
            <w:shd w:val="clear" w:color="auto" w:fill="D9D9D9"/>
          </w:tcPr>
          <w:p w:rsidR="0060461B" w:rsidRPr="0063082B" w:rsidRDefault="0060461B" w:rsidP="00BE5A5D">
            <w:pPr>
              <w:spacing w:before="120" w:after="120" w:line="240" w:lineRule="auto"/>
              <w:rPr>
                <w:rFonts w:ascii="Arial" w:hAnsi="Arial" w:cs="Arial"/>
              </w:rPr>
            </w:pPr>
            <w:r w:rsidRPr="0063082B">
              <w:rPr>
                <w:rFonts w:ascii="Arial" w:hAnsi="Arial" w:cs="Arial"/>
              </w:rPr>
              <w:t>If LPV/r is used in first line ART for children, use an age appropriate NNRTI (NVP for children younger than 3 years and EFV for children 3 years and older)</w:t>
            </w:r>
          </w:p>
          <w:p w:rsidR="0060461B" w:rsidRPr="0063082B" w:rsidRDefault="0060461B" w:rsidP="00BE5A5D">
            <w:pPr>
              <w:spacing w:before="120" w:after="120" w:line="240" w:lineRule="auto"/>
              <w:jc w:val="both"/>
              <w:rPr>
                <w:rFonts w:ascii="Arial" w:hAnsi="Arial" w:cs="Arial"/>
              </w:rPr>
            </w:pPr>
          </w:p>
          <w:p w:rsidR="0060461B" w:rsidRPr="0063082B" w:rsidRDefault="0060461B" w:rsidP="00BE5A5D">
            <w:pPr>
              <w:spacing w:before="120" w:after="120" w:line="240" w:lineRule="auto"/>
              <w:jc w:val="both"/>
              <w:rPr>
                <w:rFonts w:ascii="Arial" w:hAnsi="Arial" w:cs="Arial"/>
              </w:rPr>
            </w:pPr>
            <w:r w:rsidRPr="0063082B">
              <w:rPr>
                <w:rFonts w:ascii="Arial" w:hAnsi="Arial" w:cs="Arial"/>
              </w:rPr>
              <w:t>ATV/r can be used for children older than 6 years</w:t>
            </w:r>
          </w:p>
        </w:tc>
      </w:tr>
      <w:tr w:rsidR="0060461B" w:rsidRPr="0063082B" w:rsidTr="00BE5A5D">
        <w:tc>
          <w:tcPr>
            <w:tcW w:w="4338" w:type="dxa"/>
            <w:tcBorders>
              <w:top w:val="single" w:sz="4" w:space="0" w:color="auto"/>
              <w:left w:val="single" w:sz="4" w:space="0" w:color="auto"/>
              <w:bottom w:val="single" w:sz="4" w:space="0" w:color="auto"/>
              <w:right w:val="single" w:sz="4" w:space="0" w:color="auto"/>
            </w:tcBorders>
            <w:shd w:val="clear" w:color="auto" w:fill="auto"/>
          </w:tcPr>
          <w:p w:rsidR="0060461B" w:rsidRPr="0063082B" w:rsidRDefault="0060461B" w:rsidP="00BE5A5D">
            <w:pPr>
              <w:spacing w:before="120" w:after="120" w:line="240" w:lineRule="auto"/>
              <w:rPr>
                <w:rFonts w:ascii="Arial" w:hAnsi="Arial" w:cs="Arial"/>
              </w:rPr>
            </w:pPr>
            <w:r w:rsidRPr="0063082B">
              <w:rPr>
                <w:rFonts w:ascii="Arial" w:hAnsi="Arial" w:cs="Arial"/>
              </w:rPr>
              <w:t xml:space="preserve">Severe anaemia or neutropenia </w:t>
            </w:r>
          </w:p>
        </w:tc>
        <w:tc>
          <w:tcPr>
            <w:tcW w:w="1980" w:type="dxa"/>
            <w:vMerge w:val="restart"/>
            <w:tcBorders>
              <w:left w:val="single" w:sz="4" w:space="0" w:color="auto"/>
              <w:right w:val="single" w:sz="4" w:space="0" w:color="auto"/>
            </w:tcBorders>
            <w:shd w:val="clear" w:color="auto" w:fill="auto"/>
          </w:tcPr>
          <w:p w:rsidR="0060461B" w:rsidRPr="0063082B" w:rsidRDefault="0060461B" w:rsidP="00BE5A5D">
            <w:pPr>
              <w:spacing w:before="120" w:after="120" w:line="240" w:lineRule="auto"/>
              <w:jc w:val="center"/>
              <w:rPr>
                <w:rFonts w:ascii="Arial" w:hAnsi="Arial" w:cs="Arial"/>
              </w:rPr>
            </w:pPr>
            <w:r w:rsidRPr="0063082B">
              <w:rPr>
                <w:rFonts w:ascii="Arial" w:hAnsi="Arial" w:cs="Arial"/>
              </w:rPr>
              <w:t>AZT</w:t>
            </w:r>
          </w:p>
        </w:tc>
        <w:tc>
          <w:tcPr>
            <w:tcW w:w="3870" w:type="dxa"/>
            <w:vMerge w:val="restart"/>
            <w:tcBorders>
              <w:left w:val="single" w:sz="4" w:space="0" w:color="auto"/>
              <w:right w:val="single" w:sz="4" w:space="0" w:color="auto"/>
            </w:tcBorders>
            <w:shd w:val="clear" w:color="auto" w:fill="auto"/>
          </w:tcPr>
          <w:p w:rsidR="0060461B" w:rsidRPr="0063082B" w:rsidRDefault="0060461B" w:rsidP="00BE5A5D">
            <w:pPr>
              <w:spacing w:before="120" w:after="120" w:line="240" w:lineRule="auto"/>
              <w:rPr>
                <w:rFonts w:ascii="Arial" w:hAnsi="Arial" w:cs="Arial"/>
              </w:rPr>
            </w:pPr>
            <w:r w:rsidRPr="0063082B">
              <w:rPr>
                <w:rFonts w:ascii="Arial" w:hAnsi="Arial" w:cs="Arial"/>
              </w:rPr>
              <w:t xml:space="preserve">Substitute with ABC if &lt; 35 kg </w:t>
            </w:r>
          </w:p>
          <w:p w:rsidR="0060461B" w:rsidRPr="0063082B" w:rsidRDefault="0060461B" w:rsidP="00BE5A5D">
            <w:pPr>
              <w:spacing w:before="120" w:after="120" w:line="240" w:lineRule="auto"/>
              <w:rPr>
                <w:rFonts w:ascii="Arial" w:hAnsi="Arial" w:cs="Arial"/>
              </w:rPr>
            </w:pPr>
          </w:p>
          <w:p w:rsidR="0060461B" w:rsidRPr="0063082B" w:rsidRDefault="0060461B" w:rsidP="00BE5A5D">
            <w:pPr>
              <w:spacing w:before="120" w:after="120" w:line="240" w:lineRule="auto"/>
              <w:rPr>
                <w:rFonts w:ascii="Arial" w:hAnsi="Arial" w:cs="Arial"/>
              </w:rPr>
            </w:pPr>
            <w:r w:rsidRPr="0063082B">
              <w:rPr>
                <w:rFonts w:ascii="Arial" w:hAnsi="Arial" w:cs="Arial"/>
              </w:rPr>
              <w:t xml:space="preserve">Substitute with TDF if </w:t>
            </w:r>
            <w:r w:rsidRPr="0063082B">
              <w:rPr>
                <w:rFonts w:ascii="Arial" w:hAnsi="Arial" w:cs="Arial"/>
                <w:u w:val="single"/>
              </w:rPr>
              <w:t>&gt; 35 kg</w:t>
            </w:r>
          </w:p>
        </w:tc>
      </w:tr>
      <w:tr w:rsidR="0060461B" w:rsidRPr="0063082B" w:rsidTr="00BE5A5D">
        <w:tc>
          <w:tcPr>
            <w:tcW w:w="4338" w:type="dxa"/>
            <w:tcBorders>
              <w:top w:val="single" w:sz="4" w:space="0" w:color="auto"/>
              <w:left w:val="single" w:sz="4" w:space="0" w:color="auto"/>
              <w:bottom w:val="single" w:sz="4" w:space="0" w:color="auto"/>
              <w:right w:val="single" w:sz="4" w:space="0" w:color="auto"/>
            </w:tcBorders>
            <w:shd w:val="clear" w:color="auto" w:fill="auto"/>
          </w:tcPr>
          <w:p w:rsidR="0060461B" w:rsidRPr="0063082B" w:rsidRDefault="0060461B" w:rsidP="00BE5A5D">
            <w:pPr>
              <w:spacing w:before="120" w:after="120" w:line="240" w:lineRule="auto"/>
              <w:rPr>
                <w:rFonts w:ascii="Arial" w:hAnsi="Arial" w:cs="Arial"/>
              </w:rPr>
            </w:pPr>
            <w:r w:rsidRPr="0063082B">
              <w:rPr>
                <w:rFonts w:ascii="Arial" w:hAnsi="Arial" w:cs="Arial"/>
              </w:rPr>
              <w:t>Severe gastrointestinal intolerance</w:t>
            </w:r>
          </w:p>
        </w:tc>
        <w:tc>
          <w:tcPr>
            <w:tcW w:w="1980" w:type="dxa"/>
            <w:vMerge/>
            <w:tcBorders>
              <w:left w:val="single" w:sz="4" w:space="0" w:color="auto"/>
              <w:bottom w:val="single" w:sz="4" w:space="0" w:color="auto"/>
              <w:right w:val="single" w:sz="4" w:space="0" w:color="auto"/>
            </w:tcBorders>
            <w:shd w:val="clear" w:color="auto" w:fill="auto"/>
          </w:tcPr>
          <w:p w:rsidR="0060461B" w:rsidRPr="0063082B" w:rsidRDefault="0060461B" w:rsidP="00BE5A5D">
            <w:pPr>
              <w:spacing w:before="120" w:after="120" w:line="240" w:lineRule="auto"/>
              <w:jc w:val="center"/>
              <w:rPr>
                <w:rFonts w:ascii="Arial" w:hAnsi="Arial" w:cs="Arial"/>
              </w:rPr>
            </w:pPr>
          </w:p>
        </w:tc>
        <w:tc>
          <w:tcPr>
            <w:tcW w:w="3870" w:type="dxa"/>
            <w:vMerge/>
            <w:tcBorders>
              <w:left w:val="single" w:sz="4" w:space="0" w:color="auto"/>
              <w:bottom w:val="single" w:sz="4" w:space="0" w:color="auto"/>
              <w:right w:val="single" w:sz="4" w:space="0" w:color="auto"/>
            </w:tcBorders>
            <w:shd w:val="clear" w:color="auto" w:fill="auto"/>
          </w:tcPr>
          <w:p w:rsidR="0060461B" w:rsidRPr="0063082B" w:rsidRDefault="0060461B" w:rsidP="00BE5A5D">
            <w:pPr>
              <w:spacing w:before="120" w:after="120" w:line="240" w:lineRule="auto"/>
              <w:rPr>
                <w:rFonts w:ascii="Arial" w:hAnsi="Arial" w:cs="Arial"/>
              </w:rPr>
            </w:pPr>
          </w:p>
        </w:tc>
      </w:tr>
      <w:tr w:rsidR="0060461B" w:rsidRPr="0063082B" w:rsidTr="00BE5A5D">
        <w:trPr>
          <w:trHeight w:val="251"/>
        </w:trPr>
        <w:tc>
          <w:tcPr>
            <w:tcW w:w="4338" w:type="dxa"/>
            <w:tcBorders>
              <w:top w:val="single" w:sz="4" w:space="0" w:color="auto"/>
              <w:left w:val="single" w:sz="4" w:space="0" w:color="auto"/>
              <w:bottom w:val="single" w:sz="4" w:space="0" w:color="auto"/>
              <w:right w:val="single" w:sz="4" w:space="0" w:color="auto"/>
            </w:tcBorders>
            <w:shd w:val="clear" w:color="auto" w:fill="D9D9D9"/>
          </w:tcPr>
          <w:p w:rsidR="0060461B" w:rsidRPr="0063082B" w:rsidRDefault="0060461B" w:rsidP="00BE5A5D">
            <w:pPr>
              <w:spacing w:before="120" w:after="120" w:line="240" w:lineRule="auto"/>
              <w:rPr>
                <w:rFonts w:ascii="Arial" w:hAnsi="Arial" w:cs="Arial"/>
              </w:rPr>
            </w:pPr>
            <w:r w:rsidRPr="0063082B">
              <w:rPr>
                <w:rFonts w:ascii="Arial" w:hAnsi="Arial" w:cs="Arial"/>
              </w:rPr>
              <w:t xml:space="preserve">Persistent and severe central nervous system toxicity </w:t>
            </w:r>
          </w:p>
        </w:tc>
        <w:tc>
          <w:tcPr>
            <w:tcW w:w="1980" w:type="dxa"/>
            <w:tcBorders>
              <w:top w:val="single" w:sz="4" w:space="0" w:color="auto"/>
              <w:left w:val="single" w:sz="4" w:space="0" w:color="auto"/>
              <w:right w:val="single" w:sz="4" w:space="0" w:color="auto"/>
            </w:tcBorders>
            <w:shd w:val="clear" w:color="auto" w:fill="D9D9D9"/>
          </w:tcPr>
          <w:p w:rsidR="0060461B" w:rsidRPr="0063082B" w:rsidRDefault="0060461B" w:rsidP="00BE5A5D">
            <w:pPr>
              <w:spacing w:before="120" w:after="120" w:line="240" w:lineRule="auto"/>
              <w:jc w:val="center"/>
              <w:rPr>
                <w:rFonts w:ascii="Arial" w:hAnsi="Arial" w:cs="Arial"/>
              </w:rPr>
            </w:pPr>
            <w:r w:rsidRPr="0063082B">
              <w:rPr>
                <w:rFonts w:ascii="Arial" w:hAnsi="Arial" w:cs="Arial"/>
              </w:rPr>
              <w:t>EFV</w:t>
            </w:r>
          </w:p>
        </w:tc>
        <w:tc>
          <w:tcPr>
            <w:tcW w:w="3870" w:type="dxa"/>
            <w:tcBorders>
              <w:top w:val="single" w:sz="4" w:space="0" w:color="auto"/>
              <w:left w:val="single" w:sz="4" w:space="0" w:color="auto"/>
              <w:right w:val="single" w:sz="4" w:space="0" w:color="auto"/>
            </w:tcBorders>
            <w:shd w:val="clear" w:color="auto" w:fill="D9D9D9"/>
          </w:tcPr>
          <w:p w:rsidR="0060461B" w:rsidRPr="0063082B" w:rsidRDefault="0060461B" w:rsidP="00BE5A5D">
            <w:pPr>
              <w:spacing w:before="120" w:after="120" w:line="240" w:lineRule="auto"/>
              <w:rPr>
                <w:rFonts w:ascii="Arial" w:hAnsi="Arial" w:cs="Arial"/>
              </w:rPr>
            </w:pPr>
            <w:r w:rsidRPr="0063082B">
              <w:rPr>
                <w:rFonts w:ascii="Arial" w:hAnsi="Arial" w:cs="Arial"/>
              </w:rPr>
              <w:t>NVP</w:t>
            </w:r>
          </w:p>
        </w:tc>
      </w:tr>
      <w:tr w:rsidR="0060461B" w:rsidRPr="0063082B" w:rsidTr="00BE5A5D">
        <w:tc>
          <w:tcPr>
            <w:tcW w:w="4338" w:type="dxa"/>
            <w:tcBorders>
              <w:top w:val="single" w:sz="4" w:space="0" w:color="auto"/>
              <w:left w:val="single" w:sz="4" w:space="0" w:color="auto"/>
              <w:bottom w:val="single" w:sz="4" w:space="0" w:color="auto"/>
              <w:right w:val="single" w:sz="4" w:space="0" w:color="auto"/>
            </w:tcBorders>
            <w:shd w:val="clear" w:color="auto" w:fill="auto"/>
          </w:tcPr>
          <w:p w:rsidR="0060461B" w:rsidRPr="0063082B" w:rsidRDefault="0060461B" w:rsidP="00AA771C">
            <w:pPr>
              <w:spacing w:beforeLines="120" w:before="288" w:afterLines="120" w:after="288" w:line="240" w:lineRule="auto"/>
              <w:jc w:val="both"/>
              <w:rPr>
                <w:rFonts w:ascii="Arial" w:hAnsi="Arial" w:cs="Arial"/>
              </w:rPr>
            </w:pPr>
            <w:r w:rsidRPr="0063082B">
              <w:rPr>
                <w:rFonts w:ascii="Arial" w:hAnsi="Arial" w:cs="Arial"/>
              </w:rPr>
              <w:t>Tubular renal dysfunction</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60461B" w:rsidRPr="0063082B" w:rsidRDefault="0060461B" w:rsidP="00AA771C">
            <w:pPr>
              <w:spacing w:beforeLines="120" w:before="288" w:afterLines="120" w:after="288" w:line="240" w:lineRule="auto"/>
              <w:jc w:val="center"/>
              <w:rPr>
                <w:rFonts w:ascii="Arial" w:hAnsi="Arial" w:cs="Arial"/>
              </w:rPr>
            </w:pPr>
            <w:r w:rsidRPr="0063082B">
              <w:rPr>
                <w:rFonts w:ascii="Arial" w:hAnsi="Arial" w:cs="Arial"/>
              </w:rPr>
              <w:t>TDF</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60461B" w:rsidRPr="0063082B" w:rsidRDefault="0060461B" w:rsidP="00AA771C">
            <w:pPr>
              <w:spacing w:beforeLines="120" w:before="288" w:afterLines="120" w:after="288" w:line="240" w:lineRule="auto"/>
              <w:jc w:val="both"/>
              <w:rPr>
                <w:rFonts w:ascii="Arial" w:hAnsi="Arial" w:cs="Arial"/>
              </w:rPr>
            </w:pPr>
            <w:r w:rsidRPr="0063082B">
              <w:rPr>
                <w:rFonts w:ascii="Arial" w:hAnsi="Arial" w:cs="Arial"/>
              </w:rPr>
              <w:t>If TDF is being used in first line ART, substitute with AZT or ABC</w:t>
            </w:r>
          </w:p>
          <w:p w:rsidR="0060461B" w:rsidRPr="0063082B" w:rsidRDefault="0060461B" w:rsidP="00AA771C">
            <w:pPr>
              <w:spacing w:beforeLines="120" w:before="288" w:afterLines="120" w:after="288" w:line="240" w:lineRule="auto"/>
              <w:jc w:val="both"/>
              <w:rPr>
                <w:rFonts w:ascii="Arial" w:hAnsi="Arial" w:cs="Arial"/>
              </w:rPr>
            </w:pPr>
            <w:r w:rsidRPr="0063082B">
              <w:rPr>
                <w:rFonts w:ascii="Arial" w:hAnsi="Arial" w:cs="Arial"/>
              </w:rPr>
              <w:t>If TDF is being used in second line ART, substitute with ABC</w:t>
            </w:r>
          </w:p>
        </w:tc>
      </w:tr>
    </w:tbl>
    <w:p w:rsidR="0060461B" w:rsidRPr="0063082B" w:rsidRDefault="0060461B" w:rsidP="00AA771C">
      <w:pPr>
        <w:spacing w:beforeLines="120" w:before="288" w:afterLines="120" w:after="288" w:line="240" w:lineRule="auto"/>
        <w:jc w:val="both"/>
        <w:rPr>
          <w:rFonts w:ascii="Arial" w:eastAsia="HelveticaNeueLTStd-MdCn" w:hAnsi="Arial" w:cs="Arial"/>
        </w:rPr>
      </w:pPr>
    </w:p>
    <w:p w:rsidR="0060461B" w:rsidRPr="0063082B" w:rsidRDefault="0060461B" w:rsidP="00BE5A5D">
      <w:pPr>
        <w:spacing w:before="120" w:after="120" w:line="240" w:lineRule="auto"/>
        <w:jc w:val="both"/>
        <w:rPr>
          <w:rFonts w:ascii="Arial" w:hAnsi="Arial" w:cs="Arial"/>
        </w:rPr>
      </w:pPr>
    </w:p>
    <w:p w:rsidR="0071027C" w:rsidRDefault="0071027C"/>
    <w:p w:rsidR="0071027C" w:rsidRDefault="0071027C"/>
    <w:p w:rsidR="0071027C" w:rsidRDefault="0071027C"/>
    <w:p w:rsidR="0071027C" w:rsidRDefault="0071027C">
      <w:bookmarkStart w:id="777" w:name="_Toc374515276"/>
      <w:bookmarkStart w:id="778" w:name="_Toc378258207"/>
    </w:p>
    <w:p w:rsidR="0071027C" w:rsidRDefault="0071027C" w:rsidP="0071027C">
      <w:pPr>
        <w:pStyle w:val="Heading1"/>
      </w:pPr>
    </w:p>
    <w:bookmarkEnd w:id="777"/>
    <w:bookmarkEnd w:id="778"/>
    <w:p w:rsidR="0071027C" w:rsidRDefault="0071027C"/>
    <w:p w:rsidR="0071027C" w:rsidRDefault="0071027C"/>
    <w:p w:rsidR="000815A7" w:rsidRDefault="000815A7" w:rsidP="0071027C">
      <w:pPr>
        <w:pStyle w:val="Heading1"/>
        <w:sectPr w:rsidR="000815A7" w:rsidSect="0027452F">
          <w:pgSz w:w="12240" w:h="15840"/>
          <w:pgMar w:top="1440" w:right="1440" w:bottom="1440" w:left="1440" w:header="720" w:footer="720" w:gutter="0"/>
          <w:cols w:space="720"/>
          <w:docGrid w:linePitch="360"/>
        </w:sectPr>
      </w:pPr>
      <w:bookmarkStart w:id="779" w:name="_Toc375050282"/>
      <w:bookmarkStart w:id="780" w:name="_Toc378258244"/>
      <w:bookmarkStart w:id="781" w:name="_Toc382214100"/>
    </w:p>
    <w:p w:rsidR="0071027C" w:rsidRPr="00E67F8E" w:rsidRDefault="0071027C" w:rsidP="0071027C">
      <w:pPr>
        <w:pStyle w:val="Heading1"/>
      </w:pPr>
      <w:r w:rsidRPr="00E67F8E">
        <w:t>CHAPTER 10: TB AND HIV CO-INFECTION</w:t>
      </w:r>
      <w:bookmarkEnd w:id="779"/>
      <w:bookmarkEnd w:id="780"/>
      <w:bookmarkEnd w:id="781"/>
    </w:p>
    <w:p w:rsidR="0071027C" w:rsidRPr="00427740" w:rsidRDefault="0071027C" w:rsidP="0071027C">
      <w:pPr>
        <w:pStyle w:val="Heading2"/>
        <w:spacing w:before="120" w:after="120" w:line="240" w:lineRule="auto"/>
        <w:rPr>
          <w:szCs w:val="24"/>
        </w:rPr>
      </w:pPr>
      <w:bookmarkStart w:id="782" w:name="_Toc375050283"/>
      <w:bookmarkStart w:id="783" w:name="_Toc378258245"/>
      <w:bookmarkStart w:id="784" w:name="_Toc382214101"/>
      <w:r w:rsidRPr="00427740">
        <w:rPr>
          <w:szCs w:val="24"/>
        </w:rPr>
        <w:t>10.1. Introduction</w:t>
      </w:r>
      <w:bookmarkEnd w:id="782"/>
      <w:bookmarkEnd w:id="783"/>
      <w:bookmarkEnd w:id="784"/>
    </w:p>
    <w:p w:rsidR="0071027C" w:rsidRPr="00E67F8E" w:rsidRDefault="0071027C" w:rsidP="0071027C">
      <w:pPr>
        <w:tabs>
          <w:tab w:val="left" w:pos="4500"/>
        </w:tabs>
        <w:spacing w:before="120" w:after="120" w:line="240" w:lineRule="auto"/>
        <w:jc w:val="both"/>
        <w:rPr>
          <w:rFonts w:ascii="Arial" w:hAnsi="Arial" w:cs="Arial"/>
        </w:rPr>
      </w:pPr>
      <w:r w:rsidRPr="00E67F8E">
        <w:rPr>
          <w:rFonts w:ascii="Arial" w:hAnsi="Arial" w:cs="Arial"/>
        </w:rPr>
        <w:t>TB and HIV are overlapping epidemics. Both have been declared global emergencies demanding global attention. HIV is the strongest risk factor for the development of TB. It increases the progression from TB infection to active disease. The likelihood of developing TB in an individual who is HIV negative is 5-10%, while for those who are HIV positive the risk is higher at 20-30-%</w:t>
      </w:r>
      <w:r w:rsidRPr="00E67F8E">
        <w:rPr>
          <w:rStyle w:val="FootnoteReference"/>
          <w:rFonts w:ascii="Arial" w:hAnsi="Arial" w:cs="Arial"/>
        </w:rPr>
        <w:footnoteReference w:id="10"/>
      </w:r>
      <w:r w:rsidRPr="00E67F8E">
        <w:rPr>
          <w:rFonts w:ascii="Arial" w:hAnsi="Arial" w:cs="Arial"/>
        </w:rPr>
        <w:t>. HIV also increases the risk of TB reactivation</w:t>
      </w:r>
      <w:r w:rsidRPr="00E67F8E">
        <w:rPr>
          <w:rFonts w:ascii="Arial" w:hAnsi="Arial" w:cs="Arial"/>
          <w:b/>
          <w:bCs/>
        </w:rPr>
        <w:t xml:space="preserve">. </w:t>
      </w:r>
      <w:r w:rsidRPr="00E67F8E">
        <w:rPr>
          <w:rFonts w:ascii="Arial" w:hAnsi="Arial" w:cs="Arial"/>
        </w:rPr>
        <w:t>On the other hand, TB increases the risk of progression from HIV to AIDS disease; TB is the most common opportunistic infection; and the major cause of death among AIDS patients.</w:t>
      </w:r>
    </w:p>
    <w:p w:rsidR="0071027C" w:rsidRPr="00E67F8E" w:rsidRDefault="0071027C" w:rsidP="0071027C">
      <w:pPr>
        <w:spacing w:before="120" w:after="120" w:line="240" w:lineRule="auto"/>
        <w:jc w:val="both"/>
        <w:rPr>
          <w:rFonts w:ascii="Arial" w:hAnsi="Arial" w:cs="Arial"/>
        </w:rPr>
      </w:pPr>
      <w:r w:rsidRPr="00E67F8E">
        <w:rPr>
          <w:rFonts w:ascii="Arial" w:hAnsi="Arial" w:cs="Arial"/>
        </w:rPr>
        <w:t>HIV is fuelling the TB epidemic in many countries especially in Sub-Saharan Africa. Globally there were 8.7 million cases of TB in 2011 and Africa alone contributed 26% of the cases. Tanzania is one of the 22 high-TB burden countries in the world. The prevalence rate for TB is estimated at 176 per 100,000 populations</w:t>
      </w:r>
      <w:r w:rsidRPr="00E67F8E">
        <w:rPr>
          <w:rStyle w:val="FootnoteReference"/>
          <w:rFonts w:ascii="Arial" w:hAnsi="Arial" w:cs="Arial"/>
        </w:rPr>
        <w:footnoteReference w:id="11"/>
      </w:r>
      <w:r w:rsidRPr="00E67F8E">
        <w:rPr>
          <w:rFonts w:ascii="Arial" w:hAnsi="Arial" w:cs="Arial"/>
        </w:rPr>
        <w:t>.  TB case notifications have stabilized for the past three years at about 50% of expected WHO case detection estimates</w:t>
      </w:r>
      <w:r w:rsidRPr="00E67F8E">
        <w:rPr>
          <w:rStyle w:val="FootnoteReference"/>
          <w:rFonts w:ascii="Arial" w:hAnsi="Arial" w:cs="Arial"/>
        </w:rPr>
        <w:footnoteReference w:id="12"/>
      </w:r>
      <w:r w:rsidRPr="00E67F8E">
        <w:rPr>
          <w:rFonts w:ascii="Arial" w:hAnsi="Arial" w:cs="Arial"/>
        </w:rPr>
        <w:t>. TB cases notification has decreased over time: there were 64,267 cases in 2009, 63,453 in 2010, 61,838 in 2011 and 61,126 in 2012</w:t>
      </w:r>
      <w:r w:rsidRPr="00E67F8E">
        <w:rPr>
          <w:rStyle w:val="FootnoteReference"/>
          <w:rFonts w:ascii="Arial" w:hAnsi="Arial" w:cs="Arial"/>
        </w:rPr>
        <w:footnoteReference w:id="13"/>
      </w:r>
      <w:r w:rsidRPr="00E67F8E">
        <w:rPr>
          <w:rFonts w:ascii="Arial" w:hAnsi="Arial" w:cs="Arial"/>
        </w:rPr>
        <w:t xml:space="preserve">. NTLP data also shows that around 39% of TB patients are co-infected with HIV and TB mortality rate is 15 per 100,000 population (HIV +ve TB cases only) and 13 per 100,000 populations (excluding HIV +ve TB cases).  </w:t>
      </w:r>
    </w:p>
    <w:p w:rsidR="0071027C" w:rsidRPr="00427740" w:rsidRDefault="0071027C" w:rsidP="0071027C">
      <w:pPr>
        <w:pStyle w:val="Heading2"/>
        <w:spacing w:before="120" w:after="120" w:line="240" w:lineRule="auto"/>
        <w:rPr>
          <w:szCs w:val="24"/>
        </w:rPr>
      </w:pPr>
      <w:bookmarkStart w:id="785" w:name="_Toc375050284"/>
      <w:bookmarkStart w:id="786" w:name="_Toc376606941"/>
      <w:bookmarkStart w:id="787" w:name="_Toc376771948"/>
      <w:bookmarkStart w:id="788" w:name="_Toc378258246"/>
      <w:bookmarkStart w:id="789" w:name="_Toc382214102"/>
      <w:r w:rsidRPr="00427740">
        <w:rPr>
          <w:szCs w:val="24"/>
        </w:rPr>
        <w:t>10.2. TB Management in HIV and AIDS Patients</w:t>
      </w:r>
      <w:bookmarkEnd w:id="785"/>
      <w:bookmarkEnd w:id="786"/>
      <w:bookmarkEnd w:id="787"/>
      <w:bookmarkEnd w:id="788"/>
      <w:bookmarkEnd w:id="789"/>
    </w:p>
    <w:p w:rsidR="0071027C" w:rsidRPr="00427740" w:rsidRDefault="0071027C" w:rsidP="0071027C">
      <w:pPr>
        <w:pStyle w:val="Heading3"/>
        <w:spacing w:before="120" w:after="120" w:line="240" w:lineRule="auto"/>
        <w:rPr>
          <w:szCs w:val="24"/>
        </w:rPr>
      </w:pPr>
      <w:bookmarkStart w:id="790" w:name="_Toc375050285"/>
      <w:bookmarkStart w:id="791" w:name="_Toc376606942"/>
      <w:bookmarkStart w:id="792" w:name="_Toc376771949"/>
      <w:bookmarkStart w:id="793" w:name="_Toc378258247"/>
      <w:bookmarkStart w:id="794" w:name="_Toc382214103"/>
      <w:bookmarkStart w:id="795" w:name="_Toc129935034"/>
      <w:bookmarkStart w:id="796" w:name="_Toc129936390"/>
      <w:r w:rsidRPr="00427740">
        <w:rPr>
          <w:szCs w:val="24"/>
        </w:rPr>
        <w:t>10.2.1. Pattern of HIV-related TB</w:t>
      </w:r>
      <w:bookmarkEnd w:id="790"/>
      <w:bookmarkEnd w:id="791"/>
      <w:bookmarkEnd w:id="792"/>
      <w:bookmarkEnd w:id="793"/>
      <w:bookmarkEnd w:id="794"/>
    </w:p>
    <w:p w:rsidR="0071027C" w:rsidRPr="00E67F8E" w:rsidRDefault="0071027C" w:rsidP="0071027C">
      <w:pPr>
        <w:spacing w:before="120" w:after="120" w:line="240" w:lineRule="auto"/>
        <w:jc w:val="both"/>
        <w:rPr>
          <w:rFonts w:ascii="Arial" w:hAnsi="Arial" w:cs="Arial"/>
        </w:rPr>
      </w:pPr>
      <w:r w:rsidRPr="00E67F8E">
        <w:rPr>
          <w:rFonts w:ascii="Arial" w:hAnsi="Arial" w:cs="Arial"/>
        </w:rPr>
        <w:t xml:space="preserve">HIV not only increases the number of TB cases, but also influences the clinical course of TB disease. As HIV infection progresses, CD4+ T-Lymphocytes that play an important role in the body’s defense against tubercle bacilli decline in number and function.  Thus, the immune system fails to prevent the growth and local spread of </w:t>
      </w:r>
      <w:r w:rsidRPr="00E67F8E">
        <w:rPr>
          <w:rFonts w:ascii="Arial" w:hAnsi="Arial" w:cs="Arial"/>
          <w:i/>
        </w:rPr>
        <w:t>M. tuberculosis</w:t>
      </w:r>
      <w:r w:rsidRPr="00E67F8E">
        <w:rPr>
          <w:rFonts w:ascii="Arial" w:hAnsi="Arial" w:cs="Arial"/>
        </w:rPr>
        <w:t>. There are two types of TB: Pulmonary and Extra pulmonary TB. The most common type of TB in HIV is extra pulmonary TB.</w:t>
      </w:r>
    </w:p>
    <w:p w:rsidR="0071027C" w:rsidRPr="00427740" w:rsidRDefault="0071027C" w:rsidP="0071027C">
      <w:pPr>
        <w:pStyle w:val="Heading3"/>
        <w:rPr>
          <w:szCs w:val="24"/>
        </w:rPr>
      </w:pPr>
      <w:bookmarkStart w:id="797" w:name="_Toc375050286"/>
      <w:bookmarkStart w:id="798" w:name="_Toc376606943"/>
      <w:bookmarkStart w:id="799" w:name="_Toc376771950"/>
      <w:bookmarkStart w:id="800" w:name="_Toc378258248"/>
      <w:bookmarkStart w:id="801" w:name="_Toc382214104"/>
      <w:r w:rsidRPr="00427740">
        <w:rPr>
          <w:szCs w:val="24"/>
        </w:rPr>
        <w:t>10.2.2. Pulmonary TB</w:t>
      </w:r>
      <w:bookmarkEnd w:id="797"/>
      <w:bookmarkEnd w:id="798"/>
      <w:bookmarkEnd w:id="799"/>
      <w:bookmarkEnd w:id="800"/>
      <w:bookmarkEnd w:id="801"/>
    </w:p>
    <w:p w:rsidR="0071027C" w:rsidRPr="00E67F8E" w:rsidRDefault="0071027C" w:rsidP="0071027C">
      <w:pPr>
        <w:autoSpaceDE w:val="0"/>
        <w:autoSpaceDN w:val="0"/>
        <w:adjustRightInd w:val="0"/>
        <w:spacing w:before="120" w:after="120" w:line="240" w:lineRule="auto"/>
        <w:jc w:val="both"/>
        <w:rPr>
          <w:rFonts w:ascii="Arial" w:hAnsi="Arial" w:cs="Arial"/>
        </w:rPr>
      </w:pPr>
      <w:r w:rsidRPr="00E67F8E">
        <w:rPr>
          <w:rFonts w:ascii="Arial" w:hAnsi="Arial" w:cs="Arial"/>
        </w:rPr>
        <w:t xml:space="preserve">According to NTLP Report 2012 among the 61,126 notified TB cases in 2012, 25,138 were new smear-positive PTB cases, 21,393 were new smear-negative PTB cases, 14,595 were EPTB cases, 1,052 were relapses and 1,828 were retreatment cases, excluding relapses. </w:t>
      </w:r>
    </w:p>
    <w:p w:rsidR="0071027C" w:rsidRPr="00E67F8E" w:rsidRDefault="0071027C" w:rsidP="0071027C">
      <w:pPr>
        <w:autoSpaceDE w:val="0"/>
        <w:autoSpaceDN w:val="0"/>
        <w:adjustRightInd w:val="0"/>
        <w:spacing w:before="120" w:after="120" w:line="240" w:lineRule="auto"/>
        <w:jc w:val="both"/>
        <w:rPr>
          <w:rFonts w:ascii="Arial" w:hAnsi="Arial" w:cs="Arial"/>
          <w:i/>
          <w:iCs/>
          <w:lang w:eastAsia="en-GB"/>
        </w:rPr>
      </w:pPr>
      <w:r w:rsidRPr="00E67F8E">
        <w:rPr>
          <w:rFonts w:ascii="Arial" w:hAnsi="Arial" w:cs="Arial"/>
        </w:rPr>
        <w:t xml:space="preserve">The WHO defines </w:t>
      </w:r>
      <w:r w:rsidRPr="00E67F8E">
        <w:rPr>
          <w:rFonts w:ascii="Arial" w:hAnsi="Arial" w:cs="Arial"/>
          <w:lang w:eastAsia="en-GB"/>
        </w:rPr>
        <w:t>smear-positive pulmonary tuberculosi</w:t>
      </w:r>
      <w:r w:rsidRPr="00E67F8E">
        <w:rPr>
          <w:rFonts w:ascii="Arial" w:hAnsi="Arial" w:cs="Arial"/>
          <w:i/>
          <w:iCs/>
          <w:lang w:eastAsia="en-GB"/>
        </w:rPr>
        <w:t>s</w:t>
      </w:r>
      <w:r w:rsidRPr="00E67F8E">
        <w:rPr>
          <w:rFonts w:ascii="Arial" w:hAnsi="Arial" w:cs="Arial"/>
        </w:rPr>
        <w:t xml:space="preserve"> as a patient with </w:t>
      </w:r>
      <w:r w:rsidRPr="00E67F8E">
        <w:rPr>
          <w:rFonts w:ascii="Arial" w:hAnsi="Arial" w:cs="Arial"/>
          <w:lang w:eastAsia="en-GB"/>
        </w:rPr>
        <w:t xml:space="preserve">one sputum smear examination positive for acid-fast bacilli (AFB Smear-negative pulmonary tuberculosis is defined as the presence of at least two sputum specimens negative for AFB, radio graphical abnormalities consistent with active tuberculosis. Pulmonary TB is also indicated when a clinician decides to treat with a full course of anti-tuberculosis chemotherapy </w:t>
      </w:r>
      <w:r w:rsidRPr="00E67F8E">
        <w:rPr>
          <w:rFonts w:ascii="Arial" w:hAnsi="Arial" w:cs="Arial"/>
          <w:b/>
          <w:bCs/>
          <w:lang w:eastAsia="en-GB"/>
        </w:rPr>
        <w:t xml:space="preserve">OR </w:t>
      </w:r>
      <w:r w:rsidRPr="00E67F8E">
        <w:rPr>
          <w:rFonts w:ascii="Arial" w:hAnsi="Arial" w:cs="Arial"/>
          <w:bCs/>
          <w:lang w:eastAsia="en-GB"/>
        </w:rPr>
        <w:t>when a</w:t>
      </w:r>
      <w:r w:rsidRPr="00E67F8E">
        <w:rPr>
          <w:rFonts w:ascii="Arial" w:hAnsi="Arial" w:cs="Arial"/>
          <w:lang w:eastAsia="en-GB"/>
        </w:rPr>
        <w:t xml:space="preserve"> patient has AFB smear-negative sputum which is culture-positive for </w:t>
      </w:r>
      <w:r w:rsidRPr="00E67F8E">
        <w:rPr>
          <w:rFonts w:ascii="Arial" w:hAnsi="Arial" w:cs="Arial"/>
          <w:i/>
          <w:iCs/>
          <w:lang w:eastAsia="en-GB"/>
        </w:rPr>
        <w:t>Mycobacterium tuberculosis</w:t>
      </w:r>
      <w:r w:rsidRPr="00E67F8E">
        <w:rPr>
          <w:rFonts w:ascii="Arial" w:hAnsi="Arial" w:cs="Arial"/>
          <w:lang w:eastAsia="en-GB"/>
        </w:rPr>
        <w:t xml:space="preserve">. </w:t>
      </w:r>
    </w:p>
    <w:p w:rsidR="0071027C" w:rsidRPr="00427740" w:rsidRDefault="0071027C" w:rsidP="0071027C">
      <w:pPr>
        <w:pStyle w:val="Heading3"/>
        <w:rPr>
          <w:szCs w:val="24"/>
        </w:rPr>
      </w:pPr>
      <w:bookmarkStart w:id="802" w:name="_Toc375050287"/>
      <w:bookmarkStart w:id="803" w:name="_Toc376606944"/>
      <w:bookmarkStart w:id="804" w:name="_Toc376771951"/>
      <w:bookmarkStart w:id="805" w:name="_Toc378258249"/>
      <w:bookmarkStart w:id="806" w:name="_Toc382214105"/>
      <w:r w:rsidRPr="00427740">
        <w:rPr>
          <w:szCs w:val="24"/>
        </w:rPr>
        <w:t>10.2.3. Extra-pulmonary tuberculosis (EPTB)</w:t>
      </w:r>
      <w:bookmarkEnd w:id="802"/>
      <w:bookmarkEnd w:id="803"/>
      <w:bookmarkEnd w:id="804"/>
      <w:bookmarkEnd w:id="805"/>
      <w:bookmarkEnd w:id="806"/>
    </w:p>
    <w:p w:rsidR="0071027C" w:rsidRPr="00E67F8E" w:rsidRDefault="0071027C" w:rsidP="0071027C">
      <w:pPr>
        <w:autoSpaceDE w:val="0"/>
        <w:autoSpaceDN w:val="0"/>
        <w:adjustRightInd w:val="0"/>
        <w:spacing w:before="120" w:after="120" w:line="240" w:lineRule="auto"/>
        <w:jc w:val="both"/>
        <w:rPr>
          <w:rFonts w:ascii="Arial" w:hAnsi="Arial" w:cs="Arial"/>
          <w:lang w:eastAsia="en-GB"/>
        </w:rPr>
      </w:pPr>
      <w:r w:rsidRPr="00E67F8E">
        <w:rPr>
          <w:rFonts w:ascii="Arial" w:hAnsi="Arial" w:cs="Arial"/>
        </w:rPr>
        <w:t>About 24% of new TB patients in Tanzania present as EPTB</w:t>
      </w:r>
      <w:r w:rsidRPr="00E67F8E">
        <w:rPr>
          <w:rStyle w:val="FootnoteReference"/>
          <w:rFonts w:ascii="Arial" w:hAnsi="Arial" w:cs="Arial"/>
        </w:rPr>
        <w:footnoteReference w:id="14"/>
      </w:r>
      <w:r w:rsidRPr="00E67F8E">
        <w:rPr>
          <w:rFonts w:ascii="Arial" w:hAnsi="Arial" w:cs="Arial"/>
        </w:rPr>
        <w:t>.</w:t>
      </w:r>
      <w:r w:rsidRPr="00E67F8E">
        <w:rPr>
          <w:rFonts w:ascii="Arial" w:hAnsi="Arial" w:cs="Arial"/>
          <w:vertAlign w:val="superscript"/>
        </w:rPr>
        <w:t xml:space="preserve"> </w:t>
      </w:r>
      <w:r w:rsidRPr="00E67F8E">
        <w:rPr>
          <w:rFonts w:ascii="Arial" w:hAnsi="Arial" w:cs="Arial"/>
        </w:rPr>
        <w:t xml:space="preserve">The most common forms of extra pulmonary TB are pleural effusion, lymphadenopathy, pericardial disease, milliary disease, meningitis, spinal TB (Pott’s disease) and disseminate TB. EPTB is defined as </w:t>
      </w:r>
      <w:bookmarkEnd w:id="795"/>
      <w:bookmarkEnd w:id="796"/>
      <w:r w:rsidRPr="00E67F8E">
        <w:rPr>
          <w:rFonts w:ascii="Arial" w:hAnsi="Arial" w:cs="Arial"/>
        </w:rPr>
        <w:t xml:space="preserve">tuberculosis in organs other than the lungs proven by </w:t>
      </w:r>
      <w:r w:rsidRPr="00E67F8E">
        <w:rPr>
          <w:rFonts w:ascii="Arial" w:hAnsi="Arial" w:cs="Arial"/>
          <w:lang w:eastAsia="en-GB"/>
        </w:rPr>
        <w:t xml:space="preserve">one specimen from an extra-pulmonary site culture-positive for </w:t>
      </w:r>
      <w:r w:rsidRPr="00E67F8E">
        <w:rPr>
          <w:rFonts w:ascii="Arial" w:hAnsi="Arial" w:cs="Arial"/>
          <w:i/>
          <w:iCs/>
          <w:lang w:eastAsia="en-GB"/>
        </w:rPr>
        <w:t>Mycobacterium tuberculosis</w:t>
      </w:r>
      <w:r w:rsidRPr="00E67F8E">
        <w:rPr>
          <w:rFonts w:ascii="Arial" w:hAnsi="Arial" w:cs="Arial"/>
          <w:lang w:eastAsia="en-GB"/>
        </w:rPr>
        <w:t xml:space="preserve"> or smear-positive for AFB; </w:t>
      </w:r>
      <w:r w:rsidRPr="00E67F8E">
        <w:rPr>
          <w:rFonts w:ascii="Arial" w:hAnsi="Arial" w:cs="Arial"/>
          <w:b/>
          <w:bCs/>
          <w:lang w:eastAsia="en-GB"/>
        </w:rPr>
        <w:t xml:space="preserve">or </w:t>
      </w:r>
      <w:r w:rsidRPr="00E67F8E">
        <w:rPr>
          <w:rFonts w:ascii="Arial" w:hAnsi="Arial" w:cs="Arial"/>
          <w:lang w:eastAsia="en-GB"/>
        </w:rPr>
        <w:t>Histological or strong clinical evidence consistent with active extra-pulmonary tuberculosis.</w:t>
      </w:r>
    </w:p>
    <w:p w:rsidR="0071027C" w:rsidRPr="00E67F8E" w:rsidRDefault="0071027C" w:rsidP="0071027C">
      <w:pPr>
        <w:spacing w:before="120" w:after="120" w:line="240" w:lineRule="auto"/>
        <w:jc w:val="both"/>
        <w:rPr>
          <w:rFonts w:ascii="Arial" w:hAnsi="Arial" w:cs="Arial"/>
          <w:b/>
        </w:rPr>
      </w:pPr>
      <w:r w:rsidRPr="00E67F8E">
        <w:rPr>
          <w:rFonts w:ascii="Arial" w:hAnsi="Arial" w:cs="Arial"/>
          <w:b/>
        </w:rPr>
        <w:t>Table 10.1:  Severe and less severe extra pulmonary TB cases</w:t>
      </w:r>
    </w:p>
    <w:tbl>
      <w:tblPr>
        <w:tblW w:w="8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3780"/>
      </w:tblGrid>
      <w:tr w:rsidR="0071027C" w:rsidRPr="00E67F8E" w:rsidTr="0071027C">
        <w:tc>
          <w:tcPr>
            <w:tcW w:w="4320" w:type="dxa"/>
            <w:tcBorders>
              <w:top w:val="single" w:sz="12" w:space="0" w:color="auto"/>
              <w:left w:val="single" w:sz="12" w:space="0" w:color="auto"/>
              <w:bottom w:val="single" w:sz="12" w:space="0" w:color="auto"/>
              <w:right w:val="single" w:sz="12" w:space="0" w:color="auto"/>
            </w:tcBorders>
            <w:shd w:val="pct30" w:color="auto" w:fill="FFFFFF"/>
          </w:tcPr>
          <w:p w:rsidR="0071027C" w:rsidRPr="00E67F8E" w:rsidRDefault="0071027C" w:rsidP="0071027C">
            <w:pPr>
              <w:spacing w:before="120" w:after="120" w:line="240" w:lineRule="auto"/>
              <w:jc w:val="both"/>
              <w:rPr>
                <w:rFonts w:ascii="Arial" w:hAnsi="Arial" w:cs="Arial"/>
              </w:rPr>
            </w:pPr>
            <w:r w:rsidRPr="00E67F8E">
              <w:rPr>
                <w:rFonts w:ascii="Arial" w:hAnsi="Arial" w:cs="Arial"/>
              </w:rPr>
              <w:t>Severe extra-pulmonary TB</w:t>
            </w:r>
          </w:p>
        </w:tc>
        <w:tc>
          <w:tcPr>
            <w:tcW w:w="3780" w:type="dxa"/>
            <w:tcBorders>
              <w:top w:val="single" w:sz="12" w:space="0" w:color="auto"/>
              <w:left w:val="single" w:sz="12" w:space="0" w:color="auto"/>
              <w:bottom w:val="single" w:sz="12" w:space="0" w:color="auto"/>
              <w:right w:val="single" w:sz="12" w:space="0" w:color="auto"/>
            </w:tcBorders>
            <w:shd w:val="pct30" w:color="auto" w:fill="FFFFFF"/>
          </w:tcPr>
          <w:p w:rsidR="0071027C" w:rsidRPr="00E67F8E" w:rsidRDefault="0071027C" w:rsidP="0071027C">
            <w:pPr>
              <w:spacing w:before="120" w:after="120" w:line="240" w:lineRule="auto"/>
              <w:jc w:val="both"/>
              <w:rPr>
                <w:rFonts w:ascii="Arial" w:hAnsi="Arial" w:cs="Arial"/>
              </w:rPr>
            </w:pPr>
            <w:r w:rsidRPr="00E67F8E">
              <w:rPr>
                <w:rFonts w:ascii="Arial" w:hAnsi="Arial" w:cs="Arial"/>
              </w:rPr>
              <w:t>Less severe extra-pulmonary TB</w:t>
            </w:r>
          </w:p>
        </w:tc>
      </w:tr>
      <w:tr w:rsidR="0071027C" w:rsidRPr="00E67F8E" w:rsidTr="0071027C">
        <w:tc>
          <w:tcPr>
            <w:tcW w:w="4320" w:type="dxa"/>
            <w:tcBorders>
              <w:top w:val="nil"/>
            </w:tcBorders>
          </w:tcPr>
          <w:p w:rsidR="0071027C" w:rsidRPr="00E67F8E" w:rsidRDefault="0071027C" w:rsidP="00274941">
            <w:pPr>
              <w:widowControl/>
              <w:numPr>
                <w:ilvl w:val="0"/>
                <w:numId w:val="89"/>
              </w:numPr>
              <w:spacing w:before="120" w:after="120" w:line="240" w:lineRule="auto"/>
              <w:jc w:val="both"/>
              <w:rPr>
                <w:rFonts w:ascii="Arial" w:hAnsi="Arial" w:cs="Arial"/>
              </w:rPr>
            </w:pPr>
            <w:r w:rsidRPr="00E67F8E">
              <w:rPr>
                <w:rFonts w:ascii="Arial" w:hAnsi="Arial" w:cs="Arial"/>
              </w:rPr>
              <w:t>Meningitis</w:t>
            </w:r>
          </w:p>
          <w:p w:rsidR="0071027C" w:rsidRPr="00E67F8E" w:rsidRDefault="0071027C" w:rsidP="00274941">
            <w:pPr>
              <w:widowControl/>
              <w:numPr>
                <w:ilvl w:val="0"/>
                <w:numId w:val="89"/>
              </w:numPr>
              <w:spacing w:before="120" w:after="120" w:line="240" w:lineRule="auto"/>
              <w:jc w:val="both"/>
              <w:rPr>
                <w:rFonts w:ascii="Arial" w:hAnsi="Arial" w:cs="Arial"/>
              </w:rPr>
            </w:pPr>
            <w:r w:rsidRPr="00E67F8E">
              <w:rPr>
                <w:rFonts w:ascii="Arial" w:hAnsi="Arial" w:cs="Arial"/>
              </w:rPr>
              <w:t xml:space="preserve">milliary </w:t>
            </w:r>
          </w:p>
          <w:p w:rsidR="0071027C" w:rsidRPr="00E67F8E" w:rsidRDefault="0071027C" w:rsidP="00274941">
            <w:pPr>
              <w:widowControl/>
              <w:numPr>
                <w:ilvl w:val="0"/>
                <w:numId w:val="89"/>
              </w:numPr>
              <w:spacing w:before="120" w:after="120" w:line="240" w:lineRule="auto"/>
              <w:jc w:val="both"/>
              <w:rPr>
                <w:rFonts w:ascii="Arial" w:hAnsi="Arial" w:cs="Arial"/>
              </w:rPr>
            </w:pPr>
            <w:r w:rsidRPr="00E67F8E">
              <w:rPr>
                <w:rFonts w:ascii="Arial" w:hAnsi="Arial" w:cs="Arial"/>
              </w:rPr>
              <w:t>Pericarditis</w:t>
            </w:r>
          </w:p>
          <w:p w:rsidR="0071027C" w:rsidRPr="00E67F8E" w:rsidRDefault="0071027C" w:rsidP="00274941">
            <w:pPr>
              <w:widowControl/>
              <w:numPr>
                <w:ilvl w:val="0"/>
                <w:numId w:val="89"/>
              </w:numPr>
              <w:spacing w:before="120" w:after="120" w:line="240" w:lineRule="auto"/>
              <w:jc w:val="both"/>
              <w:rPr>
                <w:rFonts w:ascii="Arial" w:hAnsi="Arial" w:cs="Arial"/>
              </w:rPr>
            </w:pPr>
            <w:r w:rsidRPr="00E67F8E">
              <w:rPr>
                <w:rFonts w:ascii="Arial" w:hAnsi="Arial" w:cs="Arial"/>
              </w:rPr>
              <w:t>Bilateral or extensive unilateral effusion</w:t>
            </w:r>
          </w:p>
          <w:p w:rsidR="0071027C" w:rsidRPr="00E67F8E" w:rsidRDefault="0071027C" w:rsidP="00274941">
            <w:pPr>
              <w:widowControl/>
              <w:numPr>
                <w:ilvl w:val="0"/>
                <w:numId w:val="89"/>
              </w:numPr>
              <w:spacing w:before="120" w:after="120" w:line="240" w:lineRule="auto"/>
              <w:jc w:val="both"/>
              <w:rPr>
                <w:rFonts w:ascii="Arial" w:hAnsi="Arial" w:cs="Arial"/>
              </w:rPr>
            </w:pPr>
            <w:r w:rsidRPr="00E67F8E">
              <w:rPr>
                <w:rFonts w:ascii="Arial" w:hAnsi="Arial" w:cs="Arial"/>
              </w:rPr>
              <w:t>SpinalIntestinal</w:t>
            </w:r>
          </w:p>
          <w:p w:rsidR="0071027C" w:rsidRPr="00E67F8E" w:rsidRDefault="0071027C" w:rsidP="00274941">
            <w:pPr>
              <w:widowControl/>
              <w:numPr>
                <w:ilvl w:val="0"/>
                <w:numId w:val="89"/>
              </w:numPr>
              <w:spacing w:before="120" w:after="120" w:line="240" w:lineRule="auto"/>
              <w:jc w:val="both"/>
              <w:rPr>
                <w:rFonts w:ascii="Arial" w:hAnsi="Arial" w:cs="Arial"/>
              </w:rPr>
            </w:pPr>
            <w:r w:rsidRPr="00E67F8E">
              <w:rPr>
                <w:rFonts w:ascii="Arial" w:hAnsi="Arial" w:cs="Arial"/>
              </w:rPr>
              <w:t>Genito-urinary tract</w:t>
            </w:r>
          </w:p>
        </w:tc>
        <w:tc>
          <w:tcPr>
            <w:tcW w:w="3780" w:type="dxa"/>
            <w:tcBorders>
              <w:top w:val="nil"/>
            </w:tcBorders>
          </w:tcPr>
          <w:p w:rsidR="0071027C" w:rsidRPr="00E67F8E" w:rsidRDefault="0071027C" w:rsidP="00274941">
            <w:pPr>
              <w:widowControl/>
              <w:numPr>
                <w:ilvl w:val="0"/>
                <w:numId w:val="89"/>
              </w:numPr>
              <w:spacing w:before="120" w:after="120" w:line="240" w:lineRule="auto"/>
              <w:jc w:val="both"/>
              <w:rPr>
                <w:rFonts w:ascii="Arial" w:hAnsi="Arial" w:cs="Arial"/>
              </w:rPr>
            </w:pPr>
            <w:r w:rsidRPr="00E67F8E">
              <w:rPr>
                <w:rFonts w:ascii="Arial" w:hAnsi="Arial" w:cs="Arial"/>
              </w:rPr>
              <w:t>Lymphnode</w:t>
            </w:r>
          </w:p>
          <w:p w:rsidR="0071027C" w:rsidRPr="00E67F8E" w:rsidRDefault="0071027C" w:rsidP="00274941">
            <w:pPr>
              <w:widowControl/>
              <w:numPr>
                <w:ilvl w:val="0"/>
                <w:numId w:val="89"/>
              </w:numPr>
              <w:spacing w:before="120" w:after="120" w:line="240" w:lineRule="auto"/>
              <w:jc w:val="both"/>
              <w:rPr>
                <w:rFonts w:ascii="Arial" w:hAnsi="Arial" w:cs="Arial"/>
              </w:rPr>
            </w:pPr>
            <w:r w:rsidRPr="00E67F8E">
              <w:rPr>
                <w:rFonts w:ascii="Arial" w:hAnsi="Arial" w:cs="Arial"/>
              </w:rPr>
              <w:t>Unilateral pleural effusion</w:t>
            </w:r>
          </w:p>
          <w:p w:rsidR="0071027C" w:rsidRPr="00E67F8E" w:rsidRDefault="0071027C" w:rsidP="00274941">
            <w:pPr>
              <w:widowControl/>
              <w:numPr>
                <w:ilvl w:val="0"/>
                <w:numId w:val="89"/>
              </w:numPr>
              <w:spacing w:before="120" w:after="120" w:line="240" w:lineRule="auto"/>
              <w:jc w:val="both"/>
              <w:rPr>
                <w:rFonts w:ascii="Arial" w:hAnsi="Arial" w:cs="Arial"/>
              </w:rPr>
            </w:pPr>
            <w:r w:rsidRPr="00E67F8E">
              <w:rPr>
                <w:rFonts w:ascii="Arial" w:hAnsi="Arial" w:cs="Arial"/>
              </w:rPr>
              <w:t>Bone (other than spine)</w:t>
            </w:r>
          </w:p>
          <w:p w:rsidR="0071027C" w:rsidRPr="00E67F8E" w:rsidRDefault="0071027C" w:rsidP="00274941">
            <w:pPr>
              <w:widowControl/>
              <w:numPr>
                <w:ilvl w:val="0"/>
                <w:numId w:val="89"/>
              </w:numPr>
              <w:spacing w:before="120" w:after="120" w:line="240" w:lineRule="auto"/>
              <w:jc w:val="both"/>
              <w:rPr>
                <w:rFonts w:ascii="Arial" w:hAnsi="Arial" w:cs="Arial"/>
              </w:rPr>
            </w:pPr>
            <w:r w:rsidRPr="00E67F8E">
              <w:rPr>
                <w:rFonts w:ascii="Arial" w:hAnsi="Arial" w:cs="Arial"/>
              </w:rPr>
              <w:t>Peripheral joint</w:t>
            </w:r>
          </w:p>
          <w:p w:rsidR="0071027C" w:rsidRPr="00E67F8E" w:rsidRDefault="0071027C" w:rsidP="00274941">
            <w:pPr>
              <w:widowControl/>
              <w:numPr>
                <w:ilvl w:val="0"/>
                <w:numId w:val="89"/>
              </w:numPr>
              <w:spacing w:before="120" w:after="120" w:line="240" w:lineRule="auto"/>
              <w:jc w:val="both"/>
              <w:rPr>
                <w:rFonts w:ascii="Arial" w:hAnsi="Arial" w:cs="Arial"/>
              </w:rPr>
            </w:pPr>
            <w:r w:rsidRPr="00E67F8E">
              <w:rPr>
                <w:rFonts w:ascii="Arial" w:hAnsi="Arial" w:cs="Arial"/>
              </w:rPr>
              <w:t>Adrenal gland</w:t>
            </w:r>
          </w:p>
          <w:p w:rsidR="0071027C" w:rsidRPr="00E67F8E" w:rsidRDefault="0071027C" w:rsidP="00274941">
            <w:pPr>
              <w:widowControl/>
              <w:numPr>
                <w:ilvl w:val="0"/>
                <w:numId w:val="89"/>
              </w:numPr>
              <w:spacing w:before="120" w:after="120" w:line="240" w:lineRule="auto"/>
              <w:jc w:val="both"/>
              <w:rPr>
                <w:rFonts w:ascii="Arial" w:hAnsi="Arial" w:cs="Arial"/>
              </w:rPr>
            </w:pPr>
            <w:r w:rsidRPr="00E67F8E">
              <w:rPr>
                <w:rFonts w:ascii="Arial" w:hAnsi="Arial" w:cs="Arial"/>
              </w:rPr>
              <w:t>Skin</w:t>
            </w:r>
          </w:p>
        </w:tc>
      </w:tr>
    </w:tbl>
    <w:p w:rsidR="0071027C" w:rsidRDefault="0071027C" w:rsidP="0071027C">
      <w:pPr>
        <w:spacing w:before="120" w:after="120" w:line="240" w:lineRule="auto"/>
        <w:jc w:val="both"/>
        <w:rPr>
          <w:rFonts w:ascii="Arial" w:hAnsi="Arial" w:cs="Arial"/>
        </w:rPr>
      </w:pPr>
      <w:bookmarkStart w:id="807" w:name="_Toc129935043"/>
      <w:bookmarkStart w:id="808" w:name="_Toc129936399"/>
      <w:bookmarkStart w:id="809" w:name="_Toc129930297"/>
    </w:p>
    <w:p w:rsidR="0071027C" w:rsidRPr="00FB1627" w:rsidRDefault="0071027C" w:rsidP="0071027C">
      <w:pPr>
        <w:pStyle w:val="Heading3"/>
      </w:pPr>
      <w:bookmarkStart w:id="810" w:name="_Toc382214106"/>
      <w:r>
        <w:t xml:space="preserve">10.2.4 </w:t>
      </w:r>
      <w:bookmarkStart w:id="811" w:name="_Toc355904943"/>
      <w:r w:rsidRPr="00FB1627">
        <w:t>Tuberculosis diagnostic approaches</w:t>
      </w:r>
      <w:bookmarkEnd w:id="810"/>
      <w:bookmarkEnd w:id="811"/>
    </w:p>
    <w:p w:rsidR="0071027C" w:rsidRPr="009B3369" w:rsidRDefault="0071027C" w:rsidP="0071027C">
      <w:pPr>
        <w:spacing w:before="120" w:after="120" w:line="240" w:lineRule="auto"/>
        <w:jc w:val="both"/>
        <w:rPr>
          <w:rFonts w:ascii="Arial" w:hAnsi="Arial" w:cs="Arial"/>
        </w:rPr>
      </w:pPr>
      <w:r w:rsidRPr="009B3369">
        <w:rPr>
          <w:rFonts w:ascii="Arial" w:hAnsi="Arial" w:cs="Arial"/>
        </w:rPr>
        <w:t xml:space="preserve">There are 2 approaches for TB diagnostic: Clinical and laboratory </w:t>
      </w:r>
      <w:bookmarkStart w:id="812" w:name="_Toc354885173"/>
      <w:bookmarkStart w:id="813" w:name="_Toc355002053"/>
      <w:bookmarkStart w:id="814" w:name="_Toc355904944"/>
      <w:bookmarkStart w:id="815" w:name="_Toc362271651"/>
      <w:bookmarkEnd w:id="812"/>
      <w:bookmarkEnd w:id="813"/>
      <w:bookmarkEnd w:id="814"/>
    </w:p>
    <w:p w:rsidR="0071027C" w:rsidRPr="009B3369" w:rsidRDefault="0071027C" w:rsidP="00274941">
      <w:pPr>
        <w:pStyle w:val="ListParagraph"/>
        <w:numPr>
          <w:ilvl w:val="0"/>
          <w:numId w:val="99"/>
        </w:numPr>
        <w:spacing w:before="120" w:after="120"/>
        <w:rPr>
          <w:rFonts w:ascii="Arial" w:hAnsi="Arial" w:cs="Arial"/>
          <w:b/>
          <w:sz w:val="22"/>
          <w:szCs w:val="22"/>
        </w:rPr>
      </w:pPr>
      <w:bookmarkStart w:id="816" w:name="_Toc354885174"/>
      <w:bookmarkStart w:id="817" w:name="_Toc355002054"/>
      <w:bookmarkStart w:id="818" w:name="_Toc355904945"/>
      <w:bookmarkStart w:id="819" w:name="_Toc354885175"/>
      <w:bookmarkStart w:id="820" w:name="_Toc355002055"/>
      <w:bookmarkStart w:id="821" w:name="_Toc355904946"/>
      <w:bookmarkStart w:id="822" w:name="_Toc354885176"/>
      <w:bookmarkStart w:id="823" w:name="_Toc355002056"/>
      <w:bookmarkStart w:id="824" w:name="_Toc355904947"/>
      <w:bookmarkStart w:id="825" w:name="_Toc354885177"/>
      <w:bookmarkStart w:id="826" w:name="_Toc355002057"/>
      <w:bookmarkStart w:id="827" w:name="_Toc355904948"/>
      <w:bookmarkStart w:id="828" w:name="_Toc354885178"/>
      <w:bookmarkStart w:id="829" w:name="_Toc355002058"/>
      <w:bookmarkStart w:id="830" w:name="_Toc355904949"/>
      <w:bookmarkStart w:id="831" w:name="_Toc354885179"/>
      <w:bookmarkStart w:id="832" w:name="_Toc355002059"/>
      <w:bookmarkStart w:id="833" w:name="_Toc355904950"/>
      <w:bookmarkStart w:id="834" w:name="_Toc354885180"/>
      <w:bookmarkStart w:id="835" w:name="_Toc355002060"/>
      <w:bookmarkStart w:id="836" w:name="_Toc355904951"/>
      <w:bookmarkStart w:id="837" w:name="_Toc355904952"/>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r w:rsidRPr="009B3369">
        <w:rPr>
          <w:rFonts w:ascii="Arial" w:hAnsi="Arial" w:cs="Arial"/>
          <w:b/>
          <w:sz w:val="22"/>
          <w:szCs w:val="22"/>
        </w:rPr>
        <w:t>Clinical diagnosis</w:t>
      </w:r>
      <w:bookmarkEnd w:id="815"/>
      <w:bookmarkEnd w:id="837"/>
      <w:r w:rsidRPr="009B3369">
        <w:rPr>
          <w:rFonts w:ascii="Arial" w:hAnsi="Arial" w:cs="Arial"/>
          <w:b/>
          <w:sz w:val="22"/>
          <w:szCs w:val="22"/>
        </w:rPr>
        <w:t xml:space="preserve"> </w:t>
      </w:r>
    </w:p>
    <w:p w:rsidR="0071027C" w:rsidRPr="009B3369" w:rsidRDefault="0071027C" w:rsidP="0071027C">
      <w:pPr>
        <w:spacing w:before="120" w:after="120" w:line="240" w:lineRule="auto"/>
        <w:jc w:val="both"/>
        <w:rPr>
          <w:rFonts w:ascii="Arial" w:hAnsi="Arial" w:cs="Arial"/>
          <w:b/>
        </w:rPr>
      </w:pPr>
      <w:r w:rsidRPr="009B3369">
        <w:rPr>
          <w:rFonts w:ascii="Arial" w:hAnsi="Arial" w:cs="Arial"/>
        </w:rPr>
        <w:t>Clinical diagnosis of TB involves:</w:t>
      </w:r>
    </w:p>
    <w:p w:rsidR="0071027C" w:rsidRPr="009B3369" w:rsidRDefault="0071027C" w:rsidP="00274941">
      <w:pPr>
        <w:pStyle w:val="ListParagraph"/>
        <w:numPr>
          <w:ilvl w:val="0"/>
          <w:numId w:val="100"/>
        </w:numPr>
        <w:spacing w:before="120" w:after="120"/>
        <w:jc w:val="both"/>
        <w:rPr>
          <w:rFonts w:ascii="Arial" w:hAnsi="Arial" w:cs="Arial"/>
          <w:sz w:val="22"/>
          <w:szCs w:val="22"/>
          <w:lang w:val="en-US"/>
        </w:rPr>
      </w:pPr>
      <w:r w:rsidRPr="009B3369">
        <w:rPr>
          <w:rFonts w:ascii="Arial" w:hAnsi="Arial" w:cs="Arial"/>
          <w:sz w:val="22"/>
          <w:szCs w:val="22"/>
        </w:rPr>
        <w:t xml:space="preserve">A careful and extensive history-taking, which includes asking the patient questions relative to: </w:t>
      </w:r>
    </w:p>
    <w:p w:rsidR="0071027C" w:rsidRPr="009B3369" w:rsidRDefault="0071027C" w:rsidP="00274941">
      <w:pPr>
        <w:pStyle w:val="ListParagraph"/>
        <w:numPr>
          <w:ilvl w:val="1"/>
          <w:numId w:val="100"/>
        </w:numPr>
        <w:tabs>
          <w:tab w:val="left" w:pos="720"/>
        </w:tabs>
        <w:contextualSpacing w:val="0"/>
        <w:jc w:val="both"/>
        <w:rPr>
          <w:rFonts w:ascii="Arial" w:hAnsi="Arial" w:cs="Arial"/>
          <w:sz w:val="22"/>
          <w:szCs w:val="22"/>
          <w:lang w:val="en-US"/>
        </w:rPr>
      </w:pPr>
      <w:r w:rsidRPr="009B3369">
        <w:rPr>
          <w:rFonts w:ascii="Arial" w:hAnsi="Arial" w:cs="Arial"/>
          <w:sz w:val="22"/>
          <w:szCs w:val="22"/>
        </w:rPr>
        <w:t>Symptoms suggestive of TB disease: cough for two weeks or more, night sweats, fever, and weight loss.</w:t>
      </w:r>
    </w:p>
    <w:p w:rsidR="0071027C" w:rsidRPr="009B3369" w:rsidRDefault="0071027C" w:rsidP="00274941">
      <w:pPr>
        <w:pStyle w:val="ListParagraph"/>
        <w:numPr>
          <w:ilvl w:val="1"/>
          <w:numId w:val="100"/>
        </w:numPr>
        <w:tabs>
          <w:tab w:val="left" w:pos="720"/>
        </w:tabs>
        <w:contextualSpacing w:val="0"/>
        <w:jc w:val="both"/>
        <w:rPr>
          <w:rFonts w:ascii="Arial" w:hAnsi="Arial" w:cs="Arial"/>
          <w:sz w:val="22"/>
          <w:szCs w:val="22"/>
          <w:lang w:val="en-US"/>
        </w:rPr>
      </w:pPr>
      <w:r w:rsidRPr="009B3369">
        <w:rPr>
          <w:rFonts w:ascii="Arial" w:hAnsi="Arial" w:cs="Arial"/>
          <w:sz w:val="22"/>
          <w:szCs w:val="22"/>
        </w:rPr>
        <w:t>If coughing, the sputum colour and quantity.</w:t>
      </w:r>
    </w:p>
    <w:p w:rsidR="0071027C" w:rsidRPr="009B3369" w:rsidRDefault="0071027C" w:rsidP="00274941">
      <w:pPr>
        <w:pStyle w:val="ListParagraph"/>
        <w:numPr>
          <w:ilvl w:val="1"/>
          <w:numId w:val="100"/>
        </w:numPr>
        <w:tabs>
          <w:tab w:val="left" w:pos="720"/>
        </w:tabs>
        <w:contextualSpacing w:val="0"/>
        <w:jc w:val="both"/>
        <w:rPr>
          <w:rFonts w:ascii="Arial" w:hAnsi="Arial" w:cs="Arial"/>
          <w:sz w:val="22"/>
          <w:szCs w:val="22"/>
          <w:lang w:val="en-US"/>
        </w:rPr>
      </w:pPr>
      <w:r w:rsidRPr="009B3369">
        <w:rPr>
          <w:rFonts w:ascii="Arial" w:hAnsi="Arial" w:cs="Arial"/>
          <w:sz w:val="22"/>
          <w:szCs w:val="22"/>
        </w:rPr>
        <w:t>History of TB disease and the outcome of treatment.</w:t>
      </w:r>
    </w:p>
    <w:p w:rsidR="0071027C" w:rsidRPr="009B3369" w:rsidRDefault="0071027C" w:rsidP="00274941">
      <w:pPr>
        <w:pStyle w:val="ListParagraph"/>
        <w:numPr>
          <w:ilvl w:val="1"/>
          <w:numId w:val="100"/>
        </w:numPr>
        <w:tabs>
          <w:tab w:val="left" w:pos="720"/>
        </w:tabs>
        <w:contextualSpacing w:val="0"/>
        <w:jc w:val="both"/>
        <w:rPr>
          <w:rFonts w:ascii="Arial" w:hAnsi="Arial" w:cs="Arial"/>
          <w:sz w:val="22"/>
          <w:szCs w:val="22"/>
          <w:lang w:val="en-US"/>
        </w:rPr>
      </w:pPr>
      <w:r w:rsidRPr="009B3369">
        <w:rPr>
          <w:rFonts w:ascii="Arial" w:hAnsi="Arial" w:cs="Arial"/>
          <w:sz w:val="22"/>
          <w:szCs w:val="22"/>
        </w:rPr>
        <w:t>The presence of other medical conditions such as HIV/AIDS and diabetes mellitus.</w:t>
      </w:r>
    </w:p>
    <w:p w:rsidR="0071027C" w:rsidRPr="009B3369" w:rsidRDefault="0071027C" w:rsidP="00274941">
      <w:pPr>
        <w:pStyle w:val="ListParagraph"/>
        <w:numPr>
          <w:ilvl w:val="1"/>
          <w:numId w:val="100"/>
        </w:numPr>
        <w:tabs>
          <w:tab w:val="left" w:pos="720"/>
        </w:tabs>
        <w:contextualSpacing w:val="0"/>
        <w:jc w:val="both"/>
        <w:rPr>
          <w:rFonts w:ascii="Arial" w:hAnsi="Arial" w:cs="Arial"/>
          <w:sz w:val="22"/>
          <w:szCs w:val="22"/>
          <w:lang w:val="en-US"/>
        </w:rPr>
      </w:pPr>
      <w:r w:rsidRPr="009B3369">
        <w:rPr>
          <w:rFonts w:ascii="Arial" w:hAnsi="Arial" w:cs="Arial"/>
          <w:sz w:val="22"/>
          <w:szCs w:val="22"/>
        </w:rPr>
        <w:t>History of TB contact(s).</w:t>
      </w:r>
    </w:p>
    <w:p w:rsidR="0071027C" w:rsidRPr="009B3369" w:rsidRDefault="0071027C" w:rsidP="00274941">
      <w:pPr>
        <w:pStyle w:val="ListParagraph"/>
        <w:numPr>
          <w:ilvl w:val="1"/>
          <w:numId w:val="100"/>
        </w:numPr>
        <w:tabs>
          <w:tab w:val="left" w:pos="720"/>
        </w:tabs>
        <w:contextualSpacing w:val="0"/>
        <w:jc w:val="both"/>
        <w:rPr>
          <w:rFonts w:ascii="Arial" w:hAnsi="Arial" w:cs="Arial"/>
          <w:sz w:val="22"/>
          <w:szCs w:val="22"/>
          <w:lang w:val="en-US"/>
        </w:rPr>
      </w:pPr>
      <w:r w:rsidRPr="009B3369">
        <w:rPr>
          <w:rFonts w:ascii="Arial" w:hAnsi="Arial" w:cs="Arial"/>
          <w:sz w:val="22"/>
          <w:szCs w:val="22"/>
        </w:rPr>
        <w:t>Tobacco-smoking, including amount and duration of smoking.</w:t>
      </w:r>
    </w:p>
    <w:p w:rsidR="0071027C" w:rsidRPr="009B3369" w:rsidRDefault="0071027C" w:rsidP="00274941">
      <w:pPr>
        <w:pStyle w:val="ListParagraph"/>
        <w:numPr>
          <w:ilvl w:val="1"/>
          <w:numId w:val="100"/>
        </w:numPr>
        <w:tabs>
          <w:tab w:val="left" w:pos="720"/>
        </w:tabs>
        <w:contextualSpacing w:val="0"/>
        <w:jc w:val="both"/>
        <w:rPr>
          <w:rFonts w:ascii="Arial" w:hAnsi="Arial" w:cs="Arial"/>
          <w:sz w:val="22"/>
          <w:szCs w:val="22"/>
          <w:lang w:val="en-US"/>
        </w:rPr>
      </w:pPr>
      <w:r w:rsidRPr="009B3369">
        <w:rPr>
          <w:rFonts w:ascii="Arial" w:hAnsi="Arial" w:cs="Arial"/>
          <w:sz w:val="22"/>
          <w:szCs w:val="22"/>
        </w:rPr>
        <w:t>History of substance abuse (drugs and alcohol).</w:t>
      </w:r>
    </w:p>
    <w:p w:rsidR="0071027C" w:rsidRPr="009B3369" w:rsidRDefault="0071027C" w:rsidP="00274941">
      <w:pPr>
        <w:pStyle w:val="ListParagraph"/>
        <w:numPr>
          <w:ilvl w:val="1"/>
          <w:numId w:val="100"/>
        </w:numPr>
        <w:tabs>
          <w:tab w:val="left" w:pos="720"/>
        </w:tabs>
        <w:contextualSpacing w:val="0"/>
        <w:jc w:val="both"/>
        <w:rPr>
          <w:rFonts w:ascii="Arial" w:hAnsi="Arial" w:cs="Arial"/>
          <w:sz w:val="22"/>
          <w:szCs w:val="22"/>
          <w:lang w:val="en-US"/>
        </w:rPr>
      </w:pPr>
      <w:r w:rsidRPr="009B3369">
        <w:rPr>
          <w:rFonts w:ascii="Arial" w:hAnsi="Arial" w:cs="Arial"/>
          <w:sz w:val="22"/>
          <w:szCs w:val="22"/>
        </w:rPr>
        <w:t>Alcohol ingestion, including amount and duration.</w:t>
      </w:r>
    </w:p>
    <w:p w:rsidR="0071027C" w:rsidRPr="009B3369" w:rsidRDefault="0071027C" w:rsidP="00274941">
      <w:pPr>
        <w:pStyle w:val="ListParagraph"/>
        <w:numPr>
          <w:ilvl w:val="1"/>
          <w:numId w:val="100"/>
        </w:numPr>
        <w:tabs>
          <w:tab w:val="left" w:pos="720"/>
        </w:tabs>
        <w:contextualSpacing w:val="0"/>
        <w:jc w:val="both"/>
        <w:rPr>
          <w:rFonts w:ascii="Arial" w:hAnsi="Arial" w:cs="Arial"/>
          <w:sz w:val="22"/>
          <w:szCs w:val="22"/>
        </w:rPr>
      </w:pPr>
      <w:r w:rsidRPr="009B3369">
        <w:rPr>
          <w:rFonts w:ascii="Arial" w:hAnsi="Arial" w:cs="Arial"/>
          <w:sz w:val="22"/>
          <w:szCs w:val="22"/>
        </w:rPr>
        <w:t>Occupational history that may suggest exposure to silica dust, especially among miners.</w:t>
      </w:r>
    </w:p>
    <w:p w:rsidR="0071027C" w:rsidRPr="009B3369" w:rsidRDefault="0071027C" w:rsidP="00274941">
      <w:pPr>
        <w:pStyle w:val="ListParagraph"/>
        <w:numPr>
          <w:ilvl w:val="0"/>
          <w:numId w:val="100"/>
        </w:numPr>
        <w:spacing w:before="120" w:after="120"/>
        <w:jc w:val="both"/>
        <w:rPr>
          <w:rFonts w:ascii="Arial" w:hAnsi="Arial" w:cs="Arial"/>
          <w:sz w:val="22"/>
          <w:szCs w:val="22"/>
        </w:rPr>
      </w:pPr>
      <w:r w:rsidRPr="009B3369">
        <w:rPr>
          <w:rFonts w:ascii="Arial" w:hAnsi="Arial" w:cs="Arial"/>
          <w:sz w:val="22"/>
          <w:szCs w:val="22"/>
        </w:rPr>
        <w:t>Physical examination. Although no physical sign is sensitive or specific enough for TB, it is critical to assess patients for fever, look for anaemia, exclude lymphadenopathy, and confirm the presence or absence of chest and neurological abnormalities and hepato-splenomegaly in order to screen for co-morbidities and rule out EPTB in all patients, including those with suspected PTB.</w:t>
      </w:r>
    </w:p>
    <w:p w:rsidR="0071027C" w:rsidRPr="009B3369" w:rsidRDefault="0071027C" w:rsidP="0071027C">
      <w:pPr>
        <w:spacing w:before="120" w:after="120" w:line="240" w:lineRule="auto"/>
        <w:jc w:val="both"/>
        <w:rPr>
          <w:rFonts w:ascii="Arial" w:hAnsi="Arial" w:cs="Arial"/>
        </w:rPr>
      </w:pPr>
      <w:r w:rsidRPr="009B3369">
        <w:rPr>
          <w:rFonts w:ascii="Arial" w:hAnsi="Arial" w:cs="Arial"/>
          <w:b/>
        </w:rPr>
        <w:t xml:space="preserve">Note: </w:t>
      </w:r>
      <w:r w:rsidRPr="009B3369">
        <w:rPr>
          <w:rFonts w:ascii="Arial" w:hAnsi="Arial" w:cs="Arial"/>
        </w:rPr>
        <w:t>Nearly a quarter of all TB patients may not have the classical five symptoms of TB, including cough, and they are diagnosed based on an abnormal chest x-ray suggestive of TB.</w:t>
      </w:r>
    </w:p>
    <w:p w:rsidR="0071027C" w:rsidRPr="009B3369" w:rsidRDefault="0071027C" w:rsidP="00274941">
      <w:pPr>
        <w:pStyle w:val="ListParagraph"/>
        <w:numPr>
          <w:ilvl w:val="0"/>
          <w:numId w:val="99"/>
        </w:numPr>
        <w:spacing w:before="120" w:after="120"/>
        <w:rPr>
          <w:rFonts w:ascii="Arial" w:hAnsi="Arial" w:cs="Arial"/>
          <w:b/>
          <w:sz w:val="22"/>
          <w:szCs w:val="22"/>
        </w:rPr>
      </w:pPr>
      <w:bookmarkStart w:id="838" w:name="_Toc355904953"/>
      <w:bookmarkStart w:id="839" w:name="_Toc362271652"/>
      <w:r w:rsidRPr="009B3369">
        <w:rPr>
          <w:rFonts w:ascii="Arial" w:hAnsi="Arial" w:cs="Arial"/>
          <w:b/>
          <w:sz w:val="22"/>
          <w:szCs w:val="22"/>
        </w:rPr>
        <w:t>Laboratory diagnosis</w:t>
      </w:r>
      <w:bookmarkEnd w:id="838"/>
      <w:bookmarkEnd w:id="839"/>
    </w:p>
    <w:p w:rsidR="0071027C" w:rsidRPr="009B3369" w:rsidRDefault="0071027C" w:rsidP="0071027C">
      <w:pPr>
        <w:spacing w:before="120" w:after="120" w:line="240" w:lineRule="auto"/>
        <w:jc w:val="both"/>
        <w:rPr>
          <w:rFonts w:ascii="Arial" w:hAnsi="Arial" w:cs="Arial"/>
        </w:rPr>
      </w:pPr>
      <w:r w:rsidRPr="009B3369">
        <w:rPr>
          <w:rFonts w:ascii="Arial" w:hAnsi="Arial" w:cs="Arial"/>
        </w:rPr>
        <w:t>Early identification of TB cases and putting them on effective treatment is important in TB care and control. Diagnosis of PTB depends on the identification of tubercle bacilli either by sputum smear microscopy or culture and identification of bacterial DNA using molecular techniques.</w:t>
      </w:r>
    </w:p>
    <w:p w:rsidR="0071027C" w:rsidRPr="009B3369" w:rsidRDefault="0071027C" w:rsidP="00274941">
      <w:pPr>
        <w:pStyle w:val="ListParagraph"/>
        <w:numPr>
          <w:ilvl w:val="0"/>
          <w:numId w:val="97"/>
        </w:numPr>
        <w:spacing w:before="120" w:after="120"/>
        <w:jc w:val="both"/>
        <w:rPr>
          <w:rFonts w:ascii="Arial" w:hAnsi="Arial" w:cs="Arial"/>
          <w:b/>
          <w:sz w:val="22"/>
          <w:szCs w:val="22"/>
        </w:rPr>
      </w:pPr>
      <w:r w:rsidRPr="009B3369">
        <w:rPr>
          <w:rFonts w:ascii="Arial" w:hAnsi="Arial" w:cs="Arial"/>
          <w:b/>
          <w:sz w:val="22"/>
          <w:szCs w:val="22"/>
        </w:rPr>
        <w:t>Sputum smear microscopy</w:t>
      </w:r>
    </w:p>
    <w:p w:rsidR="0071027C" w:rsidRPr="009B3369" w:rsidRDefault="0071027C" w:rsidP="0071027C">
      <w:pPr>
        <w:spacing w:before="120" w:after="120" w:line="240" w:lineRule="auto"/>
        <w:jc w:val="both"/>
        <w:rPr>
          <w:rFonts w:ascii="Arial" w:eastAsia="Calibri" w:hAnsi="Arial" w:cs="Arial"/>
        </w:rPr>
      </w:pPr>
      <w:r w:rsidRPr="009B3369">
        <w:rPr>
          <w:rFonts w:ascii="Arial" w:eastAsia="Calibri" w:hAnsi="Arial" w:cs="Arial"/>
        </w:rPr>
        <w:t>Sputum smear examination has been the cornerstone of TB diagnosis for more than a century. It remains the only available test in most low-income settings such as Tanzania. The test is relatively quick, easy to perform, and inexpensive. The purpose of sputum microscopy is to:</w:t>
      </w:r>
    </w:p>
    <w:p w:rsidR="0071027C" w:rsidRPr="009B3369" w:rsidRDefault="0071027C" w:rsidP="00274941">
      <w:pPr>
        <w:pStyle w:val="ListParagraph"/>
        <w:numPr>
          <w:ilvl w:val="1"/>
          <w:numId w:val="100"/>
        </w:numPr>
        <w:tabs>
          <w:tab w:val="left" w:pos="720"/>
        </w:tabs>
        <w:contextualSpacing w:val="0"/>
        <w:jc w:val="both"/>
        <w:rPr>
          <w:rFonts w:ascii="Arial" w:hAnsi="Arial" w:cs="Arial"/>
          <w:sz w:val="22"/>
          <w:szCs w:val="22"/>
        </w:rPr>
      </w:pPr>
      <w:r w:rsidRPr="009B3369">
        <w:rPr>
          <w:rFonts w:ascii="Arial" w:hAnsi="Arial" w:cs="Arial"/>
          <w:sz w:val="22"/>
          <w:szCs w:val="22"/>
        </w:rPr>
        <w:t>Diagnose people with infectious TB.</w:t>
      </w:r>
    </w:p>
    <w:p w:rsidR="0071027C" w:rsidRPr="009B3369" w:rsidRDefault="0071027C" w:rsidP="00274941">
      <w:pPr>
        <w:pStyle w:val="ListParagraph"/>
        <w:numPr>
          <w:ilvl w:val="1"/>
          <w:numId w:val="100"/>
        </w:numPr>
        <w:tabs>
          <w:tab w:val="left" w:pos="720"/>
        </w:tabs>
        <w:contextualSpacing w:val="0"/>
        <w:jc w:val="both"/>
        <w:rPr>
          <w:rFonts w:ascii="Arial" w:hAnsi="Arial" w:cs="Arial"/>
          <w:sz w:val="22"/>
          <w:szCs w:val="22"/>
        </w:rPr>
      </w:pPr>
      <w:r w:rsidRPr="009B3369">
        <w:rPr>
          <w:rFonts w:ascii="Arial" w:hAnsi="Arial" w:cs="Arial"/>
          <w:sz w:val="22"/>
          <w:szCs w:val="22"/>
        </w:rPr>
        <w:t>Monitor the progress of treatment.</w:t>
      </w:r>
    </w:p>
    <w:p w:rsidR="0071027C" w:rsidRPr="009B3369" w:rsidRDefault="0071027C" w:rsidP="00274941">
      <w:pPr>
        <w:pStyle w:val="ListParagraph"/>
        <w:numPr>
          <w:ilvl w:val="1"/>
          <w:numId w:val="100"/>
        </w:numPr>
        <w:tabs>
          <w:tab w:val="left" w:pos="720"/>
        </w:tabs>
        <w:contextualSpacing w:val="0"/>
        <w:jc w:val="both"/>
        <w:rPr>
          <w:rFonts w:ascii="Arial" w:hAnsi="Arial" w:cs="Arial"/>
          <w:sz w:val="22"/>
          <w:szCs w:val="22"/>
        </w:rPr>
      </w:pPr>
      <w:r w:rsidRPr="009B3369">
        <w:rPr>
          <w:rFonts w:ascii="Arial" w:hAnsi="Arial" w:cs="Arial"/>
          <w:sz w:val="22"/>
          <w:szCs w:val="22"/>
        </w:rPr>
        <w:t>Confirm that cure has been achieved.</w:t>
      </w:r>
    </w:p>
    <w:p w:rsidR="0071027C" w:rsidRPr="009B3369" w:rsidRDefault="0071027C" w:rsidP="0071027C">
      <w:pPr>
        <w:spacing w:before="120" w:after="120" w:line="240" w:lineRule="auto"/>
        <w:jc w:val="both"/>
        <w:rPr>
          <w:rFonts w:ascii="Arial" w:hAnsi="Arial" w:cs="Arial"/>
          <w:bCs/>
        </w:rPr>
      </w:pPr>
      <w:r w:rsidRPr="009B3369">
        <w:rPr>
          <w:rFonts w:ascii="Arial" w:hAnsi="Arial" w:cs="Arial"/>
          <w:b/>
          <w:bCs/>
        </w:rPr>
        <w:t>Note:</w:t>
      </w:r>
      <w:r w:rsidRPr="009B3369">
        <w:rPr>
          <w:rFonts w:ascii="Arial" w:hAnsi="Arial" w:cs="Arial"/>
          <w:bCs/>
        </w:rPr>
        <w:t xml:space="preserve"> For details for sputum smear microscopy please refer to the NTLP Manual</w:t>
      </w:r>
    </w:p>
    <w:p w:rsidR="0071027C" w:rsidRPr="009B3369" w:rsidRDefault="0071027C" w:rsidP="00274941">
      <w:pPr>
        <w:pStyle w:val="ListParagraph"/>
        <w:numPr>
          <w:ilvl w:val="0"/>
          <w:numId w:val="97"/>
        </w:numPr>
        <w:spacing w:before="120" w:after="120"/>
        <w:jc w:val="both"/>
        <w:rPr>
          <w:rFonts w:ascii="Arial" w:hAnsi="Arial" w:cs="Arial"/>
          <w:b/>
          <w:sz w:val="22"/>
          <w:szCs w:val="22"/>
        </w:rPr>
      </w:pPr>
      <w:r w:rsidRPr="009B3369">
        <w:rPr>
          <w:rFonts w:ascii="Arial" w:hAnsi="Arial" w:cs="Arial"/>
          <w:b/>
          <w:sz w:val="22"/>
          <w:szCs w:val="22"/>
        </w:rPr>
        <w:t xml:space="preserve">Sputum culture </w:t>
      </w:r>
    </w:p>
    <w:p w:rsidR="0071027C" w:rsidRPr="009B3369" w:rsidRDefault="0071027C" w:rsidP="0071027C">
      <w:pPr>
        <w:spacing w:before="120" w:after="120" w:line="240" w:lineRule="auto"/>
        <w:jc w:val="both"/>
        <w:rPr>
          <w:rFonts w:ascii="Arial" w:hAnsi="Arial" w:cs="Arial"/>
        </w:rPr>
      </w:pPr>
      <w:r w:rsidRPr="009B3369">
        <w:rPr>
          <w:rFonts w:ascii="Arial" w:hAnsi="Arial" w:cs="Arial"/>
        </w:rPr>
        <w:t>Culture is a more sensitive method for detecting Mycobacterium than AFB microscopy and can detect as low as 10 bacilli/ml of sputum. However, culture methods are slow and expensive.</w:t>
      </w:r>
    </w:p>
    <w:p w:rsidR="0071027C" w:rsidRPr="009B3369" w:rsidRDefault="0071027C" w:rsidP="00274941">
      <w:pPr>
        <w:pStyle w:val="ListParagraph"/>
        <w:numPr>
          <w:ilvl w:val="0"/>
          <w:numId w:val="97"/>
        </w:numPr>
        <w:spacing w:before="120" w:after="120"/>
        <w:jc w:val="both"/>
        <w:rPr>
          <w:rFonts w:ascii="Arial" w:hAnsi="Arial" w:cs="Arial"/>
          <w:b/>
          <w:sz w:val="22"/>
          <w:szCs w:val="22"/>
        </w:rPr>
      </w:pPr>
      <w:bookmarkStart w:id="840" w:name="_Toc354885187"/>
      <w:bookmarkStart w:id="841" w:name="_Toc355002067"/>
      <w:bookmarkStart w:id="842" w:name="_Toc355904958"/>
      <w:bookmarkStart w:id="843" w:name="_Toc362271655"/>
      <w:r w:rsidRPr="009B3369">
        <w:rPr>
          <w:rFonts w:ascii="Arial" w:hAnsi="Arial" w:cs="Arial"/>
          <w:b/>
          <w:sz w:val="22"/>
          <w:szCs w:val="22"/>
        </w:rPr>
        <w:t>New technologies</w:t>
      </w:r>
      <w:bookmarkEnd w:id="840"/>
      <w:bookmarkEnd w:id="841"/>
      <w:bookmarkEnd w:id="842"/>
      <w:bookmarkEnd w:id="843"/>
    </w:p>
    <w:p w:rsidR="0071027C" w:rsidRPr="009B3369" w:rsidRDefault="0071027C" w:rsidP="0071027C">
      <w:pPr>
        <w:spacing w:before="120" w:after="120" w:line="240" w:lineRule="auto"/>
        <w:ind w:left="64"/>
        <w:jc w:val="both"/>
        <w:rPr>
          <w:rFonts w:ascii="Arial" w:hAnsi="Arial" w:cs="Arial"/>
          <w:b/>
          <w:i/>
        </w:rPr>
      </w:pPr>
      <w:r w:rsidRPr="009B3369">
        <w:rPr>
          <w:rFonts w:ascii="Arial" w:hAnsi="Arial" w:cs="Arial"/>
          <w:b/>
          <w:i/>
        </w:rPr>
        <w:t>GeneXpert</w:t>
      </w:r>
      <w:r w:rsidRPr="009B3369">
        <w:rPr>
          <w:rFonts w:ascii="Arial" w:hAnsi="Arial" w:cs="Arial"/>
          <w:b/>
          <w:i/>
          <w:vertAlign w:val="superscript"/>
        </w:rPr>
        <w:t>®</w:t>
      </w:r>
      <w:r w:rsidRPr="009B3369">
        <w:rPr>
          <w:rFonts w:ascii="Arial" w:hAnsi="Arial" w:cs="Arial"/>
          <w:b/>
          <w:i/>
        </w:rPr>
        <w:t xml:space="preserve"> MTB/RIF assay </w:t>
      </w:r>
    </w:p>
    <w:p w:rsidR="0071027C" w:rsidRPr="009B3369" w:rsidRDefault="0071027C" w:rsidP="0071027C">
      <w:pPr>
        <w:spacing w:before="120" w:after="120" w:line="240" w:lineRule="auto"/>
        <w:jc w:val="both"/>
        <w:rPr>
          <w:rFonts w:ascii="Arial" w:hAnsi="Arial" w:cs="Arial"/>
        </w:rPr>
      </w:pPr>
      <w:r w:rsidRPr="009B3369">
        <w:rPr>
          <w:rFonts w:ascii="Arial" w:hAnsi="Arial" w:cs="Arial"/>
        </w:rPr>
        <w:t xml:space="preserve">This is a highly sensitive and specific rapid automated molecular test for the combined detection of TB and rifampicin resistance. In Tanzania, GeneXpert® is used as a follow-up test for smear-negative HIV-positive TB suspects and in children as an initial test. It will also be performed on contacts of MDR TB and previously treated patients who are likely to have drug-resistant TB.  </w:t>
      </w:r>
    </w:p>
    <w:p w:rsidR="0071027C" w:rsidRPr="009B3369" w:rsidRDefault="0071027C" w:rsidP="0071027C">
      <w:pPr>
        <w:spacing w:before="120" w:after="120" w:line="240" w:lineRule="auto"/>
        <w:rPr>
          <w:rFonts w:ascii="Arial" w:hAnsi="Arial" w:cs="Arial"/>
          <w:b/>
        </w:rPr>
      </w:pPr>
      <w:bookmarkStart w:id="844" w:name="_Toc355904959"/>
      <w:bookmarkStart w:id="845" w:name="_Toc362271656"/>
      <w:r w:rsidRPr="009B3369">
        <w:rPr>
          <w:rFonts w:ascii="Arial" w:hAnsi="Arial" w:cs="Arial"/>
          <w:b/>
        </w:rPr>
        <w:t>Drug Susceptibility Testing</w:t>
      </w:r>
      <w:bookmarkEnd w:id="844"/>
      <w:bookmarkEnd w:id="845"/>
      <w:r w:rsidRPr="009B3369">
        <w:rPr>
          <w:rFonts w:ascii="Arial" w:hAnsi="Arial" w:cs="Arial"/>
          <w:b/>
        </w:rPr>
        <w:t xml:space="preserve"> (DST)</w:t>
      </w:r>
    </w:p>
    <w:p w:rsidR="0071027C" w:rsidRPr="009B3369" w:rsidRDefault="0071027C" w:rsidP="0071027C">
      <w:pPr>
        <w:spacing w:before="120" w:after="120" w:line="240" w:lineRule="auto"/>
        <w:jc w:val="both"/>
        <w:rPr>
          <w:rFonts w:ascii="Arial" w:hAnsi="Arial" w:cs="Arial"/>
        </w:rPr>
      </w:pPr>
      <w:r w:rsidRPr="009B3369">
        <w:rPr>
          <w:rFonts w:ascii="Arial" w:hAnsi="Arial" w:cs="Arial"/>
        </w:rPr>
        <w:t>In Tanzania, DST is done primarily for routine surveillance of drug resistance, using the Proportion Method using solid media. The drugs for which DST is carried out include the first-line drugs isoniazid (H), rifampicin (R), streptomycin (S), and ethambutol (E), and the second-line drugs ofloxacin and kanamycin.</w:t>
      </w:r>
    </w:p>
    <w:p w:rsidR="0071027C" w:rsidRPr="009B3369" w:rsidRDefault="0071027C" w:rsidP="0071027C">
      <w:pPr>
        <w:spacing w:before="120" w:after="120" w:line="240" w:lineRule="auto"/>
        <w:ind w:left="64"/>
        <w:jc w:val="both"/>
        <w:rPr>
          <w:rFonts w:ascii="Arial" w:hAnsi="Arial" w:cs="Arial"/>
          <w:b/>
        </w:rPr>
      </w:pPr>
      <w:r w:rsidRPr="009B3369">
        <w:rPr>
          <w:rFonts w:ascii="Arial" w:hAnsi="Arial" w:cs="Arial"/>
          <w:b/>
        </w:rPr>
        <w:t xml:space="preserve">Other New technologies adopted by the country for TB case detection and DST: </w:t>
      </w:r>
    </w:p>
    <w:p w:rsidR="0071027C" w:rsidRPr="009B3369" w:rsidRDefault="0071027C" w:rsidP="00274941">
      <w:pPr>
        <w:pStyle w:val="ListParagraph"/>
        <w:numPr>
          <w:ilvl w:val="0"/>
          <w:numId w:val="98"/>
        </w:numPr>
        <w:ind w:left="418"/>
        <w:contextualSpacing w:val="0"/>
        <w:jc w:val="both"/>
        <w:rPr>
          <w:rFonts w:ascii="Arial" w:hAnsi="Arial" w:cs="Arial"/>
          <w:sz w:val="22"/>
          <w:szCs w:val="22"/>
        </w:rPr>
      </w:pPr>
      <w:r w:rsidRPr="009B3369">
        <w:rPr>
          <w:rFonts w:ascii="Arial" w:hAnsi="Arial" w:cs="Arial"/>
          <w:sz w:val="22"/>
          <w:szCs w:val="22"/>
        </w:rPr>
        <w:t xml:space="preserve">Liquid culture using the Mycobacterium Growth Indicator Tube (MGIT): It allows rapid growth and detection of </w:t>
      </w:r>
      <w:r w:rsidRPr="009B3369">
        <w:rPr>
          <w:rFonts w:ascii="Arial" w:hAnsi="Arial" w:cs="Arial"/>
          <w:i/>
          <w:sz w:val="22"/>
          <w:szCs w:val="22"/>
        </w:rPr>
        <w:t>M. tuberculosis</w:t>
      </w:r>
      <w:r w:rsidRPr="009B3369">
        <w:rPr>
          <w:rFonts w:ascii="Arial" w:hAnsi="Arial" w:cs="Arial"/>
          <w:sz w:val="22"/>
          <w:szCs w:val="22"/>
          <w:u w:val="single"/>
        </w:rPr>
        <w:t>,</w:t>
      </w:r>
      <w:r w:rsidRPr="009B3369">
        <w:rPr>
          <w:rFonts w:ascii="Arial" w:hAnsi="Arial" w:cs="Arial"/>
          <w:sz w:val="22"/>
          <w:szCs w:val="22"/>
        </w:rPr>
        <w:t xml:space="preserve"> </w:t>
      </w:r>
    </w:p>
    <w:p w:rsidR="0071027C" w:rsidRPr="009B3369" w:rsidRDefault="0071027C" w:rsidP="00274941">
      <w:pPr>
        <w:pStyle w:val="ListParagraph"/>
        <w:numPr>
          <w:ilvl w:val="0"/>
          <w:numId w:val="98"/>
        </w:numPr>
        <w:ind w:left="418"/>
        <w:contextualSpacing w:val="0"/>
        <w:jc w:val="both"/>
        <w:rPr>
          <w:rFonts w:ascii="Arial" w:hAnsi="Arial" w:cs="Arial"/>
          <w:sz w:val="22"/>
          <w:szCs w:val="22"/>
        </w:rPr>
      </w:pPr>
      <w:r w:rsidRPr="009B3369">
        <w:rPr>
          <w:rFonts w:ascii="Arial" w:hAnsi="Arial" w:cs="Arial"/>
          <w:sz w:val="22"/>
          <w:szCs w:val="22"/>
        </w:rPr>
        <w:t>Polymerase chain reaction using strip technology in LPA for DST. LPA is used for rapid detection of rifampicin and isoniazid resistance, which can occur within two days, hence facilitating early initiation of correct treatment or appropriate measures to prevent transmission of MDR TB.</w:t>
      </w:r>
    </w:p>
    <w:p w:rsidR="0071027C" w:rsidRPr="009B3369" w:rsidRDefault="0071027C" w:rsidP="0071027C">
      <w:pPr>
        <w:pStyle w:val="ListParagraph"/>
        <w:spacing w:before="120" w:after="120"/>
        <w:ind w:left="424"/>
        <w:jc w:val="both"/>
        <w:rPr>
          <w:rFonts w:ascii="Arial" w:hAnsi="Arial" w:cs="Arial"/>
          <w:sz w:val="22"/>
          <w:szCs w:val="22"/>
        </w:rPr>
      </w:pPr>
    </w:p>
    <w:p w:rsidR="0071027C" w:rsidRPr="009B3369" w:rsidRDefault="0071027C" w:rsidP="00274941">
      <w:pPr>
        <w:pStyle w:val="ListParagraph"/>
        <w:numPr>
          <w:ilvl w:val="0"/>
          <w:numId w:val="97"/>
        </w:numPr>
        <w:spacing w:before="120" w:after="120"/>
        <w:jc w:val="both"/>
        <w:rPr>
          <w:rFonts w:ascii="Arial" w:hAnsi="Arial" w:cs="Arial"/>
          <w:b/>
          <w:sz w:val="22"/>
          <w:szCs w:val="22"/>
        </w:rPr>
      </w:pPr>
      <w:bookmarkStart w:id="846" w:name="_Toc355904960"/>
      <w:bookmarkStart w:id="847" w:name="_Toc362271657"/>
      <w:r w:rsidRPr="009B3369">
        <w:rPr>
          <w:rFonts w:ascii="Arial" w:hAnsi="Arial" w:cs="Arial"/>
          <w:b/>
          <w:sz w:val="22"/>
          <w:szCs w:val="22"/>
        </w:rPr>
        <w:t>Other relevant investigations for tuberculosis in adults</w:t>
      </w:r>
      <w:bookmarkEnd w:id="846"/>
      <w:bookmarkEnd w:id="847"/>
    </w:p>
    <w:p w:rsidR="0071027C" w:rsidRPr="009B3369" w:rsidRDefault="0071027C" w:rsidP="00274941">
      <w:pPr>
        <w:pStyle w:val="ListParagraph"/>
        <w:numPr>
          <w:ilvl w:val="0"/>
          <w:numId w:val="101"/>
        </w:numPr>
        <w:contextualSpacing w:val="0"/>
        <w:rPr>
          <w:rFonts w:ascii="Arial" w:hAnsi="Arial" w:cs="Arial"/>
          <w:sz w:val="22"/>
          <w:szCs w:val="22"/>
        </w:rPr>
      </w:pPr>
      <w:bookmarkStart w:id="848" w:name="_Toc354885190"/>
      <w:bookmarkStart w:id="849" w:name="_Toc355002070"/>
      <w:bookmarkStart w:id="850" w:name="_Toc355904961"/>
      <w:bookmarkStart w:id="851" w:name="_Toc362271658"/>
      <w:bookmarkStart w:id="852" w:name="_Toc355904962"/>
      <w:bookmarkEnd w:id="848"/>
      <w:bookmarkEnd w:id="849"/>
      <w:bookmarkEnd w:id="850"/>
      <w:r w:rsidRPr="009B3369">
        <w:rPr>
          <w:rFonts w:ascii="Arial" w:hAnsi="Arial" w:cs="Arial"/>
          <w:sz w:val="22"/>
          <w:szCs w:val="22"/>
        </w:rPr>
        <w:t>Chest x-ray</w:t>
      </w:r>
      <w:bookmarkEnd w:id="851"/>
      <w:bookmarkEnd w:id="852"/>
    </w:p>
    <w:p w:rsidR="0071027C" w:rsidRPr="009B3369" w:rsidRDefault="0071027C" w:rsidP="00274941">
      <w:pPr>
        <w:pStyle w:val="ListParagraph"/>
        <w:numPr>
          <w:ilvl w:val="0"/>
          <w:numId w:val="101"/>
        </w:numPr>
        <w:contextualSpacing w:val="0"/>
        <w:rPr>
          <w:rFonts w:ascii="Arial" w:hAnsi="Arial" w:cs="Arial"/>
          <w:sz w:val="22"/>
          <w:szCs w:val="22"/>
        </w:rPr>
      </w:pPr>
      <w:bookmarkStart w:id="853" w:name="_Toc355904963"/>
      <w:bookmarkStart w:id="854" w:name="_Toc362271659"/>
      <w:r w:rsidRPr="009B3369">
        <w:rPr>
          <w:rFonts w:ascii="Arial" w:hAnsi="Arial" w:cs="Arial"/>
          <w:sz w:val="22"/>
          <w:szCs w:val="22"/>
        </w:rPr>
        <w:t>Histological examination</w:t>
      </w:r>
      <w:bookmarkEnd w:id="853"/>
      <w:bookmarkEnd w:id="854"/>
      <w:r w:rsidRPr="009B3369">
        <w:rPr>
          <w:rFonts w:ascii="Arial" w:hAnsi="Arial" w:cs="Arial"/>
          <w:sz w:val="22"/>
          <w:szCs w:val="22"/>
        </w:rPr>
        <w:t xml:space="preserve"> </w:t>
      </w:r>
    </w:p>
    <w:p w:rsidR="0071027C" w:rsidRPr="009B3369" w:rsidRDefault="0071027C" w:rsidP="00274941">
      <w:pPr>
        <w:pStyle w:val="ListParagraph"/>
        <w:numPr>
          <w:ilvl w:val="0"/>
          <w:numId w:val="101"/>
        </w:numPr>
        <w:contextualSpacing w:val="0"/>
        <w:rPr>
          <w:rFonts w:ascii="Arial" w:hAnsi="Arial" w:cs="Arial"/>
          <w:sz w:val="22"/>
          <w:szCs w:val="22"/>
        </w:rPr>
      </w:pPr>
      <w:bookmarkStart w:id="855" w:name="_Toc355904964"/>
      <w:bookmarkStart w:id="856" w:name="_Toc362271660"/>
      <w:r w:rsidRPr="009B3369">
        <w:rPr>
          <w:rFonts w:ascii="Arial" w:hAnsi="Arial" w:cs="Arial"/>
          <w:sz w:val="22"/>
          <w:szCs w:val="22"/>
        </w:rPr>
        <w:t>Erythrocyte sedimentation rate</w:t>
      </w:r>
      <w:bookmarkEnd w:id="855"/>
      <w:bookmarkEnd w:id="856"/>
    </w:p>
    <w:p w:rsidR="0071027C" w:rsidRPr="009B3369" w:rsidRDefault="0071027C" w:rsidP="0071027C">
      <w:pPr>
        <w:spacing w:before="120" w:after="120" w:line="240" w:lineRule="auto"/>
        <w:jc w:val="both"/>
        <w:rPr>
          <w:rFonts w:ascii="Arial" w:hAnsi="Arial" w:cs="Arial"/>
          <w:bCs/>
        </w:rPr>
      </w:pPr>
      <w:r w:rsidRPr="009B3369">
        <w:rPr>
          <w:rFonts w:ascii="Arial" w:hAnsi="Arial" w:cs="Arial"/>
          <w:bCs/>
        </w:rPr>
        <w:t>Note: For more details of TB diagnosis please refer to the NTLP Manual</w:t>
      </w:r>
    </w:p>
    <w:p w:rsidR="0071027C" w:rsidRPr="0062068E" w:rsidRDefault="0071027C" w:rsidP="0071027C">
      <w:pPr>
        <w:pStyle w:val="Heading3"/>
      </w:pPr>
      <w:bookmarkStart w:id="857" w:name="_Toc382214107"/>
      <w:r>
        <w:rPr>
          <w:rFonts w:ascii="Arial" w:hAnsi="Arial" w:cs="Arial"/>
        </w:rPr>
        <w:t xml:space="preserve">10.2.5 </w:t>
      </w:r>
      <w:bookmarkStart w:id="858" w:name="_Toc362271689"/>
      <w:r w:rsidRPr="0062068E">
        <w:t xml:space="preserve">Standard regimen for new </w:t>
      </w:r>
      <w:r>
        <w:t xml:space="preserve">adult </w:t>
      </w:r>
      <w:r w:rsidRPr="0062068E">
        <w:t>TB patients</w:t>
      </w:r>
      <w:bookmarkEnd w:id="857"/>
      <w:bookmarkEnd w:id="858"/>
    </w:p>
    <w:p w:rsidR="0071027C" w:rsidRPr="00436C8C" w:rsidRDefault="0071027C" w:rsidP="00274941">
      <w:pPr>
        <w:pStyle w:val="ListParagraph"/>
        <w:numPr>
          <w:ilvl w:val="0"/>
          <w:numId w:val="102"/>
        </w:numPr>
        <w:spacing w:before="120" w:after="120"/>
        <w:jc w:val="both"/>
        <w:rPr>
          <w:rFonts w:ascii="Arial" w:hAnsi="Arial" w:cs="Arial"/>
          <w:sz w:val="22"/>
          <w:szCs w:val="22"/>
        </w:rPr>
      </w:pPr>
      <w:r w:rsidRPr="00436C8C">
        <w:rPr>
          <w:rFonts w:ascii="Arial" w:hAnsi="Arial" w:cs="Arial"/>
          <w:sz w:val="22"/>
          <w:szCs w:val="22"/>
        </w:rPr>
        <w:t xml:space="preserve">New adult TB patients should receive a six-month regimen containing rifampicin: 2RHZE/4RH. The regimen requires daily observed treatment by a health care worker or treatment supporter throughout the six months. </w:t>
      </w:r>
    </w:p>
    <w:p w:rsidR="0071027C" w:rsidRPr="00436C8C" w:rsidRDefault="0071027C" w:rsidP="00274941">
      <w:pPr>
        <w:pStyle w:val="ListParagraph"/>
        <w:numPr>
          <w:ilvl w:val="0"/>
          <w:numId w:val="102"/>
        </w:numPr>
        <w:spacing w:before="120" w:after="120"/>
        <w:jc w:val="both"/>
        <w:rPr>
          <w:rFonts w:ascii="Arial" w:hAnsi="Arial" w:cs="Arial"/>
          <w:sz w:val="22"/>
          <w:szCs w:val="22"/>
        </w:rPr>
      </w:pPr>
      <w:r w:rsidRPr="00436C8C">
        <w:rPr>
          <w:rFonts w:ascii="Arial" w:hAnsi="Arial" w:cs="Arial"/>
          <w:sz w:val="22"/>
          <w:szCs w:val="22"/>
        </w:rPr>
        <w:t xml:space="preserve">Standard regimen for previously treated adults other than MDR TB: All previously treated TB patients should provide a specimen for rapid molecular testing (GeneXpert® MTB/RIF), where available, and culture and DST. All patients who are rifampicin resistant should receive MDR TB treatment in a designated health facility. </w:t>
      </w:r>
    </w:p>
    <w:p w:rsidR="0071027C" w:rsidRPr="00436C8C" w:rsidRDefault="0071027C" w:rsidP="00274941">
      <w:pPr>
        <w:pStyle w:val="ListParagraph"/>
        <w:numPr>
          <w:ilvl w:val="0"/>
          <w:numId w:val="102"/>
        </w:numPr>
        <w:spacing w:before="120" w:after="120"/>
        <w:jc w:val="both"/>
        <w:rPr>
          <w:rFonts w:ascii="Arial" w:hAnsi="Arial" w:cs="Arial"/>
          <w:sz w:val="22"/>
          <w:szCs w:val="22"/>
        </w:rPr>
      </w:pPr>
      <w:r w:rsidRPr="00436C8C">
        <w:rPr>
          <w:rFonts w:ascii="Arial" w:hAnsi="Arial" w:cs="Arial"/>
          <w:sz w:val="22"/>
          <w:szCs w:val="22"/>
        </w:rPr>
        <w:t xml:space="preserve">Patients who are rifampicin negative should be treated with a first-line retreatment regimen containing all five drugs (2SRHZE/1HRZE/5RHE) while waiting for DST results. In the absence of GeneXpert®, all previously treated patients should submit a specimen for culture and DST. </w:t>
      </w:r>
    </w:p>
    <w:p w:rsidR="0071027C" w:rsidRPr="00436C8C" w:rsidRDefault="0071027C" w:rsidP="00274941">
      <w:pPr>
        <w:pStyle w:val="ListParagraph"/>
        <w:numPr>
          <w:ilvl w:val="0"/>
          <w:numId w:val="102"/>
        </w:numPr>
        <w:spacing w:before="120" w:after="120"/>
        <w:jc w:val="both"/>
        <w:rPr>
          <w:rFonts w:ascii="Arial" w:hAnsi="Arial" w:cs="Arial"/>
          <w:sz w:val="22"/>
          <w:szCs w:val="22"/>
        </w:rPr>
      </w:pPr>
      <w:r w:rsidRPr="00436C8C">
        <w:rPr>
          <w:rFonts w:ascii="Arial" w:hAnsi="Arial" w:cs="Arial"/>
          <w:sz w:val="22"/>
          <w:szCs w:val="22"/>
        </w:rPr>
        <w:t xml:space="preserve">Previously treated patients who are failures will be initiated MDR TB treatment immediately, while waiting for DST results. </w:t>
      </w:r>
    </w:p>
    <w:p w:rsidR="0071027C" w:rsidRPr="00436C8C" w:rsidRDefault="0071027C" w:rsidP="00274941">
      <w:pPr>
        <w:pStyle w:val="ListParagraph"/>
        <w:numPr>
          <w:ilvl w:val="0"/>
          <w:numId w:val="102"/>
        </w:numPr>
        <w:spacing w:before="120" w:after="120"/>
        <w:jc w:val="both"/>
        <w:rPr>
          <w:rFonts w:ascii="Arial" w:hAnsi="Arial" w:cs="Arial"/>
          <w:sz w:val="22"/>
          <w:szCs w:val="22"/>
        </w:rPr>
      </w:pPr>
      <w:r w:rsidRPr="00436C8C">
        <w:rPr>
          <w:rFonts w:ascii="Arial" w:hAnsi="Arial" w:cs="Arial"/>
          <w:sz w:val="22"/>
          <w:szCs w:val="22"/>
        </w:rPr>
        <w:t>Previously treated patients who are relapses and return after loss to follow-up (defaulters) will be initiated on an interim first-line retreatment regimen containing all five drugs (2SRHZE/1HRZE/5RHE) while waiting for DST results. Once DST results are available, treatment should be modified accordingly. Patients who are resistant to rifampicin alone or rifampicin and isoniazid (MDR TB) will change to an MDR TB treatment regimen. Those who are not MDR TB will continue with the first-line retreatment regimen and resistance will be monitored at three and five months.</w:t>
      </w:r>
    </w:p>
    <w:p w:rsidR="0071027C" w:rsidRPr="00436C8C" w:rsidRDefault="0071027C" w:rsidP="00274941">
      <w:pPr>
        <w:pStyle w:val="ListParagraph"/>
        <w:numPr>
          <w:ilvl w:val="0"/>
          <w:numId w:val="102"/>
        </w:numPr>
        <w:spacing w:before="120" w:after="120"/>
        <w:jc w:val="both"/>
        <w:rPr>
          <w:rFonts w:ascii="Arial" w:hAnsi="Arial" w:cs="Arial"/>
          <w:sz w:val="22"/>
          <w:szCs w:val="22"/>
        </w:rPr>
      </w:pPr>
      <w:r w:rsidRPr="00436C8C">
        <w:rPr>
          <w:rFonts w:ascii="Arial" w:hAnsi="Arial" w:cs="Arial"/>
          <w:sz w:val="22"/>
          <w:szCs w:val="22"/>
        </w:rPr>
        <w:t>Other previously treated patients (others) will be treated with a first-line retreatment regimen (2SRHZE/1HRZE/5RHE) while waiting for culture and DST results.</w:t>
      </w:r>
    </w:p>
    <w:p w:rsidR="0071027C" w:rsidRPr="00E67F8E" w:rsidRDefault="0071027C" w:rsidP="0071027C">
      <w:pPr>
        <w:spacing w:before="120" w:after="120" w:line="240" w:lineRule="auto"/>
        <w:jc w:val="both"/>
        <w:rPr>
          <w:rFonts w:ascii="Arial" w:hAnsi="Arial" w:cs="Arial"/>
        </w:rPr>
      </w:pPr>
    </w:p>
    <w:p w:rsidR="0071027C" w:rsidRPr="00427740" w:rsidRDefault="0071027C" w:rsidP="0071027C">
      <w:pPr>
        <w:pStyle w:val="Heading2"/>
        <w:rPr>
          <w:szCs w:val="24"/>
        </w:rPr>
      </w:pPr>
      <w:bookmarkStart w:id="859" w:name="_Toc376771952"/>
      <w:bookmarkStart w:id="860" w:name="_Toc378258250"/>
      <w:bookmarkStart w:id="861" w:name="_Toc382214108"/>
      <w:r w:rsidRPr="00427740">
        <w:rPr>
          <w:szCs w:val="24"/>
        </w:rPr>
        <w:t>10.3. Collaborative TB/HIV activities</w:t>
      </w:r>
      <w:bookmarkEnd w:id="859"/>
      <w:bookmarkEnd w:id="860"/>
      <w:bookmarkEnd w:id="861"/>
    </w:p>
    <w:p w:rsidR="0071027C" w:rsidRPr="00E67F8E" w:rsidRDefault="0071027C" w:rsidP="0071027C">
      <w:pPr>
        <w:autoSpaceDE w:val="0"/>
        <w:autoSpaceDN w:val="0"/>
        <w:adjustRightInd w:val="0"/>
        <w:spacing w:before="120" w:after="120" w:line="240" w:lineRule="auto"/>
        <w:jc w:val="both"/>
        <w:rPr>
          <w:rFonts w:ascii="Arial" w:hAnsi="Arial" w:cs="Arial"/>
        </w:rPr>
      </w:pPr>
      <w:r w:rsidRPr="00E67F8E">
        <w:rPr>
          <w:rFonts w:ascii="Arial" w:hAnsi="Arial" w:cs="Arial"/>
        </w:rPr>
        <w:t>The MOHSW commits itself to the endeavor of dramatically reducing TB and HIV morbidity and mortality through comprehensive collaborative TB/HIV activities. The strategies adopted in these guidelines are in line with global efforts to combat dual TB/HIV epidemics recommended by the WHO. The strategies take into account the key values of effectiveness, efficiency, equity, equality, and timeliness of delivery.</w:t>
      </w:r>
    </w:p>
    <w:p w:rsidR="0071027C" w:rsidRPr="00E67F8E" w:rsidRDefault="0071027C" w:rsidP="0071027C">
      <w:pPr>
        <w:spacing w:before="120" w:after="120" w:line="240" w:lineRule="auto"/>
        <w:jc w:val="both"/>
        <w:rPr>
          <w:rFonts w:ascii="Arial" w:hAnsi="Arial" w:cs="Arial"/>
        </w:rPr>
      </w:pPr>
      <w:r w:rsidRPr="00E67F8E">
        <w:rPr>
          <w:rFonts w:ascii="Arial" w:hAnsi="Arial" w:cs="Arial"/>
        </w:rPr>
        <w:t xml:space="preserve">The measures being implemented include; Establish and strengthen the mechanisms for delivering integrated TB and HIV services; </w:t>
      </w:r>
      <w:bookmarkStart w:id="862" w:name="_Toc129935054"/>
      <w:bookmarkStart w:id="863" w:name="_Toc129936410"/>
      <w:r w:rsidRPr="00E67F8E">
        <w:rPr>
          <w:rFonts w:ascii="Arial" w:hAnsi="Arial" w:cs="Arial"/>
        </w:rPr>
        <w:t xml:space="preserve">reduce the burden of HIV in patients with presumptive and diagnosed TB; and </w:t>
      </w:r>
      <w:bookmarkEnd w:id="862"/>
      <w:bookmarkEnd w:id="863"/>
      <w:r w:rsidRPr="00E67F8E">
        <w:rPr>
          <w:rFonts w:ascii="Arial" w:hAnsi="Arial" w:cs="Arial"/>
        </w:rPr>
        <w:t>reduce the burden of TB in PLHIV (3Is Strategy) and initiate early antiretroviral therapy. The following collaborative TB/HIV activities are recommended to be implemented in the country both by the HIV/AIDS and TB programs:</w:t>
      </w:r>
    </w:p>
    <w:p w:rsidR="0071027C" w:rsidRPr="00436C8C" w:rsidRDefault="0071027C" w:rsidP="00274941">
      <w:pPr>
        <w:pStyle w:val="ListParagraph"/>
        <w:numPr>
          <w:ilvl w:val="0"/>
          <w:numId w:val="103"/>
        </w:numPr>
        <w:spacing w:before="120" w:after="120"/>
        <w:rPr>
          <w:rFonts w:ascii="Arial" w:hAnsi="Arial" w:cs="Arial"/>
          <w:sz w:val="22"/>
          <w:szCs w:val="22"/>
        </w:rPr>
      </w:pPr>
      <w:bookmarkStart w:id="864" w:name="_Toc376771953"/>
      <w:bookmarkStart w:id="865" w:name="_Toc378258251"/>
      <w:r w:rsidRPr="00436C8C">
        <w:rPr>
          <w:rFonts w:ascii="Arial" w:hAnsi="Arial" w:cs="Arial"/>
          <w:sz w:val="22"/>
          <w:szCs w:val="22"/>
        </w:rPr>
        <w:t>Establish and strengthen the mechanisms for delivering integrated TB and HIV services</w:t>
      </w:r>
      <w:bookmarkEnd w:id="864"/>
      <w:bookmarkEnd w:id="865"/>
    </w:p>
    <w:p w:rsidR="0071027C" w:rsidRPr="00436C8C" w:rsidRDefault="0071027C" w:rsidP="00274941">
      <w:pPr>
        <w:pStyle w:val="ListParagraph"/>
        <w:numPr>
          <w:ilvl w:val="0"/>
          <w:numId w:val="94"/>
        </w:numPr>
        <w:contextualSpacing w:val="0"/>
        <w:jc w:val="both"/>
        <w:rPr>
          <w:rFonts w:ascii="Arial" w:hAnsi="Arial" w:cs="Arial"/>
          <w:bCs/>
          <w:sz w:val="22"/>
          <w:szCs w:val="22"/>
        </w:rPr>
      </w:pPr>
      <w:r w:rsidRPr="00436C8C">
        <w:rPr>
          <w:rFonts w:ascii="Arial" w:hAnsi="Arial" w:cs="Arial"/>
          <w:bCs/>
          <w:sz w:val="22"/>
          <w:szCs w:val="22"/>
        </w:rPr>
        <w:t>Set up and strengthen a coordinating body for collaborative TB/HIV activities functional at all levels</w:t>
      </w:r>
    </w:p>
    <w:p w:rsidR="0071027C" w:rsidRPr="00436C8C" w:rsidRDefault="0071027C" w:rsidP="00274941">
      <w:pPr>
        <w:pStyle w:val="ListParagraph"/>
        <w:numPr>
          <w:ilvl w:val="0"/>
          <w:numId w:val="94"/>
        </w:numPr>
        <w:contextualSpacing w:val="0"/>
        <w:jc w:val="both"/>
        <w:rPr>
          <w:rFonts w:ascii="Arial" w:hAnsi="Arial" w:cs="Arial"/>
          <w:bCs/>
          <w:sz w:val="22"/>
          <w:szCs w:val="22"/>
        </w:rPr>
      </w:pPr>
      <w:r w:rsidRPr="00436C8C">
        <w:rPr>
          <w:rFonts w:ascii="Arial" w:hAnsi="Arial" w:cs="Arial"/>
          <w:bCs/>
          <w:sz w:val="22"/>
          <w:szCs w:val="22"/>
        </w:rPr>
        <w:t>Determine HIV prevalence among TB patients and TB prevalence among people living with HIV</w:t>
      </w:r>
    </w:p>
    <w:p w:rsidR="0071027C" w:rsidRPr="00436C8C" w:rsidRDefault="0071027C" w:rsidP="00274941">
      <w:pPr>
        <w:pStyle w:val="ListParagraph"/>
        <w:numPr>
          <w:ilvl w:val="0"/>
          <w:numId w:val="94"/>
        </w:numPr>
        <w:contextualSpacing w:val="0"/>
        <w:jc w:val="both"/>
        <w:rPr>
          <w:rFonts w:ascii="Arial" w:hAnsi="Arial" w:cs="Arial"/>
          <w:bCs/>
          <w:sz w:val="22"/>
          <w:szCs w:val="22"/>
        </w:rPr>
      </w:pPr>
      <w:r w:rsidRPr="00436C8C">
        <w:rPr>
          <w:rFonts w:ascii="Arial" w:hAnsi="Arial" w:cs="Arial"/>
          <w:bCs/>
          <w:sz w:val="22"/>
          <w:szCs w:val="22"/>
        </w:rPr>
        <w:t>Carry out joint TB/HIV planning to integrate the delivery of TB and HIV services</w:t>
      </w:r>
    </w:p>
    <w:p w:rsidR="0071027C" w:rsidRDefault="0071027C" w:rsidP="00274941">
      <w:pPr>
        <w:pStyle w:val="ListParagraph"/>
        <w:numPr>
          <w:ilvl w:val="0"/>
          <w:numId w:val="94"/>
        </w:numPr>
        <w:contextualSpacing w:val="0"/>
        <w:jc w:val="both"/>
        <w:rPr>
          <w:rFonts w:ascii="Arial" w:hAnsi="Arial" w:cs="Arial"/>
          <w:bCs/>
          <w:sz w:val="22"/>
          <w:szCs w:val="22"/>
        </w:rPr>
      </w:pPr>
      <w:r w:rsidRPr="00436C8C">
        <w:rPr>
          <w:rFonts w:ascii="Arial" w:hAnsi="Arial" w:cs="Arial"/>
          <w:bCs/>
          <w:sz w:val="22"/>
          <w:szCs w:val="22"/>
        </w:rPr>
        <w:t xml:space="preserve">Monitor and evaluate collaborative TB/HIV activities </w:t>
      </w:r>
    </w:p>
    <w:p w:rsidR="0071027C" w:rsidRPr="00436C8C" w:rsidRDefault="0071027C" w:rsidP="0071027C">
      <w:pPr>
        <w:pStyle w:val="ListParagraph"/>
        <w:contextualSpacing w:val="0"/>
        <w:jc w:val="both"/>
        <w:rPr>
          <w:rFonts w:ascii="Arial" w:hAnsi="Arial" w:cs="Arial"/>
          <w:bCs/>
          <w:sz w:val="22"/>
          <w:szCs w:val="22"/>
        </w:rPr>
      </w:pPr>
    </w:p>
    <w:p w:rsidR="0071027C" w:rsidRPr="00436C8C" w:rsidRDefault="0071027C" w:rsidP="00274941">
      <w:pPr>
        <w:pStyle w:val="ListParagraph"/>
        <w:numPr>
          <w:ilvl w:val="0"/>
          <w:numId w:val="103"/>
        </w:numPr>
        <w:spacing w:before="120" w:after="120"/>
        <w:rPr>
          <w:rFonts w:ascii="Arial" w:hAnsi="Arial" w:cs="Arial"/>
          <w:sz w:val="22"/>
          <w:szCs w:val="22"/>
        </w:rPr>
      </w:pPr>
      <w:bookmarkStart w:id="866" w:name="_Toc376771954"/>
      <w:bookmarkStart w:id="867" w:name="_Toc378258252"/>
      <w:r w:rsidRPr="00436C8C">
        <w:rPr>
          <w:rFonts w:ascii="Arial" w:hAnsi="Arial" w:cs="Arial"/>
          <w:sz w:val="22"/>
          <w:szCs w:val="22"/>
        </w:rPr>
        <w:t>Reduce the burden of HIV in patients with presumptive and diagnosed TB</w:t>
      </w:r>
      <w:bookmarkEnd w:id="866"/>
      <w:bookmarkEnd w:id="867"/>
    </w:p>
    <w:p w:rsidR="0071027C" w:rsidRPr="00436C8C" w:rsidRDefault="0071027C" w:rsidP="00274941">
      <w:pPr>
        <w:pStyle w:val="ListParagraph"/>
        <w:numPr>
          <w:ilvl w:val="0"/>
          <w:numId w:val="94"/>
        </w:numPr>
        <w:contextualSpacing w:val="0"/>
        <w:jc w:val="both"/>
        <w:rPr>
          <w:rFonts w:ascii="Arial" w:hAnsi="Arial" w:cs="Arial"/>
          <w:bCs/>
          <w:sz w:val="22"/>
          <w:szCs w:val="22"/>
        </w:rPr>
      </w:pPr>
      <w:r w:rsidRPr="00436C8C">
        <w:rPr>
          <w:rFonts w:ascii="Arial" w:hAnsi="Arial" w:cs="Arial"/>
          <w:bCs/>
          <w:sz w:val="22"/>
          <w:szCs w:val="22"/>
        </w:rPr>
        <w:t>Provide HIV testing and counselling to patients with presumptive and diagnosed TB</w:t>
      </w:r>
    </w:p>
    <w:p w:rsidR="0071027C" w:rsidRPr="00436C8C" w:rsidRDefault="0071027C" w:rsidP="00274941">
      <w:pPr>
        <w:pStyle w:val="ListParagraph"/>
        <w:numPr>
          <w:ilvl w:val="0"/>
          <w:numId w:val="94"/>
        </w:numPr>
        <w:contextualSpacing w:val="0"/>
        <w:jc w:val="both"/>
        <w:rPr>
          <w:rFonts w:ascii="Arial" w:hAnsi="Arial" w:cs="Arial"/>
          <w:bCs/>
          <w:sz w:val="22"/>
          <w:szCs w:val="22"/>
        </w:rPr>
      </w:pPr>
      <w:r w:rsidRPr="00436C8C">
        <w:rPr>
          <w:rFonts w:ascii="Arial" w:hAnsi="Arial" w:cs="Arial"/>
          <w:bCs/>
          <w:sz w:val="22"/>
          <w:szCs w:val="22"/>
        </w:rPr>
        <w:t>Provide HIV prevention interventions for patients with presumptive and diagnosed TB</w:t>
      </w:r>
    </w:p>
    <w:p w:rsidR="0071027C" w:rsidRPr="00436C8C" w:rsidRDefault="0071027C" w:rsidP="00274941">
      <w:pPr>
        <w:pStyle w:val="ListParagraph"/>
        <w:numPr>
          <w:ilvl w:val="0"/>
          <w:numId w:val="94"/>
        </w:numPr>
        <w:contextualSpacing w:val="0"/>
        <w:jc w:val="both"/>
        <w:rPr>
          <w:rFonts w:ascii="Arial" w:hAnsi="Arial" w:cs="Arial"/>
          <w:bCs/>
          <w:sz w:val="22"/>
          <w:szCs w:val="22"/>
        </w:rPr>
      </w:pPr>
      <w:r w:rsidRPr="00436C8C">
        <w:rPr>
          <w:rFonts w:ascii="Arial" w:hAnsi="Arial" w:cs="Arial"/>
          <w:bCs/>
          <w:sz w:val="22"/>
          <w:szCs w:val="22"/>
        </w:rPr>
        <w:t>Provide co-trimoxazole preventive therapy for TB patients living with HIV</w:t>
      </w:r>
    </w:p>
    <w:p w:rsidR="0071027C" w:rsidRPr="00436C8C" w:rsidRDefault="0071027C" w:rsidP="00274941">
      <w:pPr>
        <w:pStyle w:val="ListParagraph"/>
        <w:numPr>
          <w:ilvl w:val="0"/>
          <w:numId w:val="94"/>
        </w:numPr>
        <w:contextualSpacing w:val="0"/>
        <w:jc w:val="both"/>
        <w:rPr>
          <w:rFonts w:ascii="Arial" w:hAnsi="Arial" w:cs="Arial"/>
          <w:bCs/>
          <w:sz w:val="22"/>
          <w:szCs w:val="22"/>
        </w:rPr>
      </w:pPr>
      <w:r w:rsidRPr="00436C8C">
        <w:rPr>
          <w:rFonts w:ascii="Arial" w:hAnsi="Arial" w:cs="Arial"/>
          <w:bCs/>
          <w:sz w:val="22"/>
          <w:szCs w:val="22"/>
        </w:rPr>
        <w:t>Ensure HIV prevention interventions, treatment and care for TB patients living with HIV</w:t>
      </w:r>
    </w:p>
    <w:p w:rsidR="0071027C" w:rsidRDefault="0071027C" w:rsidP="00274941">
      <w:pPr>
        <w:pStyle w:val="ListParagraph"/>
        <w:numPr>
          <w:ilvl w:val="0"/>
          <w:numId w:val="94"/>
        </w:numPr>
        <w:contextualSpacing w:val="0"/>
        <w:jc w:val="both"/>
        <w:rPr>
          <w:rFonts w:ascii="Arial" w:hAnsi="Arial" w:cs="Arial"/>
          <w:bCs/>
          <w:sz w:val="22"/>
          <w:szCs w:val="22"/>
        </w:rPr>
      </w:pPr>
      <w:r w:rsidRPr="00436C8C">
        <w:rPr>
          <w:rFonts w:ascii="Arial" w:hAnsi="Arial" w:cs="Arial"/>
          <w:bCs/>
          <w:sz w:val="22"/>
          <w:szCs w:val="22"/>
        </w:rPr>
        <w:t>Provide antiretroviral therapy for TB patients living with HIV</w:t>
      </w:r>
    </w:p>
    <w:p w:rsidR="0071027C" w:rsidRPr="00436C8C" w:rsidRDefault="0071027C" w:rsidP="0071027C">
      <w:pPr>
        <w:pStyle w:val="ListParagraph"/>
        <w:contextualSpacing w:val="0"/>
        <w:jc w:val="both"/>
        <w:rPr>
          <w:rFonts w:ascii="Arial" w:hAnsi="Arial" w:cs="Arial"/>
          <w:bCs/>
          <w:sz w:val="22"/>
          <w:szCs w:val="22"/>
        </w:rPr>
      </w:pPr>
    </w:p>
    <w:p w:rsidR="0071027C" w:rsidRPr="00436C8C" w:rsidRDefault="0071027C" w:rsidP="00274941">
      <w:pPr>
        <w:pStyle w:val="ListParagraph"/>
        <w:numPr>
          <w:ilvl w:val="0"/>
          <w:numId w:val="103"/>
        </w:numPr>
        <w:spacing w:before="120" w:after="120"/>
        <w:rPr>
          <w:rFonts w:ascii="Arial" w:hAnsi="Arial" w:cs="Arial"/>
          <w:sz w:val="22"/>
          <w:szCs w:val="22"/>
        </w:rPr>
      </w:pPr>
      <w:bookmarkStart w:id="868" w:name="_Toc376771955"/>
      <w:bookmarkStart w:id="869" w:name="_Toc378258253"/>
      <w:r w:rsidRPr="00436C8C">
        <w:rPr>
          <w:rFonts w:ascii="Arial" w:hAnsi="Arial" w:cs="Arial"/>
          <w:sz w:val="22"/>
          <w:szCs w:val="22"/>
        </w:rPr>
        <w:t>Reduce the burden of TB in PLHIV (3Is Strategy) and initiate early antiretroviral therapy</w:t>
      </w:r>
      <w:bookmarkEnd w:id="868"/>
      <w:bookmarkEnd w:id="869"/>
    </w:p>
    <w:p w:rsidR="0071027C" w:rsidRPr="00436C8C" w:rsidRDefault="0071027C" w:rsidP="00274941">
      <w:pPr>
        <w:pStyle w:val="ListParagraph"/>
        <w:numPr>
          <w:ilvl w:val="0"/>
          <w:numId w:val="94"/>
        </w:numPr>
        <w:contextualSpacing w:val="0"/>
        <w:jc w:val="both"/>
        <w:rPr>
          <w:rFonts w:ascii="Arial" w:hAnsi="Arial" w:cs="Arial"/>
          <w:bCs/>
          <w:sz w:val="22"/>
          <w:szCs w:val="22"/>
        </w:rPr>
      </w:pPr>
      <w:r w:rsidRPr="00436C8C">
        <w:rPr>
          <w:rFonts w:ascii="Arial" w:hAnsi="Arial" w:cs="Arial"/>
          <w:bCs/>
          <w:sz w:val="22"/>
          <w:szCs w:val="22"/>
        </w:rPr>
        <w:t>Intensify TB case-finding and ensure high quality anti TB  treatment</w:t>
      </w:r>
    </w:p>
    <w:p w:rsidR="0071027C" w:rsidRPr="00436C8C" w:rsidRDefault="0071027C" w:rsidP="00274941">
      <w:pPr>
        <w:pStyle w:val="ListParagraph"/>
        <w:numPr>
          <w:ilvl w:val="0"/>
          <w:numId w:val="94"/>
        </w:numPr>
        <w:contextualSpacing w:val="0"/>
        <w:jc w:val="both"/>
        <w:rPr>
          <w:rFonts w:ascii="Arial" w:hAnsi="Arial" w:cs="Arial"/>
          <w:bCs/>
          <w:sz w:val="22"/>
          <w:szCs w:val="22"/>
        </w:rPr>
      </w:pPr>
      <w:r w:rsidRPr="00436C8C">
        <w:rPr>
          <w:rFonts w:ascii="Arial" w:hAnsi="Arial" w:cs="Arial"/>
          <w:bCs/>
          <w:sz w:val="22"/>
          <w:szCs w:val="22"/>
        </w:rPr>
        <w:t>Initiate TB prevention with Isoniazid preventive therapy and early antiretroviral therapy</w:t>
      </w:r>
    </w:p>
    <w:p w:rsidR="0071027C" w:rsidRPr="00436C8C" w:rsidRDefault="0071027C" w:rsidP="00274941">
      <w:pPr>
        <w:pStyle w:val="ListParagraph"/>
        <w:numPr>
          <w:ilvl w:val="0"/>
          <w:numId w:val="94"/>
        </w:numPr>
        <w:contextualSpacing w:val="0"/>
        <w:jc w:val="both"/>
        <w:rPr>
          <w:rFonts w:ascii="Arial" w:hAnsi="Arial" w:cs="Arial"/>
          <w:bCs/>
          <w:sz w:val="22"/>
          <w:szCs w:val="22"/>
        </w:rPr>
      </w:pPr>
      <w:r w:rsidRPr="00436C8C">
        <w:rPr>
          <w:rFonts w:ascii="Arial" w:hAnsi="Arial" w:cs="Arial"/>
          <w:bCs/>
          <w:sz w:val="22"/>
          <w:szCs w:val="22"/>
        </w:rPr>
        <w:t>Ensure control of TB Infection in health-care facilities and congregate settings</w:t>
      </w:r>
    </w:p>
    <w:p w:rsidR="0071027C" w:rsidRPr="00E67F8E" w:rsidRDefault="0071027C" w:rsidP="0071027C">
      <w:pPr>
        <w:spacing w:before="120" w:after="120" w:line="240" w:lineRule="auto"/>
        <w:jc w:val="both"/>
        <w:rPr>
          <w:rFonts w:ascii="Arial" w:hAnsi="Arial" w:cs="Arial"/>
          <w:b/>
        </w:rPr>
      </w:pPr>
      <w:r w:rsidRPr="00E67F8E">
        <w:rPr>
          <w:rFonts w:ascii="Arial" w:hAnsi="Arial" w:cs="Arial"/>
        </w:rPr>
        <w:t>Since TB is the leading opportunistic infection in HIV, all people living with HIV should: be screened for TB on every visit in order to reduce morbidity and mortality; be provided with IPT to prevent them from developing active TB depending on eligibility; and observe principles of TB infection control. According to the WHO 2004 the interim policy on collaborative TB/HIV activities, strategies for controlling TB in persons with HIV infection should include:</w:t>
      </w:r>
    </w:p>
    <w:p w:rsidR="0071027C" w:rsidRPr="00427740" w:rsidRDefault="0071027C" w:rsidP="0071027C">
      <w:pPr>
        <w:pStyle w:val="Heading3"/>
      </w:pPr>
      <w:bookmarkStart w:id="870" w:name="_Toc382214109"/>
      <w:r w:rsidRPr="00427740">
        <w:t>10.3.1 Intensify TB case-finding and ensure high quality anti TB treatment</w:t>
      </w:r>
      <w:bookmarkEnd w:id="870"/>
    </w:p>
    <w:p w:rsidR="0071027C" w:rsidRPr="00E67F8E" w:rsidRDefault="0071027C" w:rsidP="0071027C">
      <w:pPr>
        <w:autoSpaceDE w:val="0"/>
        <w:autoSpaceDN w:val="0"/>
        <w:adjustRightInd w:val="0"/>
        <w:spacing w:before="120" w:after="120" w:line="240" w:lineRule="auto"/>
        <w:jc w:val="both"/>
        <w:rPr>
          <w:rFonts w:ascii="Arial" w:hAnsi="Arial" w:cs="Arial"/>
          <w:bCs/>
        </w:rPr>
      </w:pPr>
      <w:r w:rsidRPr="00E67F8E">
        <w:rPr>
          <w:rFonts w:ascii="Arial" w:hAnsi="Arial" w:cs="Arial"/>
        </w:rPr>
        <w:t>Intensified TB case finding involves screening for symptoms and signs of in settings where HIV-infected people are concentrated</w:t>
      </w:r>
      <w:r w:rsidRPr="001C313D">
        <w:rPr>
          <w:rFonts w:ascii="Arial" w:hAnsi="Arial" w:cs="Arial"/>
        </w:rPr>
        <w:t xml:space="preserve">. (Annex </w:t>
      </w:r>
      <w:r w:rsidR="001C313D" w:rsidRPr="001C313D">
        <w:rPr>
          <w:rFonts w:ascii="Arial" w:hAnsi="Arial" w:cs="Arial"/>
        </w:rPr>
        <w:t>10</w:t>
      </w:r>
      <w:r w:rsidRPr="001C313D">
        <w:rPr>
          <w:rFonts w:ascii="Arial" w:hAnsi="Arial" w:cs="Arial"/>
        </w:rPr>
        <w:t xml:space="preserve"> TB screening tool) TB screening promote early identification TB among people living with HIV/AIDS, and increases access to TB treatment,  improve survival, quality of life and reduces transmission of TB in the community.  Children below 5 years should also be screened to exclude active TB using a special screen tool</w:t>
      </w:r>
      <w:r w:rsidRPr="001C313D">
        <w:rPr>
          <w:rFonts w:ascii="Arial" w:hAnsi="Arial" w:cs="Arial"/>
          <w:bCs/>
        </w:rPr>
        <w:t xml:space="preserve">. People with presumptive TB should undergo diagnostic follow up using the TB diagnostic flow chart for children older than 6 years and adults (Annex </w:t>
      </w:r>
      <w:r w:rsidR="001C313D" w:rsidRPr="001C313D">
        <w:rPr>
          <w:rFonts w:ascii="Arial" w:hAnsi="Arial" w:cs="Arial"/>
          <w:bCs/>
        </w:rPr>
        <w:t>11</w:t>
      </w:r>
      <w:r w:rsidRPr="001C313D">
        <w:rPr>
          <w:rFonts w:ascii="Arial" w:hAnsi="Arial" w:cs="Arial"/>
          <w:bCs/>
        </w:rPr>
        <w:t xml:space="preserve"> diagnostic flow chart) and the </w:t>
      </w:r>
      <w:r w:rsidRPr="001C313D">
        <w:rPr>
          <w:rFonts w:ascii="Arial" w:hAnsi="Arial" w:cs="Arial"/>
          <w:bCs/>
          <w:color w:val="211D1E"/>
        </w:rPr>
        <w:t xml:space="preserve">algorithm for diagnosing pulmonary TB in children below 6 years old (Annex </w:t>
      </w:r>
      <w:r w:rsidR="001C313D" w:rsidRPr="001C313D">
        <w:rPr>
          <w:rFonts w:ascii="Arial" w:hAnsi="Arial" w:cs="Arial"/>
          <w:bCs/>
          <w:color w:val="211D1E"/>
        </w:rPr>
        <w:t>12</w:t>
      </w:r>
      <w:r w:rsidRPr="001C313D">
        <w:rPr>
          <w:rFonts w:ascii="Arial" w:hAnsi="Arial" w:cs="Arial"/>
          <w:bCs/>
          <w:color w:val="211D1E"/>
        </w:rPr>
        <w:t>)</w:t>
      </w:r>
      <w:r w:rsidRPr="001C313D">
        <w:rPr>
          <w:rFonts w:ascii="Arial" w:hAnsi="Arial" w:cs="Arial"/>
          <w:bCs/>
        </w:rPr>
        <w:t>. Furthermore</w:t>
      </w:r>
      <w:r w:rsidRPr="00E67F8E">
        <w:rPr>
          <w:rFonts w:ascii="Arial" w:hAnsi="Arial" w:cs="Arial"/>
          <w:bCs/>
        </w:rPr>
        <w:t>, the diagnosis of childhood TB may be done clinically in the absence of bacteriological confirmation by using the score chart</w:t>
      </w:r>
      <w:r>
        <w:rPr>
          <w:rFonts w:ascii="Arial" w:hAnsi="Arial" w:cs="Arial"/>
          <w:bCs/>
        </w:rPr>
        <w:t xml:space="preserve"> for diagnosis of TB in children.</w:t>
      </w:r>
    </w:p>
    <w:p w:rsidR="0071027C" w:rsidRPr="00E67F8E" w:rsidRDefault="0071027C" w:rsidP="0071027C">
      <w:pPr>
        <w:spacing w:before="120" w:after="120" w:line="240" w:lineRule="auto"/>
        <w:jc w:val="both"/>
        <w:rPr>
          <w:rFonts w:ascii="Arial" w:hAnsi="Arial" w:cs="Arial"/>
          <w:bCs/>
        </w:rPr>
      </w:pPr>
      <w:r>
        <w:rPr>
          <w:rFonts w:ascii="Arial" w:hAnsi="Arial" w:cs="Arial"/>
        </w:rPr>
        <w:t>NOTE:</w:t>
      </w:r>
      <w:r w:rsidRPr="00E67F8E">
        <w:rPr>
          <w:rFonts w:ascii="Arial" w:hAnsi="Arial" w:cs="Arial"/>
        </w:rPr>
        <w:t xml:space="preserve"> Smear microscopy will continue to be used as a gold standard for testing all patients with presumptive TB.</w:t>
      </w:r>
    </w:p>
    <w:p w:rsidR="0071027C" w:rsidRPr="00E67F8E" w:rsidRDefault="0071027C" w:rsidP="0071027C">
      <w:pPr>
        <w:spacing w:before="120" w:after="120" w:line="240" w:lineRule="auto"/>
        <w:jc w:val="both"/>
        <w:rPr>
          <w:rFonts w:ascii="Arial" w:hAnsi="Arial" w:cs="Arial"/>
          <w:bCs/>
        </w:rPr>
      </w:pPr>
      <w:r w:rsidRPr="00E67F8E">
        <w:rPr>
          <w:rFonts w:ascii="Arial" w:hAnsi="Arial" w:cs="Arial"/>
        </w:rPr>
        <w:t>GeneXpert® will be used as a follow-up test for smear-negative HIV-positive patients with presumptive TB and in children as an initial test. It will also be performed on MDR TB contacts and patients with history of TB</w:t>
      </w:r>
      <w:r w:rsidRPr="00E67F8E" w:rsidDel="00DA696F">
        <w:rPr>
          <w:rFonts w:ascii="Arial" w:hAnsi="Arial" w:cs="Arial"/>
        </w:rPr>
        <w:t xml:space="preserve"> </w:t>
      </w:r>
      <w:r w:rsidRPr="00E67F8E">
        <w:rPr>
          <w:rFonts w:ascii="Arial" w:hAnsi="Arial" w:cs="Arial"/>
        </w:rPr>
        <w:t>drug resistance.</w:t>
      </w:r>
    </w:p>
    <w:p w:rsidR="0071027C" w:rsidRPr="00427740" w:rsidRDefault="0071027C" w:rsidP="0071027C">
      <w:pPr>
        <w:pStyle w:val="Heading3"/>
      </w:pPr>
      <w:bookmarkStart w:id="871" w:name="_Toc382214110"/>
      <w:r w:rsidRPr="00427740">
        <w:t>10.3.</w:t>
      </w:r>
      <w:r>
        <w:t xml:space="preserve">2 </w:t>
      </w:r>
      <w:r w:rsidRPr="00427740">
        <w:t>Isoniazid Preventive Therapy (IPT) and early Antiretroviral Therapy (ART)</w:t>
      </w:r>
      <w:bookmarkEnd w:id="871"/>
    </w:p>
    <w:p w:rsidR="0071027C" w:rsidRPr="00E67F8E" w:rsidRDefault="0071027C" w:rsidP="0071027C">
      <w:pPr>
        <w:pStyle w:val="Heading4"/>
      </w:pPr>
      <w:r>
        <w:t xml:space="preserve">10.3.2.1 </w:t>
      </w:r>
      <w:r w:rsidRPr="00E67F8E">
        <w:t>Isoniazid Preventive Therapy (IPT)</w:t>
      </w:r>
    </w:p>
    <w:p w:rsidR="0071027C" w:rsidRPr="00E67F8E" w:rsidRDefault="0071027C" w:rsidP="0071027C">
      <w:pPr>
        <w:spacing w:before="120" w:after="120" w:line="240" w:lineRule="auto"/>
        <w:jc w:val="both"/>
        <w:rPr>
          <w:rFonts w:ascii="Arial" w:hAnsi="Arial" w:cs="Arial"/>
        </w:rPr>
      </w:pPr>
      <w:r w:rsidRPr="00E67F8E">
        <w:rPr>
          <w:rFonts w:ascii="Arial" w:hAnsi="Arial" w:cs="Arial"/>
        </w:rPr>
        <w:t xml:space="preserve">Isoniazid preventive therapy (IPT) is an intervention that should be part of the package of care for people living with HIV. IPT is given to individuals with latent infection of </w:t>
      </w:r>
      <w:r w:rsidRPr="00E67F8E">
        <w:rPr>
          <w:rFonts w:ascii="Arial" w:hAnsi="Arial" w:cs="Arial"/>
          <w:i/>
        </w:rPr>
        <w:t xml:space="preserve">M. tuberculosis </w:t>
      </w:r>
      <w:r w:rsidRPr="00E67F8E">
        <w:rPr>
          <w:rFonts w:ascii="Arial" w:hAnsi="Arial" w:cs="Arial"/>
        </w:rPr>
        <w:t xml:space="preserve">in order to prevent progression to active disease. In these patients, the risk of developing tuberculosis is reduced by about 60% and their survival is also prolonged. The protective effect is expected to last for 18 months. It is however, important to exclude active TB before starting IPT. Exclusion of active TB is critically important before this preventive therapy is started. Isoniazid is given daily for six to nine months. This therapy requires several steps to be taken, including identification of HIV-positive clients, screening to exclude active TB, assessing eligibility for IPT and monitoring of client’ adherence to treatment. In case of neuropathy due to IPT, Pyridoxine should be used. </w:t>
      </w:r>
    </w:p>
    <w:p w:rsidR="0071027C" w:rsidRPr="00E67F8E" w:rsidRDefault="0071027C" w:rsidP="0071027C">
      <w:pPr>
        <w:spacing w:before="120" w:after="120" w:line="240" w:lineRule="auto"/>
        <w:jc w:val="both"/>
        <w:rPr>
          <w:rFonts w:ascii="Arial" w:hAnsi="Arial" w:cs="Arial"/>
          <w:b/>
        </w:rPr>
      </w:pPr>
      <w:r w:rsidRPr="00E67F8E">
        <w:rPr>
          <w:rFonts w:ascii="Arial" w:hAnsi="Arial" w:cs="Arial"/>
          <w:b/>
        </w:rPr>
        <w:t xml:space="preserve">Eligibility for IPT among adults and adolescents </w:t>
      </w:r>
    </w:p>
    <w:p w:rsidR="0071027C" w:rsidRPr="00E67F8E" w:rsidRDefault="0071027C" w:rsidP="0071027C">
      <w:pPr>
        <w:spacing w:before="120" w:after="120" w:line="240" w:lineRule="auto"/>
        <w:jc w:val="both"/>
        <w:rPr>
          <w:rFonts w:ascii="Arial" w:hAnsi="Arial" w:cs="Arial"/>
          <w:b/>
          <w:i/>
        </w:rPr>
      </w:pPr>
      <w:r w:rsidRPr="00E67F8E">
        <w:rPr>
          <w:rFonts w:ascii="Arial" w:hAnsi="Arial" w:cs="Arial"/>
          <w:b/>
          <w:i/>
        </w:rPr>
        <w:t>For patients with no history of TB treatment:</w:t>
      </w:r>
    </w:p>
    <w:p w:rsidR="0071027C" w:rsidRPr="00427740" w:rsidRDefault="0071027C" w:rsidP="00274941">
      <w:pPr>
        <w:pStyle w:val="ListParagraph"/>
        <w:numPr>
          <w:ilvl w:val="0"/>
          <w:numId w:val="94"/>
        </w:numPr>
        <w:contextualSpacing w:val="0"/>
        <w:jc w:val="both"/>
        <w:rPr>
          <w:rFonts w:ascii="Arial" w:hAnsi="Arial" w:cs="Arial"/>
          <w:bCs/>
        </w:rPr>
      </w:pPr>
      <w:r w:rsidRPr="00427740">
        <w:rPr>
          <w:rFonts w:ascii="Arial" w:hAnsi="Arial" w:cs="Arial"/>
          <w:bCs/>
        </w:rPr>
        <w:t>All HIV positive individuals with no signs or symptoms suggestive of active TB are eligible for IPT.</w:t>
      </w:r>
    </w:p>
    <w:p w:rsidR="0071027C" w:rsidRPr="00427740" w:rsidRDefault="0071027C" w:rsidP="00274941">
      <w:pPr>
        <w:pStyle w:val="ListParagraph"/>
        <w:numPr>
          <w:ilvl w:val="0"/>
          <w:numId w:val="94"/>
        </w:numPr>
        <w:contextualSpacing w:val="0"/>
        <w:jc w:val="both"/>
        <w:rPr>
          <w:rFonts w:ascii="Arial" w:hAnsi="Arial" w:cs="Arial"/>
          <w:bCs/>
        </w:rPr>
      </w:pPr>
      <w:r w:rsidRPr="00427740">
        <w:rPr>
          <w:rFonts w:ascii="Arial" w:hAnsi="Arial" w:cs="Arial"/>
          <w:bCs/>
        </w:rPr>
        <w:t xml:space="preserve">A tuberculin skin test should be offered to all HIV infected individuals where possible. </w:t>
      </w:r>
    </w:p>
    <w:p w:rsidR="0071027C" w:rsidRPr="00E67F8E" w:rsidRDefault="0071027C" w:rsidP="0071027C">
      <w:pPr>
        <w:widowControl/>
        <w:autoSpaceDE w:val="0"/>
        <w:autoSpaceDN w:val="0"/>
        <w:adjustRightInd w:val="0"/>
        <w:spacing w:before="120" w:after="120" w:line="240" w:lineRule="auto"/>
        <w:jc w:val="both"/>
        <w:rPr>
          <w:rFonts w:ascii="Arial" w:hAnsi="Arial" w:cs="Arial"/>
          <w:b/>
          <w:i/>
        </w:rPr>
      </w:pPr>
      <w:r w:rsidRPr="00E67F8E">
        <w:rPr>
          <w:rFonts w:ascii="Arial" w:hAnsi="Arial" w:cs="Arial"/>
          <w:b/>
          <w:i/>
        </w:rPr>
        <w:t>For patients with history of TB treatment:</w:t>
      </w:r>
    </w:p>
    <w:p w:rsidR="0071027C" w:rsidRPr="00427740" w:rsidRDefault="0071027C" w:rsidP="00274941">
      <w:pPr>
        <w:pStyle w:val="ListParagraph"/>
        <w:numPr>
          <w:ilvl w:val="0"/>
          <w:numId w:val="94"/>
        </w:numPr>
        <w:contextualSpacing w:val="0"/>
        <w:jc w:val="both"/>
        <w:rPr>
          <w:rFonts w:ascii="Arial" w:hAnsi="Arial" w:cs="Arial"/>
          <w:bCs/>
        </w:rPr>
      </w:pPr>
      <w:r w:rsidRPr="00427740">
        <w:rPr>
          <w:rFonts w:ascii="Arial" w:hAnsi="Arial" w:cs="Arial"/>
          <w:bCs/>
        </w:rPr>
        <w:t>Patients who had active tuberculosis in the past 2 years should not be considered for preventive therapy.</w:t>
      </w:r>
    </w:p>
    <w:p w:rsidR="0071027C" w:rsidRPr="00427740" w:rsidRDefault="0071027C" w:rsidP="00274941">
      <w:pPr>
        <w:pStyle w:val="ListParagraph"/>
        <w:numPr>
          <w:ilvl w:val="0"/>
          <w:numId w:val="94"/>
        </w:numPr>
        <w:contextualSpacing w:val="0"/>
        <w:jc w:val="both"/>
        <w:rPr>
          <w:rFonts w:ascii="Arial" w:hAnsi="Arial" w:cs="Arial"/>
          <w:bCs/>
        </w:rPr>
      </w:pPr>
      <w:r w:rsidRPr="00427740">
        <w:rPr>
          <w:rFonts w:ascii="Arial" w:hAnsi="Arial" w:cs="Arial"/>
          <w:bCs/>
        </w:rPr>
        <w:t>Patients who were treated for tuberculosis more than 2 years earlier may be considered because they may have already been re-infected with TB.</w:t>
      </w:r>
    </w:p>
    <w:p w:rsidR="0071027C" w:rsidRPr="00427740" w:rsidRDefault="0071027C" w:rsidP="00274941">
      <w:pPr>
        <w:pStyle w:val="ListParagraph"/>
        <w:numPr>
          <w:ilvl w:val="0"/>
          <w:numId w:val="94"/>
        </w:numPr>
        <w:contextualSpacing w:val="0"/>
        <w:jc w:val="both"/>
        <w:rPr>
          <w:rFonts w:ascii="Arial" w:hAnsi="Arial" w:cs="Arial"/>
          <w:bCs/>
        </w:rPr>
      </w:pPr>
      <w:r w:rsidRPr="00427740">
        <w:rPr>
          <w:rFonts w:ascii="Arial" w:hAnsi="Arial" w:cs="Arial"/>
          <w:bCs/>
        </w:rPr>
        <w:t>Patients who receive IPT and who are eligible for antiretroviral therapy can complete their TB preventive therapy even if ART is started as there is no interaction between Isoniazid and the current ART regimen used.</w:t>
      </w:r>
    </w:p>
    <w:p w:rsidR="0071027C" w:rsidRPr="00E67F8E" w:rsidRDefault="0071027C" w:rsidP="0071027C">
      <w:pPr>
        <w:widowControl/>
        <w:autoSpaceDE w:val="0"/>
        <w:autoSpaceDN w:val="0"/>
        <w:adjustRightInd w:val="0"/>
        <w:spacing w:before="120" w:after="120" w:line="240" w:lineRule="auto"/>
        <w:jc w:val="both"/>
        <w:rPr>
          <w:rFonts w:ascii="Arial" w:hAnsi="Arial" w:cs="Arial"/>
          <w:b/>
        </w:rPr>
      </w:pPr>
    </w:p>
    <w:p w:rsidR="0071027C" w:rsidRPr="00E67F8E" w:rsidRDefault="0071027C" w:rsidP="0071027C">
      <w:pPr>
        <w:widowControl/>
        <w:autoSpaceDE w:val="0"/>
        <w:autoSpaceDN w:val="0"/>
        <w:adjustRightInd w:val="0"/>
        <w:spacing w:before="120" w:after="120" w:line="240" w:lineRule="auto"/>
        <w:jc w:val="both"/>
        <w:rPr>
          <w:rFonts w:ascii="Arial" w:hAnsi="Arial" w:cs="Arial"/>
          <w:b/>
        </w:rPr>
      </w:pPr>
      <w:r w:rsidRPr="00E67F8E">
        <w:rPr>
          <w:rFonts w:ascii="Arial" w:hAnsi="Arial" w:cs="Arial"/>
          <w:b/>
        </w:rPr>
        <w:t>Other exclusion criteria for IPT include:</w:t>
      </w:r>
    </w:p>
    <w:p w:rsidR="0071027C" w:rsidRPr="00427740" w:rsidRDefault="0071027C" w:rsidP="00274941">
      <w:pPr>
        <w:pStyle w:val="ListParagraph"/>
        <w:numPr>
          <w:ilvl w:val="0"/>
          <w:numId w:val="94"/>
        </w:numPr>
        <w:contextualSpacing w:val="0"/>
        <w:jc w:val="both"/>
        <w:rPr>
          <w:rFonts w:ascii="Arial" w:hAnsi="Arial" w:cs="Arial"/>
          <w:bCs/>
        </w:rPr>
      </w:pPr>
      <w:r w:rsidRPr="00427740">
        <w:rPr>
          <w:rFonts w:ascii="Arial" w:hAnsi="Arial" w:cs="Arial"/>
          <w:bCs/>
        </w:rPr>
        <w:t xml:space="preserve">Alcohol abuse                                       </w:t>
      </w:r>
    </w:p>
    <w:p w:rsidR="0071027C" w:rsidRPr="00427740" w:rsidRDefault="0071027C" w:rsidP="00274941">
      <w:pPr>
        <w:pStyle w:val="ListParagraph"/>
        <w:numPr>
          <w:ilvl w:val="0"/>
          <w:numId w:val="94"/>
        </w:numPr>
        <w:contextualSpacing w:val="0"/>
        <w:jc w:val="both"/>
        <w:rPr>
          <w:rFonts w:ascii="Arial" w:hAnsi="Arial" w:cs="Arial"/>
          <w:bCs/>
        </w:rPr>
      </w:pPr>
      <w:r w:rsidRPr="00427740">
        <w:rPr>
          <w:rFonts w:ascii="Arial" w:hAnsi="Arial" w:cs="Arial"/>
          <w:bCs/>
        </w:rPr>
        <w:t xml:space="preserve">Non-adherence to long term treatment </w:t>
      </w:r>
    </w:p>
    <w:p w:rsidR="0071027C" w:rsidRPr="00427740" w:rsidRDefault="0071027C" w:rsidP="00274941">
      <w:pPr>
        <w:pStyle w:val="ListParagraph"/>
        <w:numPr>
          <w:ilvl w:val="0"/>
          <w:numId w:val="94"/>
        </w:numPr>
        <w:contextualSpacing w:val="0"/>
        <w:jc w:val="both"/>
        <w:rPr>
          <w:rFonts w:ascii="Arial" w:hAnsi="Arial" w:cs="Arial"/>
          <w:bCs/>
        </w:rPr>
      </w:pPr>
      <w:r w:rsidRPr="00427740">
        <w:rPr>
          <w:rFonts w:ascii="Arial" w:hAnsi="Arial" w:cs="Arial"/>
          <w:bCs/>
        </w:rPr>
        <w:t xml:space="preserve">Current/ past history of hepatitis           </w:t>
      </w:r>
    </w:p>
    <w:p w:rsidR="0071027C" w:rsidRPr="00427740" w:rsidRDefault="0071027C" w:rsidP="00274941">
      <w:pPr>
        <w:pStyle w:val="ListParagraph"/>
        <w:numPr>
          <w:ilvl w:val="0"/>
          <w:numId w:val="94"/>
        </w:numPr>
        <w:contextualSpacing w:val="0"/>
        <w:jc w:val="both"/>
        <w:rPr>
          <w:rFonts w:ascii="Arial" w:hAnsi="Arial" w:cs="Arial"/>
          <w:bCs/>
        </w:rPr>
      </w:pPr>
      <w:r w:rsidRPr="00427740">
        <w:rPr>
          <w:rFonts w:ascii="Arial" w:hAnsi="Arial" w:cs="Arial"/>
          <w:bCs/>
        </w:rPr>
        <w:t xml:space="preserve">Medical contra- indication to INH         </w:t>
      </w:r>
    </w:p>
    <w:p w:rsidR="0071027C" w:rsidRPr="00427740" w:rsidRDefault="0071027C" w:rsidP="00274941">
      <w:pPr>
        <w:pStyle w:val="ListParagraph"/>
        <w:numPr>
          <w:ilvl w:val="0"/>
          <w:numId w:val="94"/>
        </w:numPr>
        <w:contextualSpacing w:val="0"/>
        <w:jc w:val="both"/>
        <w:rPr>
          <w:rFonts w:ascii="Arial" w:hAnsi="Arial" w:cs="Arial"/>
          <w:bCs/>
        </w:rPr>
      </w:pPr>
      <w:r w:rsidRPr="00427740">
        <w:rPr>
          <w:rFonts w:ascii="Arial" w:hAnsi="Arial" w:cs="Arial"/>
          <w:bCs/>
        </w:rPr>
        <w:t xml:space="preserve">Terminal AIDS (WHO clinical stage 4)  </w:t>
      </w:r>
    </w:p>
    <w:p w:rsidR="0071027C" w:rsidRPr="00E67F8E" w:rsidRDefault="0071027C" w:rsidP="00274941">
      <w:pPr>
        <w:pStyle w:val="ListParagraph"/>
        <w:numPr>
          <w:ilvl w:val="0"/>
          <w:numId w:val="94"/>
        </w:numPr>
        <w:contextualSpacing w:val="0"/>
        <w:jc w:val="both"/>
        <w:rPr>
          <w:rFonts w:ascii="Arial" w:hAnsi="Arial" w:cs="Arial"/>
          <w:b/>
          <w:sz w:val="22"/>
          <w:szCs w:val="22"/>
        </w:rPr>
      </w:pPr>
      <w:r w:rsidRPr="00427740">
        <w:rPr>
          <w:rFonts w:ascii="Arial" w:hAnsi="Arial" w:cs="Arial"/>
          <w:bCs/>
        </w:rPr>
        <w:t>Pregnancy</w:t>
      </w:r>
      <w:r w:rsidRPr="00E67F8E">
        <w:rPr>
          <w:rFonts w:ascii="Arial" w:hAnsi="Arial" w:cs="Arial"/>
          <w:sz w:val="22"/>
          <w:szCs w:val="22"/>
        </w:rPr>
        <w:t xml:space="preserve">                                        </w:t>
      </w:r>
    </w:p>
    <w:p w:rsidR="0071027C" w:rsidRPr="00E67F8E" w:rsidRDefault="0071027C" w:rsidP="00B247C9">
      <w:pPr>
        <w:pStyle w:val="StyleJustifiedCharChar"/>
      </w:pPr>
      <w:r w:rsidRPr="00E67F8E">
        <w:t>IPT should only be offered in the following situations:</w:t>
      </w:r>
    </w:p>
    <w:p w:rsidR="0071027C" w:rsidRPr="00427740" w:rsidRDefault="0071027C" w:rsidP="00274941">
      <w:pPr>
        <w:pStyle w:val="ListParagraph"/>
        <w:numPr>
          <w:ilvl w:val="0"/>
          <w:numId w:val="94"/>
        </w:numPr>
        <w:contextualSpacing w:val="0"/>
        <w:jc w:val="both"/>
        <w:rPr>
          <w:rFonts w:ascii="Arial" w:hAnsi="Arial" w:cs="Arial"/>
          <w:bCs/>
        </w:rPr>
      </w:pPr>
      <w:r w:rsidRPr="00427740">
        <w:rPr>
          <w:rFonts w:ascii="Arial" w:hAnsi="Arial" w:cs="Arial"/>
          <w:bCs/>
        </w:rPr>
        <w:t>Where quality supportive counselling is available</w:t>
      </w:r>
    </w:p>
    <w:p w:rsidR="0071027C" w:rsidRPr="00427740" w:rsidRDefault="0071027C" w:rsidP="00274941">
      <w:pPr>
        <w:pStyle w:val="ListParagraph"/>
        <w:numPr>
          <w:ilvl w:val="0"/>
          <w:numId w:val="94"/>
        </w:numPr>
        <w:contextualSpacing w:val="0"/>
        <w:jc w:val="both"/>
        <w:rPr>
          <w:rFonts w:ascii="Arial" w:hAnsi="Arial" w:cs="Arial"/>
          <w:bCs/>
        </w:rPr>
      </w:pPr>
      <w:r w:rsidRPr="00427740">
        <w:rPr>
          <w:rFonts w:ascii="Arial" w:hAnsi="Arial" w:cs="Arial"/>
          <w:bCs/>
        </w:rPr>
        <w:t xml:space="preserve">After effective screening for active TB  </w:t>
      </w:r>
    </w:p>
    <w:p w:rsidR="0071027C" w:rsidRPr="00427740" w:rsidRDefault="0071027C" w:rsidP="00274941">
      <w:pPr>
        <w:pStyle w:val="ListParagraph"/>
        <w:numPr>
          <w:ilvl w:val="0"/>
          <w:numId w:val="94"/>
        </w:numPr>
        <w:contextualSpacing w:val="0"/>
        <w:jc w:val="both"/>
        <w:rPr>
          <w:rFonts w:ascii="Arial" w:hAnsi="Arial" w:cs="Arial"/>
          <w:bCs/>
        </w:rPr>
      </w:pPr>
      <w:r w:rsidRPr="00427740">
        <w:rPr>
          <w:rFonts w:ascii="Arial" w:hAnsi="Arial" w:cs="Arial"/>
          <w:bCs/>
        </w:rPr>
        <w:t>Where there is capacity for follow up and monitoring of patients to encourage adherence to preventive therapy.</w:t>
      </w:r>
    </w:p>
    <w:p w:rsidR="0071027C" w:rsidRPr="00427740" w:rsidRDefault="0071027C" w:rsidP="00274941">
      <w:pPr>
        <w:pStyle w:val="ListParagraph"/>
        <w:numPr>
          <w:ilvl w:val="0"/>
          <w:numId w:val="94"/>
        </w:numPr>
        <w:contextualSpacing w:val="0"/>
        <w:jc w:val="both"/>
        <w:rPr>
          <w:rFonts w:ascii="Arial" w:hAnsi="Arial" w:cs="Arial"/>
          <w:bCs/>
        </w:rPr>
      </w:pPr>
      <w:r w:rsidRPr="00427740">
        <w:rPr>
          <w:rFonts w:ascii="Arial" w:hAnsi="Arial" w:cs="Arial"/>
          <w:bCs/>
        </w:rPr>
        <w:t>Where there is capacity to manage side effects and exclude active TB during IPT</w:t>
      </w:r>
    </w:p>
    <w:p w:rsidR="0071027C" w:rsidRPr="00427740" w:rsidRDefault="0071027C" w:rsidP="0071027C">
      <w:pPr>
        <w:widowControl/>
        <w:autoSpaceDE w:val="0"/>
        <w:autoSpaceDN w:val="0"/>
        <w:adjustRightInd w:val="0"/>
        <w:spacing w:before="120" w:after="120" w:line="240" w:lineRule="auto"/>
        <w:jc w:val="both"/>
        <w:rPr>
          <w:rFonts w:ascii="Arial" w:hAnsi="Arial" w:cs="Arial"/>
          <w:b/>
        </w:rPr>
      </w:pPr>
      <w:r w:rsidRPr="00427740">
        <w:rPr>
          <w:rFonts w:ascii="Arial" w:hAnsi="Arial" w:cs="Arial"/>
          <w:b/>
        </w:rPr>
        <w:t>Dosage:</w:t>
      </w:r>
    </w:p>
    <w:p w:rsidR="0071027C" w:rsidRPr="00427740" w:rsidRDefault="0071027C" w:rsidP="00274941">
      <w:pPr>
        <w:pStyle w:val="ListParagraph"/>
        <w:numPr>
          <w:ilvl w:val="0"/>
          <w:numId w:val="95"/>
        </w:numPr>
        <w:contextualSpacing w:val="0"/>
        <w:jc w:val="both"/>
        <w:rPr>
          <w:rStyle w:val="A0"/>
          <w:rFonts w:ascii="Arial" w:hAnsi="Arial" w:cs="Arial"/>
          <w:bCs/>
          <w:sz w:val="22"/>
          <w:szCs w:val="22"/>
        </w:rPr>
      </w:pPr>
      <w:r w:rsidRPr="00427740">
        <w:rPr>
          <w:rStyle w:val="A0"/>
          <w:rFonts w:ascii="Arial" w:hAnsi="Arial" w:cs="Arial"/>
          <w:bCs/>
          <w:sz w:val="22"/>
          <w:szCs w:val="22"/>
        </w:rPr>
        <w:t>Isoniazid: 300 mg daily for 6 months</w:t>
      </w:r>
    </w:p>
    <w:p w:rsidR="0071027C" w:rsidRPr="00427740" w:rsidRDefault="0071027C" w:rsidP="00274941">
      <w:pPr>
        <w:pStyle w:val="ListParagraph"/>
        <w:numPr>
          <w:ilvl w:val="0"/>
          <w:numId w:val="95"/>
        </w:numPr>
        <w:contextualSpacing w:val="0"/>
        <w:jc w:val="both"/>
        <w:rPr>
          <w:rStyle w:val="A0"/>
          <w:rFonts w:ascii="Arial" w:hAnsi="Arial" w:cs="Arial"/>
          <w:bCs/>
          <w:sz w:val="22"/>
          <w:szCs w:val="22"/>
        </w:rPr>
      </w:pPr>
      <w:r w:rsidRPr="00427740">
        <w:rPr>
          <w:rStyle w:val="A0"/>
          <w:rFonts w:ascii="Arial" w:hAnsi="Arial" w:cs="Arial"/>
          <w:bCs/>
          <w:sz w:val="22"/>
          <w:szCs w:val="22"/>
        </w:rPr>
        <w:t>Pyridoxine: 25mg daily until neuropathy subsides</w:t>
      </w:r>
    </w:p>
    <w:p w:rsidR="0071027C" w:rsidRPr="00E67F8E" w:rsidRDefault="0071027C" w:rsidP="0071027C">
      <w:pPr>
        <w:spacing w:before="120" w:after="120" w:line="240" w:lineRule="auto"/>
        <w:jc w:val="both"/>
        <w:rPr>
          <w:rStyle w:val="A0"/>
          <w:rFonts w:ascii="Arial" w:hAnsi="Arial" w:cs="Arial"/>
          <w:b/>
          <w:bCs/>
        </w:rPr>
      </w:pPr>
    </w:p>
    <w:p w:rsidR="0071027C" w:rsidRPr="00E67F8E" w:rsidRDefault="0071027C" w:rsidP="0071027C">
      <w:pPr>
        <w:spacing w:before="120" w:after="120" w:line="240" w:lineRule="auto"/>
        <w:jc w:val="both"/>
        <w:rPr>
          <w:rStyle w:val="A0"/>
          <w:rFonts w:ascii="Arial" w:hAnsi="Arial" w:cs="Arial"/>
          <w:b/>
        </w:rPr>
      </w:pPr>
      <w:r w:rsidRPr="00E67F8E">
        <w:rPr>
          <w:rStyle w:val="A0"/>
          <w:rFonts w:ascii="Arial" w:hAnsi="Arial" w:cs="Arial"/>
          <w:b/>
          <w:bCs/>
        </w:rPr>
        <w:t xml:space="preserve">Isoniazid Preventive Therapy in children </w:t>
      </w:r>
    </w:p>
    <w:p w:rsidR="0071027C" w:rsidRPr="00E67F8E" w:rsidRDefault="0071027C" w:rsidP="0071027C">
      <w:pPr>
        <w:pStyle w:val="Pa9"/>
        <w:spacing w:before="120" w:after="120" w:line="240" w:lineRule="auto"/>
        <w:jc w:val="both"/>
        <w:rPr>
          <w:rFonts w:ascii="Arial" w:hAnsi="Arial" w:cs="Arial"/>
          <w:color w:val="1F61AF"/>
          <w:sz w:val="22"/>
          <w:szCs w:val="22"/>
        </w:rPr>
      </w:pPr>
      <w:r w:rsidRPr="00E67F8E">
        <w:rPr>
          <w:rStyle w:val="A0"/>
          <w:rFonts w:ascii="Arial" w:hAnsi="Arial" w:cs="Arial"/>
          <w:sz w:val="22"/>
          <w:szCs w:val="22"/>
        </w:rPr>
        <w:t>In order to prevent active TB, children should be considered for IPT as follows:</w:t>
      </w:r>
    </w:p>
    <w:p w:rsidR="0071027C" w:rsidRPr="00427740" w:rsidRDefault="0071027C" w:rsidP="00274941">
      <w:pPr>
        <w:pStyle w:val="ListParagraph"/>
        <w:numPr>
          <w:ilvl w:val="0"/>
          <w:numId w:val="95"/>
        </w:numPr>
        <w:contextualSpacing w:val="0"/>
        <w:jc w:val="both"/>
        <w:rPr>
          <w:rStyle w:val="A0"/>
          <w:rFonts w:ascii="Arial" w:hAnsi="Arial" w:cs="Arial"/>
          <w:bCs/>
          <w:sz w:val="22"/>
          <w:szCs w:val="22"/>
        </w:rPr>
      </w:pPr>
      <w:r w:rsidRPr="00427740">
        <w:rPr>
          <w:rStyle w:val="A0"/>
          <w:rFonts w:ascii="Arial" w:hAnsi="Arial" w:cs="Arial"/>
          <w:bCs/>
          <w:sz w:val="22"/>
          <w:szCs w:val="22"/>
        </w:rPr>
        <w:t xml:space="preserve">All newborns with no symptoms of active TB disease that are born to mothers with active TB disease. </w:t>
      </w:r>
    </w:p>
    <w:p w:rsidR="0071027C" w:rsidRPr="00427740" w:rsidRDefault="0071027C" w:rsidP="00274941">
      <w:pPr>
        <w:pStyle w:val="ListParagraph"/>
        <w:numPr>
          <w:ilvl w:val="0"/>
          <w:numId w:val="95"/>
        </w:numPr>
        <w:contextualSpacing w:val="0"/>
        <w:jc w:val="both"/>
        <w:rPr>
          <w:rStyle w:val="A0"/>
          <w:rFonts w:ascii="Arial" w:hAnsi="Arial" w:cs="Arial"/>
          <w:bCs/>
          <w:sz w:val="22"/>
          <w:szCs w:val="22"/>
        </w:rPr>
      </w:pPr>
      <w:r w:rsidRPr="00427740">
        <w:rPr>
          <w:rStyle w:val="A0"/>
          <w:rFonts w:ascii="Arial" w:hAnsi="Arial" w:cs="Arial"/>
          <w:bCs/>
          <w:sz w:val="22"/>
          <w:szCs w:val="22"/>
        </w:rPr>
        <w:t xml:space="preserve">All HIV-infected children less than 12 months with no symptoms of active TB disease and with a known TB contact. </w:t>
      </w:r>
    </w:p>
    <w:p w:rsidR="0071027C" w:rsidRPr="00427740" w:rsidRDefault="0071027C" w:rsidP="00274941">
      <w:pPr>
        <w:pStyle w:val="ListParagraph"/>
        <w:numPr>
          <w:ilvl w:val="0"/>
          <w:numId w:val="95"/>
        </w:numPr>
        <w:contextualSpacing w:val="0"/>
        <w:jc w:val="both"/>
        <w:rPr>
          <w:rFonts w:ascii="Arial" w:hAnsi="Arial" w:cs="Arial"/>
          <w:sz w:val="22"/>
          <w:szCs w:val="22"/>
        </w:rPr>
      </w:pPr>
      <w:r w:rsidRPr="00427740">
        <w:rPr>
          <w:rStyle w:val="A0"/>
          <w:rFonts w:ascii="Arial" w:hAnsi="Arial" w:cs="Arial"/>
          <w:bCs/>
          <w:sz w:val="22"/>
          <w:szCs w:val="22"/>
        </w:rPr>
        <w:t xml:space="preserve">All HIV-infected children who are 12 months or older with no symptoms of active TB disease. </w:t>
      </w:r>
    </w:p>
    <w:p w:rsidR="0071027C" w:rsidRPr="00E67F8E" w:rsidRDefault="0071027C" w:rsidP="0071027C">
      <w:pPr>
        <w:pStyle w:val="Pa13"/>
        <w:spacing w:before="120" w:after="120" w:line="240" w:lineRule="auto"/>
        <w:jc w:val="both"/>
        <w:rPr>
          <w:rStyle w:val="A0"/>
          <w:rFonts w:ascii="Arial" w:hAnsi="Arial" w:cs="Arial"/>
          <w:b/>
          <w:sz w:val="22"/>
          <w:szCs w:val="22"/>
        </w:rPr>
      </w:pPr>
    </w:p>
    <w:p w:rsidR="0071027C" w:rsidRPr="00E67F8E" w:rsidRDefault="0071027C" w:rsidP="0071027C">
      <w:pPr>
        <w:pStyle w:val="Pa13"/>
        <w:spacing w:before="120" w:after="120" w:line="240" w:lineRule="auto"/>
        <w:jc w:val="both"/>
        <w:rPr>
          <w:rStyle w:val="A0"/>
          <w:rFonts w:ascii="Arial" w:hAnsi="Arial" w:cs="Arial"/>
          <w:sz w:val="22"/>
          <w:szCs w:val="22"/>
        </w:rPr>
      </w:pPr>
      <w:r w:rsidRPr="00E67F8E">
        <w:rPr>
          <w:rStyle w:val="A0"/>
          <w:rFonts w:ascii="Arial" w:hAnsi="Arial" w:cs="Arial"/>
          <w:b/>
          <w:sz w:val="22"/>
          <w:szCs w:val="22"/>
        </w:rPr>
        <w:t>Note</w:t>
      </w:r>
      <w:r w:rsidRPr="00E67F8E">
        <w:rPr>
          <w:rStyle w:val="A0"/>
          <w:rFonts w:ascii="Arial" w:hAnsi="Arial" w:cs="Arial"/>
          <w:sz w:val="22"/>
          <w:szCs w:val="22"/>
        </w:rPr>
        <w:t xml:space="preserve">: LTBI treatment should be initiated only after TB disease has been ruled out </w:t>
      </w:r>
    </w:p>
    <w:p w:rsidR="0071027C" w:rsidRPr="00E67F8E" w:rsidRDefault="0071027C" w:rsidP="0071027C">
      <w:pPr>
        <w:pStyle w:val="Default"/>
        <w:spacing w:before="120" w:after="120"/>
        <w:jc w:val="both"/>
        <w:rPr>
          <w:sz w:val="22"/>
          <w:szCs w:val="22"/>
        </w:rPr>
      </w:pPr>
      <w:r w:rsidRPr="00E67F8E">
        <w:rPr>
          <w:rStyle w:val="A0"/>
          <w:sz w:val="22"/>
          <w:szCs w:val="22"/>
        </w:rPr>
        <w:t>Explain to the child (if age appropriate) and parent/caregiver that treatment with the medicine isoniazid is essential to prevent the child from becoming very sick with TB disease. Describe the potential side effects and that they should return to the clinic if any adverse reactions occur.</w:t>
      </w:r>
    </w:p>
    <w:p w:rsidR="0071027C" w:rsidRPr="00E67F8E" w:rsidRDefault="0071027C" w:rsidP="0071027C">
      <w:pPr>
        <w:pStyle w:val="Pa9"/>
        <w:spacing w:before="120" w:after="120" w:line="240" w:lineRule="auto"/>
        <w:jc w:val="both"/>
        <w:rPr>
          <w:rFonts w:ascii="Arial" w:hAnsi="Arial" w:cs="Arial"/>
          <w:sz w:val="22"/>
          <w:szCs w:val="22"/>
        </w:rPr>
      </w:pPr>
      <w:r w:rsidRPr="00E67F8E">
        <w:rPr>
          <w:rStyle w:val="A0"/>
          <w:rFonts w:ascii="Arial" w:hAnsi="Arial" w:cs="Arial"/>
          <w:sz w:val="22"/>
          <w:szCs w:val="22"/>
        </w:rPr>
        <w:t xml:space="preserve">Emphasize to the parent/caregiver and/or child that: </w:t>
      </w:r>
    </w:p>
    <w:p w:rsidR="0071027C" w:rsidRPr="00427740" w:rsidRDefault="0071027C" w:rsidP="00274941">
      <w:pPr>
        <w:pStyle w:val="ListParagraph"/>
        <w:numPr>
          <w:ilvl w:val="0"/>
          <w:numId w:val="95"/>
        </w:numPr>
        <w:contextualSpacing w:val="0"/>
        <w:jc w:val="both"/>
        <w:rPr>
          <w:rStyle w:val="A0"/>
          <w:bCs/>
          <w:sz w:val="22"/>
          <w:szCs w:val="22"/>
        </w:rPr>
      </w:pPr>
      <w:r w:rsidRPr="00427740">
        <w:rPr>
          <w:rStyle w:val="A0"/>
          <w:rFonts w:ascii="Arial" w:hAnsi="Arial" w:cs="Arial"/>
          <w:bCs/>
          <w:sz w:val="22"/>
          <w:szCs w:val="22"/>
        </w:rPr>
        <w:t xml:space="preserve">The full duration of treatment is 6 months. </w:t>
      </w:r>
    </w:p>
    <w:p w:rsidR="0071027C" w:rsidRPr="00427740" w:rsidRDefault="0071027C" w:rsidP="00274941">
      <w:pPr>
        <w:pStyle w:val="ListParagraph"/>
        <w:numPr>
          <w:ilvl w:val="0"/>
          <w:numId w:val="95"/>
        </w:numPr>
        <w:contextualSpacing w:val="0"/>
        <w:jc w:val="both"/>
        <w:rPr>
          <w:rStyle w:val="A0"/>
          <w:bCs/>
          <w:sz w:val="22"/>
          <w:szCs w:val="22"/>
        </w:rPr>
      </w:pPr>
      <w:r w:rsidRPr="00427740">
        <w:rPr>
          <w:rStyle w:val="A0"/>
          <w:rFonts w:ascii="Arial" w:hAnsi="Arial" w:cs="Arial"/>
          <w:bCs/>
          <w:sz w:val="22"/>
          <w:szCs w:val="22"/>
        </w:rPr>
        <w:t xml:space="preserve">The child must adhere to and complete their treatment. </w:t>
      </w:r>
    </w:p>
    <w:p w:rsidR="0071027C" w:rsidRPr="00427740" w:rsidRDefault="0071027C" w:rsidP="00274941">
      <w:pPr>
        <w:pStyle w:val="ListParagraph"/>
        <w:numPr>
          <w:ilvl w:val="0"/>
          <w:numId w:val="95"/>
        </w:numPr>
        <w:contextualSpacing w:val="0"/>
        <w:jc w:val="both"/>
        <w:rPr>
          <w:rStyle w:val="A0"/>
          <w:rFonts w:ascii="Arial" w:hAnsi="Arial" w:cs="Arial"/>
          <w:bCs/>
          <w:sz w:val="22"/>
          <w:szCs w:val="22"/>
        </w:rPr>
      </w:pPr>
      <w:r w:rsidRPr="00427740">
        <w:rPr>
          <w:rStyle w:val="A0"/>
          <w:rFonts w:ascii="Arial" w:hAnsi="Arial" w:cs="Arial"/>
          <w:bCs/>
          <w:sz w:val="22"/>
          <w:szCs w:val="22"/>
        </w:rPr>
        <w:t xml:space="preserve">The child should return to the clinic if they feel ill whilst on IPT, or if they develop TB symptoms such as cough, fever, and poor appetite. </w:t>
      </w:r>
    </w:p>
    <w:p w:rsidR="0071027C" w:rsidRPr="00427740" w:rsidRDefault="0071027C" w:rsidP="00274941">
      <w:pPr>
        <w:pStyle w:val="ListParagraph"/>
        <w:numPr>
          <w:ilvl w:val="0"/>
          <w:numId w:val="95"/>
        </w:numPr>
        <w:contextualSpacing w:val="0"/>
        <w:jc w:val="both"/>
        <w:rPr>
          <w:rStyle w:val="A0"/>
          <w:rFonts w:ascii="Arial" w:hAnsi="Arial" w:cs="Arial"/>
          <w:bCs/>
          <w:sz w:val="22"/>
          <w:szCs w:val="22"/>
        </w:rPr>
      </w:pPr>
      <w:r w:rsidRPr="00427740">
        <w:rPr>
          <w:rStyle w:val="A0"/>
          <w:rFonts w:ascii="Arial" w:hAnsi="Arial" w:cs="Arial"/>
          <w:bCs/>
          <w:sz w:val="22"/>
          <w:szCs w:val="22"/>
        </w:rPr>
        <w:t>The parent/caregiver does not need to limit the child’s activities in any way.</w:t>
      </w:r>
    </w:p>
    <w:p w:rsidR="0071027C" w:rsidRPr="00427740" w:rsidRDefault="0071027C" w:rsidP="00274941">
      <w:pPr>
        <w:pStyle w:val="ListParagraph"/>
        <w:numPr>
          <w:ilvl w:val="0"/>
          <w:numId w:val="95"/>
        </w:numPr>
        <w:contextualSpacing w:val="0"/>
        <w:jc w:val="both"/>
        <w:rPr>
          <w:rStyle w:val="A0"/>
          <w:rFonts w:ascii="Arial" w:hAnsi="Arial" w:cs="Arial"/>
          <w:bCs/>
          <w:sz w:val="22"/>
          <w:szCs w:val="22"/>
        </w:rPr>
      </w:pPr>
      <w:r w:rsidRPr="00427740">
        <w:rPr>
          <w:rStyle w:val="A0"/>
          <w:rFonts w:ascii="Arial" w:hAnsi="Arial" w:cs="Arial"/>
          <w:bCs/>
          <w:sz w:val="22"/>
          <w:szCs w:val="22"/>
        </w:rPr>
        <w:t>IPT should be given for 6 months</w:t>
      </w:r>
    </w:p>
    <w:p w:rsidR="0071027C" w:rsidRPr="00427740" w:rsidRDefault="0071027C" w:rsidP="0071027C">
      <w:pPr>
        <w:autoSpaceDE w:val="0"/>
        <w:autoSpaceDN w:val="0"/>
        <w:adjustRightInd w:val="0"/>
        <w:spacing w:before="120" w:after="120" w:line="240" w:lineRule="auto"/>
        <w:jc w:val="both"/>
        <w:rPr>
          <w:rStyle w:val="A0"/>
          <w:rFonts w:ascii="Arial" w:hAnsi="Arial" w:cs="Arial"/>
          <w:b/>
        </w:rPr>
      </w:pPr>
      <w:r w:rsidRPr="00427740">
        <w:rPr>
          <w:rStyle w:val="A0"/>
          <w:rFonts w:ascii="Arial" w:hAnsi="Arial" w:cs="Arial"/>
          <w:b/>
        </w:rPr>
        <w:t>Dosage:</w:t>
      </w:r>
    </w:p>
    <w:p w:rsidR="0071027C" w:rsidRPr="00427740" w:rsidRDefault="0071027C" w:rsidP="00274941">
      <w:pPr>
        <w:pStyle w:val="ListParagraph"/>
        <w:numPr>
          <w:ilvl w:val="0"/>
          <w:numId w:val="96"/>
        </w:numPr>
        <w:contextualSpacing w:val="0"/>
        <w:jc w:val="both"/>
        <w:rPr>
          <w:rStyle w:val="A0"/>
          <w:rFonts w:ascii="Arial" w:hAnsi="Arial" w:cs="Arial"/>
          <w:bCs/>
          <w:sz w:val="22"/>
          <w:szCs w:val="22"/>
        </w:rPr>
      </w:pPr>
      <w:r w:rsidRPr="00427740">
        <w:rPr>
          <w:rStyle w:val="A0"/>
          <w:rFonts w:ascii="Arial" w:hAnsi="Arial" w:cs="Arial"/>
          <w:bCs/>
          <w:sz w:val="22"/>
          <w:szCs w:val="22"/>
        </w:rPr>
        <w:t>Isoniazid: 10 mg/kg (10-15 mg/kg) daily for 6 months</w:t>
      </w:r>
    </w:p>
    <w:p w:rsidR="0071027C" w:rsidRPr="00427740" w:rsidRDefault="0071027C" w:rsidP="00274941">
      <w:pPr>
        <w:pStyle w:val="ListParagraph"/>
        <w:numPr>
          <w:ilvl w:val="0"/>
          <w:numId w:val="96"/>
        </w:numPr>
        <w:contextualSpacing w:val="0"/>
        <w:jc w:val="both"/>
        <w:rPr>
          <w:rStyle w:val="A0"/>
          <w:rFonts w:ascii="Arial" w:hAnsi="Arial" w:cs="Arial"/>
          <w:bCs/>
          <w:sz w:val="22"/>
          <w:szCs w:val="22"/>
        </w:rPr>
      </w:pPr>
      <w:r w:rsidRPr="00427740">
        <w:rPr>
          <w:rStyle w:val="A0"/>
          <w:rFonts w:ascii="Arial" w:hAnsi="Arial" w:cs="Arial"/>
          <w:bCs/>
          <w:sz w:val="22"/>
          <w:szCs w:val="22"/>
        </w:rPr>
        <w:t>Pyridoxine: 1-2 mg/kg daily until neuropathy subsides</w:t>
      </w:r>
    </w:p>
    <w:p w:rsidR="0071027C" w:rsidRPr="00E67F8E" w:rsidRDefault="0071027C" w:rsidP="0071027C">
      <w:pPr>
        <w:pStyle w:val="Heading4"/>
      </w:pPr>
      <w:r>
        <w:t xml:space="preserve">10.3.2.2 </w:t>
      </w:r>
      <w:r w:rsidRPr="00E67F8E">
        <w:t>Early Antiretroviral Therapy (ART) Add regimes of TB treatment</w:t>
      </w:r>
    </w:p>
    <w:p w:rsidR="0071027C" w:rsidRPr="00E67F8E" w:rsidRDefault="0071027C" w:rsidP="0071027C">
      <w:pPr>
        <w:autoSpaceDE w:val="0"/>
        <w:autoSpaceDN w:val="0"/>
        <w:adjustRightInd w:val="0"/>
        <w:spacing w:before="120" w:after="120" w:line="240" w:lineRule="auto"/>
        <w:jc w:val="both"/>
        <w:rPr>
          <w:rFonts w:ascii="Arial" w:hAnsi="Arial" w:cs="Arial"/>
        </w:rPr>
      </w:pPr>
      <w:r w:rsidRPr="00E67F8E">
        <w:rPr>
          <w:rFonts w:ascii="Arial" w:hAnsi="Arial" w:cs="Arial"/>
        </w:rPr>
        <w:t>ART has been reported to reduce TB rates by up to 90% at the individual level, 60% at the population level, and also reduces TB recurrence rates by 50%. Initiation of ART for all those with HIV/TB co-infection, if accompanied by high levels of coverage and ART adherence, reduces the number of TB cases, TB mortality rates and TB transmission at the population level.</w:t>
      </w:r>
    </w:p>
    <w:p w:rsidR="0071027C" w:rsidRPr="00E67F8E" w:rsidRDefault="0071027C" w:rsidP="0071027C">
      <w:pPr>
        <w:spacing w:before="120" w:after="120" w:line="240" w:lineRule="auto"/>
        <w:jc w:val="both"/>
        <w:rPr>
          <w:rFonts w:ascii="Arial" w:hAnsi="Arial" w:cs="Arial"/>
          <w:b/>
        </w:rPr>
      </w:pPr>
      <w:r w:rsidRPr="00E67F8E">
        <w:rPr>
          <w:rFonts w:ascii="Arial" w:hAnsi="Arial" w:cs="Arial"/>
          <w:b/>
        </w:rPr>
        <w:t>ART in TB/HIV co-infected individuals:</w:t>
      </w:r>
    </w:p>
    <w:p w:rsidR="0071027C" w:rsidRPr="00E67F8E" w:rsidRDefault="0071027C" w:rsidP="0071027C">
      <w:pPr>
        <w:autoSpaceDE w:val="0"/>
        <w:autoSpaceDN w:val="0"/>
        <w:adjustRightInd w:val="0"/>
        <w:spacing w:before="120" w:after="120" w:line="240" w:lineRule="auto"/>
        <w:jc w:val="both"/>
        <w:rPr>
          <w:rFonts w:ascii="Arial" w:hAnsi="Arial" w:cs="Arial"/>
        </w:rPr>
      </w:pPr>
      <w:r w:rsidRPr="00E67F8E">
        <w:rPr>
          <w:rFonts w:ascii="Arial" w:hAnsi="Arial" w:cs="Arial"/>
        </w:rPr>
        <w:t xml:space="preserve">ART should be initiated for </w:t>
      </w:r>
      <w:r w:rsidRPr="00E67F8E">
        <w:rPr>
          <w:rFonts w:ascii="Arial" w:hAnsi="Arial" w:cs="Arial"/>
          <w:i/>
          <w:iCs/>
        </w:rPr>
        <w:t xml:space="preserve">all </w:t>
      </w:r>
      <w:r w:rsidRPr="00E67F8E">
        <w:rPr>
          <w:rFonts w:ascii="Arial" w:hAnsi="Arial" w:cs="Arial"/>
        </w:rPr>
        <w:t xml:space="preserve">people living with HIV with active TB disease irrespective of CD4 cell count. TB treatment should be started first, followed by ART as soon as possible, within the first 2 weeks of starting TB treatment. Refer to chapter 9 on ART. </w:t>
      </w:r>
    </w:p>
    <w:p w:rsidR="0071027C" w:rsidRPr="00E67F8E" w:rsidRDefault="0071027C" w:rsidP="0071027C">
      <w:pPr>
        <w:pStyle w:val="Pa3"/>
        <w:spacing w:before="120" w:after="120" w:line="240" w:lineRule="auto"/>
        <w:jc w:val="both"/>
        <w:rPr>
          <w:rFonts w:ascii="Arial" w:hAnsi="Arial" w:cs="Arial"/>
          <w:sz w:val="22"/>
          <w:szCs w:val="22"/>
        </w:rPr>
      </w:pPr>
      <w:r w:rsidRPr="00E67F8E">
        <w:rPr>
          <w:rFonts w:ascii="Arial" w:hAnsi="Arial" w:cs="Arial"/>
          <w:sz w:val="22"/>
          <w:szCs w:val="22"/>
        </w:rPr>
        <w:t>NB: Rifampicin and Nevirapin should not be used together due to drug interactions and hence regimens which contain Nevirapin should not be used.</w:t>
      </w:r>
    </w:p>
    <w:p w:rsidR="0071027C" w:rsidRPr="00E67F8E" w:rsidRDefault="0071027C" w:rsidP="0071027C">
      <w:pPr>
        <w:pStyle w:val="Pa3"/>
        <w:spacing w:before="120" w:after="120" w:line="240" w:lineRule="auto"/>
        <w:jc w:val="both"/>
        <w:rPr>
          <w:rFonts w:ascii="Arial" w:hAnsi="Arial" w:cs="Arial"/>
          <w:sz w:val="22"/>
          <w:szCs w:val="22"/>
        </w:rPr>
      </w:pPr>
      <w:r w:rsidRPr="00E67F8E">
        <w:rPr>
          <w:rFonts w:ascii="Arial" w:hAnsi="Arial" w:cs="Arial"/>
          <w:sz w:val="22"/>
          <w:szCs w:val="22"/>
        </w:rPr>
        <w:t xml:space="preserve">When using Nevirapine based regimen, the patient should be started on a normal dose (200mg bd). A loading dose is not required. </w:t>
      </w:r>
    </w:p>
    <w:p w:rsidR="0071027C" w:rsidRPr="00E67F8E" w:rsidRDefault="0071027C" w:rsidP="0071027C">
      <w:pPr>
        <w:autoSpaceDE w:val="0"/>
        <w:autoSpaceDN w:val="0"/>
        <w:adjustRightInd w:val="0"/>
        <w:spacing w:before="120" w:after="120" w:line="240" w:lineRule="auto"/>
        <w:jc w:val="both"/>
        <w:rPr>
          <w:rFonts w:ascii="Arial" w:hAnsi="Arial" w:cs="Arial"/>
        </w:rPr>
      </w:pPr>
      <w:r w:rsidRPr="00E67F8E">
        <w:rPr>
          <w:rFonts w:ascii="Arial" w:hAnsi="Arial" w:cs="Arial"/>
        </w:rPr>
        <w:t>In individuals who need TB treatment and who require an ART regimen containing a boosted protease inhibitor (PI), it is recommended to use Rifampicin and a boosted antiretro</w:t>
      </w:r>
      <w:r w:rsidRPr="00E67F8E">
        <w:rPr>
          <w:rFonts w:ascii="Arial" w:hAnsi="Arial" w:cs="Arial"/>
        </w:rPr>
        <w:softHyphen/>
        <w:t>viral regimen containing Lopinavir with additional Ritonavir dosing (LPV/r 400mg/ 400mg BID). This regimen is associated with high levels of toxicity, and requires close clinical and laboratory monitoring.</w:t>
      </w:r>
    </w:p>
    <w:p w:rsidR="0071027C" w:rsidRPr="00E67F8E" w:rsidRDefault="0071027C" w:rsidP="0071027C">
      <w:pPr>
        <w:spacing w:before="120" w:after="120" w:line="240" w:lineRule="auto"/>
        <w:jc w:val="both"/>
        <w:rPr>
          <w:rFonts w:ascii="Arial" w:hAnsi="Arial" w:cs="Arial"/>
          <w:b/>
        </w:rPr>
      </w:pPr>
      <w:r w:rsidRPr="00E67F8E">
        <w:rPr>
          <w:rFonts w:ascii="Arial" w:hAnsi="Arial" w:cs="Arial"/>
          <w:b/>
        </w:rPr>
        <w:t xml:space="preserve">NOTE: </w:t>
      </w:r>
    </w:p>
    <w:p w:rsidR="0071027C" w:rsidRPr="00E67F8E" w:rsidRDefault="0071027C" w:rsidP="0071027C">
      <w:pPr>
        <w:spacing w:before="120" w:after="120" w:line="240" w:lineRule="auto"/>
        <w:jc w:val="both"/>
        <w:rPr>
          <w:rFonts w:ascii="Arial" w:hAnsi="Arial" w:cs="Arial"/>
          <w:b/>
        </w:rPr>
      </w:pPr>
      <w:r w:rsidRPr="00E67F8E">
        <w:rPr>
          <w:rFonts w:ascii="Arial" w:hAnsi="Arial" w:cs="Arial"/>
          <w:b/>
        </w:rPr>
        <w:t xml:space="preserve">Consideration 1: </w:t>
      </w:r>
    </w:p>
    <w:p w:rsidR="0071027C" w:rsidRPr="00E67F8E" w:rsidRDefault="0071027C" w:rsidP="0071027C">
      <w:pPr>
        <w:autoSpaceDE w:val="0"/>
        <w:autoSpaceDN w:val="0"/>
        <w:adjustRightInd w:val="0"/>
        <w:spacing w:before="120" w:after="120" w:line="240" w:lineRule="auto"/>
        <w:jc w:val="both"/>
        <w:rPr>
          <w:rFonts w:ascii="Arial" w:hAnsi="Arial" w:cs="Arial"/>
        </w:rPr>
      </w:pPr>
      <w:r w:rsidRPr="00E67F8E">
        <w:rPr>
          <w:rFonts w:ascii="Arial" w:hAnsi="Arial" w:cs="Arial"/>
        </w:rPr>
        <w:t xml:space="preserve">When TB is diagnosed in patients already receiving ART, TB treatment should be started immediately. There are two issues to consider in such cases: whether ART needs to be modified because of drug–drug interactions or to reduce the potential for overlapping toxicities, and whether the presentation of active TB in a patient on ART constitutes ART failure that requires a change in the ART regimen. </w:t>
      </w:r>
    </w:p>
    <w:p w:rsidR="0071027C" w:rsidRPr="00E67F8E" w:rsidRDefault="0071027C" w:rsidP="0071027C">
      <w:pPr>
        <w:spacing w:before="120" w:after="120" w:line="240" w:lineRule="auto"/>
        <w:jc w:val="both"/>
        <w:rPr>
          <w:rFonts w:ascii="Arial" w:hAnsi="Arial" w:cs="Arial"/>
          <w:b/>
        </w:rPr>
      </w:pPr>
      <w:r w:rsidRPr="00E67F8E">
        <w:rPr>
          <w:rFonts w:ascii="Arial" w:hAnsi="Arial" w:cs="Arial"/>
          <w:b/>
        </w:rPr>
        <w:t>Consideration 2:</w:t>
      </w:r>
    </w:p>
    <w:p w:rsidR="0071027C" w:rsidRPr="00E67F8E" w:rsidRDefault="0071027C" w:rsidP="0071027C">
      <w:pPr>
        <w:spacing w:before="120" w:after="120" w:line="240" w:lineRule="auto"/>
        <w:jc w:val="both"/>
        <w:rPr>
          <w:rFonts w:ascii="Arial" w:hAnsi="Arial" w:cs="Arial"/>
        </w:rPr>
      </w:pPr>
      <w:r w:rsidRPr="00E67F8E">
        <w:rPr>
          <w:rFonts w:ascii="Arial" w:hAnsi="Arial" w:cs="Arial"/>
        </w:rPr>
        <w:t>When TB is diagnosed in PLHIV who are already on ART and Medically Assisted Therapy using Methadone, the level of Methadone should be increased by 50% when used along with Rifampicin due to drug-drug interactions.</w:t>
      </w:r>
    </w:p>
    <w:p w:rsidR="0071027C" w:rsidRPr="00E67F8E" w:rsidRDefault="0071027C" w:rsidP="0071027C">
      <w:pPr>
        <w:pStyle w:val="Heading4"/>
      </w:pPr>
      <w:r>
        <w:t>10.3.2.3</w:t>
      </w:r>
      <w:r w:rsidRPr="00E67F8E">
        <w:t>Tuberculosis associated</w:t>
      </w:r>
      <w:r>
        <w:t xml:space="preserve"> Immune Reconstitution Syndrome</w:t>
      </w:r>
    </w:p>
    <w:p w:rsidR="0071027C" w:rsidRPr="00E67F8E" w:rsidRDefault="0071027C" w:rsidP="0071027C">
      <w:pPr>
        <w:spacing w:before="120" w:after="120" w:line="240" w:lineRule="auto"/>
        <w:jc w:val="both"/>
        <w:rPr>
          <w:rFonts w:ascii="Arial" w:hAnsi="Arial" w:cs="Arial"/>
        </w:rPr>
      </w:pPr>
      <w:r w:rsidRPr="00E67F8E">
        <w:rPr>
          <w:rFonts w:ascii="Arial" w:hAnsi="Arial" w:cs="Arial"/>
        </w:rPr>
        <w:t xml:space="preserve">HIV positive patients may experience an occurrence of features of active TB or a temporary exacerbation of signs and symptoms of TB with or without an aggravated radiographic manifestation after the initiation of ART. This paradoxical reaction in HIV infected TB patients is a result of immune reconstitution. Signs and symptoms include fever, lymphadenopathy, central nervous system lesions and worsening of the chest X-ray appearance. This syndrome is known as the Immune Inflammatory Reconstitution Syndrome (IRIS). In such cases, it is crucial that TB treatment failure is excluded before diagnosing IRIS. The management includes continuation of both ART and anti-TB therapies, and if severe, prednisone 1-2 mg/kg for 1-2 weeks can be given (thereafter gradually decreasing dosage).       </w:t>
      </w:r>
    </w:p>
    <w:p w:rsidR="0071027C" w:rsidRPr="00427740" w:rsidRDefault="0071027C" w:rsidP="0071027C">
      <w:pPr>
        <w:pStyle w:val="Heading3"/>
      </w:pPr>
      <w:bookmarkStart w:id="872" w:name="_Toc382214111"/>
      <w:r w:rsidRPr="00427740">
        <w:t>10.3.</w:t>
      </w:r>
      <w:r>
        <w:t>3</w:t>
      </w:r>
      <w:r w:rsidRPr="00427740">
        <w:t xml:space="preserve"> TB Infection in health-care fac</w:t>
      </w:r>
      <w:r>
        <w:t>ilities and congregate settings</w:t>
      </w:r>
      <w:bookmarkEnd w:id="872"/>
    </w:p>
    <w:p w:rsidR="0071027C" w:rsidRPr="00E67F8E" w:rsidRDefault="0071027C" w:rsidP="0071027C">
      <w:pPr>
        <w:autoSpaceDE w:val="0"/>
        <w:autoSpaceDN w:val="0"/>
        <w:adjustRightInd w:val="0"/>
        <w:spacing w:before="120" w:after="120" w:line="240" w:lineRule="auto"/>
        <w:jc w:val="both"/>
        <w:rPr>
          <w:rFonts w:ascii="Arial" w:hAnsi="Arial" w:cs="Arial"/>
        </w:rPr>
      </w:pPr>
      <w:r w:rsidRPr="00E67F8E">
        <w:rPr>
          <w:rFonts w:ascii="Arial" w:hAnsi="Arial" w:cs="Arial"/>
        </w:rPr>
        <w:t xml:space="preserve">TB infection control should be implemented in health care facilities and congregate settings where people with TB and HIV are frequently confined. Measures to reduce TB transmission include administrative, environmental, and personal protection measures, which generally are aimed at reducing exposure to </w:t>
      </w:r>
      <w:r w:rsidRPr="00E67F8E">
        <w:rPr>
          <w:rFonts w:ascii="Arial" w:hAnsi="Arial" w:cs="Arial"/>
          <w:i/>
        </w:rPr>
        <w:t xml:space="preserve">M tuberculosis </w:t>
      </w:r>
      <w:r w:rsidRPr="00E67F8E">
        <w:rPr>
          <w:rFonts w:ascii="Arial" w:hAnsi="Arial" w:cs="Arial"/>
        </w:rPr>
        <w:t xml:space="preserve">among health care workers, prison staff, police and their clients, and other persons in the congregate settings. </w:t>
      </w:r>
    </w:p>
    <w:p w:rsidR="0071027C" w:rsidRPr="00E227D4" w:rsidRDefault="0071027C" w:rsidP="0071027C">
      <w:pPr>
        <w:pStyle w:val="Heading4"/>
      </w:pPr>
      <w:r>
        <w:t xml:space="preserve">10.3.3.1 </w:t>
      </w:r>
      <w:r w:rsidRPr="00E227D4">
        <w:t>Administrative measures</w:t>
      </w:r>
    </w:p>
    <w:p w:rsidR="0071027C" w:rsidRPr="00E67F8E" w:rsidRDefault="0071027C" w:rsidP="0071027C">
      <w:pPr>
        <w:autoSpaceDE w:val="0"/>
        <w:autoSpaceDN w:val="0"/>
        <w:adjustRightInd w:val="0"/>
        <w:spacing w:before="120" w:after="120" w:line="240" w:lineRule="auto"/>
        <w:jc w:val="both"/>
        <w:rPr>
          <w:rFonts w:ascii="Arial" w:hAnsi="Arial" w:cs="Arial"/>
        </w:rPr>
      </w:pPr>
      <w:r w:rsidRPr="00E67F8E">
        <w:rPr>
          <w:rFonts w:ascii="Arial" w:hAnsi="Arial" w:cs="Arial"/>
        </w:rPr>
        <w:t>Administrative measures should include early recognition, diagnosis, and treatment of TB patients, particularly those with pulmonary TB, and quarantine of suspected pulmonary TB patients until a diagnosis is confirmed or excluded. Specifically, administrative measures includes</w:t>
      </w:r>
    </w:p>
    <w:p w:rsidR="0071027C" w:rsidRPr="00E67F8E" w:rsidRDefault="0071027C" w:rsidP="00274941">
      <w:pPr>
        <w:pStyle w:val="ListParagraph"/>
        <w:numPr>
          <w:ilvl w:val="0"/>
          <w:numId w:val="92"/>
        </w:numPr>
        <w:spacing w:before="120" w:after="120"/>
        <w:jc w:val="both"/>
        <w:rPr>
          <w:rFonts w:ascii="Arial" w:hAnsi="Arial" w:cs="Arial"/>
          <w:sz w:val="22"/>
          <w:szCs w:val="22"/>
        </w:rPr>
      </w:pPr>
      <w:r w:rsidRPr="00E67F8E">
        <w:rPr>
          <w:rFonts w:ascii="Arial" w:hAnsi="Arial" w:cs="Arial"/>
          <w:sz w:val="22"/>
          <w:szCs w:val="22"/>
        </w:rPr>
        <w:t>Infection control plan</w:t>
      </w:r>
    </w:p>
    <w:p w:rsidR="0071027C" w:rsidRPr="00E67F8E" w:rsidRDefault="0071027C" w:rsidP="0071027C">
      <w:pPr>
        <w:autoSpaceDE w:val="0"/>
        <w:autoSpaceDN w:val="0"/>
        <w:adjustRightInd w:val="0"/>
        <w:spacing w:before="120" w:after="120" w:line="240" w:lineRule="auto"/>
        <w:jc w:val="both"/>
        <w:rPr>
          <w:rFonts w:ascii="Arial" w:hAnsi="Arial" w:cs="Arial"/>
        </w:rPr>
      </w:pPr>
      <w:r w:rsidRPr="00E67F8E">
        <w:rPr>
          <w:rFonts w:ascii="Arial" w:hAnsi="Arial" w:cs="Arial"/>
          <w:lang w:eastAsia="en-GB"/>
        </w:rPr>
        <w:t>All clients should be screened for TB as soon as they arrival at the facility to identify those with a cough of any duration.</w:t>
      </w:r>
      <w:r w:rsidRPr="00E67F8E">
        <w:rPr>
          <w:rFonts w:ascii="Arial" w:hAnsi="Arial" w:cs="Arial"/>
        </w:rPr>
        <w:t xml:space="preserve"> In outpatient departments, coughing patients should wait in well-ventilated areas. TB suspects need to be examined in a well-ventilated room. Have patients turn their heads and cover their mouths when they cough</w:t>
      </w:r>
      <w:r w:rsidRPr="00E67F8E">
        <w:rPr>
          <w:rFonts w:ascii="Arial" w:hAnsi="Arial" w:cs="Arial"/>
          <w:lang w:eastAsia="en-GB"/>
        </w:rPr>
        <w:t xml:space="preserve">. </w:t>
      </w:r>
      <w:r w:rsidRPr="00E67F8E">
        <w:rPr>
          <w:rFonts w:ascii="Arial" w:hAnsi="Arial" w:cs="Arial"/>
        </w:rPr>
        <w:t xml:space="preserve">Avoid contact between TB patients and HIV positive patients by separating them. </w:t>
      </w:r>
    </w:p>
    <w:p w:rsidR="0071027C" w:rsidRPr="00E67F8E" w:rsidRDefault="0071027C" w:rsidP="00274941">
      <w:pPr>
        <w:pStyle w:val="ListParagraph"/>
        <w:numPr>
          <w:ilvl w:val="0"/>
          <w:numId w:val="93"/>
        </w:numPr>
        <w:autoSpaceDE w:val="0"/>
        <w:autoSpaceDN w:val="0"/>
        <w:adjustRightInd w:val="0"/>
        <w:spacing w:before="120" w:after="120"/>
        <w:jc w:val="both"/>
        <w:rPr>
          <w:rFonts w:ascii="Arial" w:hAnsi="Arial" w:cs="Arial"/>
          <w:sz w:val="22"/>
          <w:szCs w:val="22"/>
        </w:rPr>
      </w:pPr>
      <w:r w:rsidRPr="00E67F8E">
        <w:rPr>
          <w:rFonts w:ascii="Arial" w:hAnsi="Arial" w:cs="Arial"/>
          <w:sz w:val="22"/>
          <w:szCs w:val="22"/>
        </w:rPr>
        <w:t>Separation of TB patients from HIV patients can be done through one of the following modalities;</w:t>
      </w:r>
    </w:p>
    <w:p w:rsidR="0071027C" w:rsidRPr="00E67F8E" w:rsidRDefault="0071027C" w:rsidP="00274941">
      <w:pPr>
        <w:widowControl/>
        <w:numPr>
          <w:ilvl w:val="0"/>
          <w:numId w:val="90"/>
        </w:numPr>
        <w:spacing w:before="120" w:after="120" w:line="240" w:lineRule="auto"/>
        <w:jc w:val="both"/>
        <w:rPr>
          <w:rFonts w:ascii="Arial" w:hAnsi="Arial" w:cs="Arial"/>
          <w:lang w:eastAsia="it-IT"/>
        </w:rPr>
      </w:pPr>
      <w:r w:rsidRPr="00E67F8E">
        <w:rPr>
          <w:rFonts w:ascii="Arial" w:hAnsi="Arial" w:cs="Arial"/>
          <w:lang w:eastAsia="it-IT"/>
        </w:rPr>
        <w:t>If the TB clinic is providing ART, channel PTB/HIV co-infected patients to the TB clinic where they should receive TB and HIV care, treatment (anti TB treatment/CPT/ART) and adherence counseling; refer them to CTC at the end the TB treatment to ensure continuum of care (general HIV care, CPT,ARV provision, HBC etc)</w:t>
      </w:r>
      <w:r w:rsidRPr="00E67F8E">
        <w:rPr>
          <w:rFonts w:ascii="Arial" w:hAnsi="Arial" w:cs="Arial"/>
          <w:vertAlign w:val="superscript"/>
          <w:lang w:eastAsia="it-IT"/>
        </w:rPr>
        <w:t>4</w:t>
      </w:r>
    </w:p>
    <w:p w:rsidR="0071027C" w:rsidRPr="00E67F8E" w:rsidRDefault="0071027C" w:rsidP="00274941">
      <w:pPr>
        <w:widowControl/>
        <w:numPr>
          <w:ilvl w:val="0"/>
          <w:numId w:val="90"/>
        </w:numPr>
        <w:spacing w:before="120" w:after="120" w:line="240" w:lineRule="auto"/>
        <w:jc w:val="both"/>
        <w:rPr>
          <w:rFonts w:ascii="Arial" w:hAnsi="Arial" w:cs="Arial"/>
          <w:lang w:eastAsia="it-IT"/>
        </w:rPr>
      </w:pPr>
      <w:r w:rsidRPr="00E67F8E">
        <w:rPr>
          <w:rFonts w:ascii="Arial" w:hAnsi="Arial" w:cs="Arial"/>
          <w:lang w:eastAsia="it-IT"/>
        </w:rPr>
        <w:t>If the TB clinic is not providing ART, evaluate PTB/HIV co-infected patients at CTC on separate days to avoid sharing the same waiting area with PLHIV.</w:t>
      </w:r>
    </w:p>
    <w:p w:rsidR="0071027C" w:rsidRPr="00E67F8E" w:rsidRDefault="0071027C" w:rsidP="0071027C">
      <w:pPr>
        <w:spacing w:before="120" w:after="120" w:line="240" w:lineRule="auto"/>
        <w:jc w:val="both"/>
        <w:rPr>
          <w:rFonts w:ascii="Arial" w:hAnsi="Arial" w:cs="Arial"/>
          <w:lang w:eastAsia="it-IT"/>
        </w:rPr>
      </w:pPr>
      <w:r w:rsidRPr="00E67F8E">
        <w:rPr>
          <w:rFonts w:ascii="Arial" w:hAnsi="Arial" w:cs="Arial"/>
          <w:lang w:eastAsia="it-IT"/>
        </w:rPr>
        <w:t>If volunteers living with HIV (e.g. peer educators) are working at the HF level (e.g. CTC), they should be informed about their risk of developing TB and they should avoid escorting TB suspects/patients.</w:t>
      </w:r>
      <w:r w:rsidRPr="00E67F8E">
        <w:rPr>
          <w:rStyle w:val="FootnoteReference"/>
          <w:rFonts w:ascii="Arial" w:hAnsi="Arial" w:cs="Arial"/>
          <w:lang w:eastAsia="it-IT"/>
        </w:rPr>
        <w:footnoteReference w:id="15"/>
      </w:r>
    </w:p>
    <w:p w:rsidR="0071027C" w:rsidRPr="00E67F8E" w:rsidRDefault="0071027C" w:rsidP="00274941">
      <w:pPr>
        <w:pStyle w:val="ListParagraph"/>
        <w:numPr>
          <w:ilvl w:val="0"/>
          <w:numId w:val="93"/>
        </w:numPr>
        <w:spacing w:before="120" w:after="120"/>
        <w:jc w:val="both"/>
        <w:rPr>
          <w:rFonts w:ascii="Arial" w:hAnsi="Arial" w:cs="Arial"/>
          <w:sz w:val="22"/>
          <w:szCs w:val="22"/>
        </w:rPr>
      </w:pPr>
      <w:r w:rsidRPr="00E67F8E">
        <w:rPr>
          <w:rFonts w:ascii="Arial" w:hAnsi="Arial" w:cs="Arial"/>
          <w:sz w:val="22"/>
          <w:szCs w:val="22"/>
          <w:lang w:eastAsia="en-GB"/>
        </w:rPr>
        <w:t>Clinic operating procedure</w:t>
      </w:r>
      <w:r w:rsidRPr="00E67F8E">
        <w:rPr>
          <w:rFonts w:ascii="Arial" w:hAnsi="Arial" w:cs="Arial"/>
          <w:bCs/>
          <w:sz w:val="22"/>
          <w:szCs w:val="22"/>
          <w:lang w:eastAsia="en-GB"/>
        </w:rPr>
        <w:t xml:space="preserve">: </w:t>
      </w:r>
    </w:p>
    <w:p w:rsidR="0071027C" w:rsidRPr="00E67F8E" w:rsidRDefault="0071027C" w:rsidP="0071027C">
      <w:pPr>
        <w:spacing w:before="120" w:after="120" w:line="240" w:lineRule="auto"/>
        <w:jc w:val="both"/>
        <w:rPr>
          <w:rFonts w:ascii="Arial" w:hAnsi="Arial" w:cs="Arial"/>
        </w:rPr>
      </w:pPr>
      <w:r w:rsidRPr="00E67F8E">
        <w:rPr>
          <w:rFonts w:ascii="Arial" w:hAnsi="Arial" w:cs="Arial"/>
        </w:rPr>
        <w:t>Patients who report at CTC t</w:t>
      </w:r>
      <w:r w:rsidRPr="00E67F8E">
        <w:rPr>
          <w:rFonts w:ascii="Arial" w:hAnsi="Arial" w:cs="Arial"/>
          <w:lang w:eastAsia="en-GB"/>
        </w:rPr>
        <w:t>o regist</w:t>
      </w:r>
      <w:r w:rsidRPr="00E67F8E">
        <w:rPr>
          <w:rFonts w:ascii="Arial" w:hAnsi="Arial" w:cs="Arial"/>
        </w:rPr>
        <w:t>er should be observed and probed about coughing and if so sent immediately to laboratory to provide sputum sample and return to CTC for registration and care.</w:t>
      </w:r>
    </w:p>
    <w:p w:rsidR="0071027C" w:rsidRPr="00E227D4" w:rsidRDefault="0071027C" w:rsidP="0071027C">
      <w:pPr>
        <w:pStyle w:val="Heading4"/>
      </w:pPr>
      <w:r>
        <w:t xml:space="preserve">10.3.3.2 </w:t>
      </w:r>
      <w:r w:rsidRPr="00E227D4">
        <w:t>Environmental control measures</w:t>
      </w:r>
    </w:p>
    <w:p w:rsidR="0071027C" w:rsidRPr="00E67F8E" w:rsidRDefault="0071027C" w:rsidP="0071027C">
      <w:pPr>
        <w:autoSpaceDE w:val="0"/>
        <w:autoSpaceDN w:val="0"/>
        <w:adjustRightInd w:val="0"/>
        <w:spacing w:before="120" w:after="120" w:line="240" w:lineRule="auto"/>
        <w:jc w:val="both"/>
        <w:rPr>
          <w:rFonts w:ascii="Arial" w:hAnsi="Arial" w:cs="Arial"/>
          <w:lang w:eastAsia="en-GB"/>
        </w:rPr>
      </w:pPr>
      <w:r w:rsidRPr="00E67F8E">
        <w:rPr>
          <w:rFonts w:ascii="Arial" w:hAnsi="Arial" w:cs="Arial"/>
        </w:rPr>
        <w:t>Environmental protection should include maximizing natural ventilation and direct sunlight. This</w:t>
      </w:r>
      <w:r w:rsidRPr="00E67F8E">
        <w:rPr>
          <w:rFonts w:ascii="Arial" w:hAnsi="Arial" w:cs="Arial"/>
          <w:lang w:eastAsia="en-GB"/>
        </w:rPr>
        <w:t xml:space="preserve"> is the second line of defense for preventing the spread of TB in HIV care settings. If the work practice controls are inadequate, environmental control will not eliminate the risk of spread of TB. The common control measures include:</w:t>
      </w:r>
    </w:p>
    <w:p w:rsidR="0071027C" w:rsidRPr="00E67F8E" w:rsidRDefault="0071027C" w:rsidP="00274941">
      <w:pPr>
        <w:widowControl/>
        <w:numPr>
          <w:ilvl w:val="0"/>
          <w:numId w:val="91"/>
        </w:numPr>
        <w:autoSpaceDE w:val="0"/>
        <w:autoSpaceDN w:val="0"/>
        <w:adjustRightInd w:val="0"/>
        <w:spacing w:after="0" w:line="240" w:lineRule="auto"/>
        <w:jc w:val="both"/>
        <w:rPr>
          <w:rFonts w:ascii="Arial" w:hAnsi="Arial" w:cs="Arial"/>
          <w:lang w:eastAsia="en-GB"/>
        </w:rPr>
      </w:pPr>
      <w:r w:rsidRPr="00E67F8E">
        <w:rPr>
          <w:rFonts w:ascii="Arial" w:hAnsi="Arial" w:cs="Arial"/>
          <w:lang w:eastAsia="en-GB"/>
        </w:rPr>
        <w:t xml:space="preserve">Open doors and windows to bring in air from the outside </w:t>
      </w:r>
    </w:p>
    <w:p w:rsidR="0071027C" w:rsidRPr="00E67F8E" w:rsidRDefault="0071027C" w:rsidP="00274941">
      <w:pPr>
        <w:widowControl/>
        <w:numPr>
          <w:ilvl w:val="0"/>
          <w:numId w:val="91"/>
        </w:numPr>
        <w:autoSpaceDE w:val="0"/>
        <w:autoSpaceDN w:val="0"/>
        <w:adjustRightInd w:val="0"/>
        <w:spacing w:after="0" w:line="240" w:lineRule="auto"/>
        <w:jc w:val="both"/>
        <w:rPr>
          <w:rFonts w:ascii="Arial" w:hAnsi="Arial" w:cs="Arial"/>
          <w:lang w:eastAsia="en-GB"/>
        </w:rPr>
      </w:pPr>
      <w:r w:rsidRPr="00E67F8E">
        <w:rPr>
          <w:rFonts w:ascii="Arial" w:hAnsi="Arial" w:cs="Arial"/>
          <w:lang w:eastAsia="en-GB"/>
        </w:rPr>
        <w:t>Waiting areas and examination rooms designed in a manner that they have maximum natural ventilation. Fans may also assist in the process of air distribution.</w:t>
      </w:r>
    </w:p>
    <w:p w:rsidR="0071027C" w:rsidRPr="00E67F8E" w:rsidRDefault="0071027C" w:rsidP="00274941">
      <w:pPr>
        <w:widowControl/>
        <w:numPr>
          <w:ilvl w:val="0"/>
          <w:numId w:val="91"/>
        </w:numPr>
        <w:autoSpaceDE w:val="0"/>
        <w:autoSpaceDN w:val="0"/>
        <w:adjustRightInd w:val="0"/>
        <w:spacing w:after="0" w:line="240" w:lineRule="auto"/>
        <w:jc w:val="both"/>
        <w:rPr>
          <w:rFonts w:ascii="Arial" w:hAnsi="Arial" w:cs="Arial"/>
          <w:lang w:eastAsia="en-GB"/>
        </w:rPr>
      </w:pPr>
      <w:r w:rsidRPr="00E67F8E">
        <w:rPr>
          <w:rFonts w:ascii="Arial" w:hAnsi="Arial" w:cs="Arial"/>
          <w:lang w:eastAsia="en-GB"/>
        </w:rPr>
        <w:t>Collection of sputum for TB outside (in an open environment) and away from other people, not in small rooms or other enclosed areas.</w:t>
      </w:r>
    </w:p>
    <w:p w:rsidR="0071027C" w:rsidRPr="00E227D4" w:rsidRDefault="0071027C" w:rsidP="0071027C">
      <w:pPr>
        <w:pStyle w:val="Heading4"/>
      </w:pPr>
      <w:r>
        <w:t xml:space="preserve">10.3.3.3 </w:t>
      </w:r>
      <w:r w:rsidRPr="00E227D4">
        <w:t>Personal protective measures</w:t>
      </w:r>
    </w:p>
    <w:p w:rsidR="0071027C" w:rsidRPr="00E67F8E" w:rsidRDefault="0071027C" w:rsidP="0071027C">
      <w:pPr>
        <w:spacing w:before="120" w:after="120" w:line="240" w:lineRule="auto"/>
        <w:jc w:val="both"/>
        <w:rPr>
          <w:rFonts w:ascii="Arial" w:hAnsi="Arial" w:cs="Arial"/>
          <w:lang w:eastAsia="en-GB"/>
        </w:rPr>
      </w:pPr>
      <w:r w:rsidRPr="00E67F8E">
        <w:rPr>
          <w:rFonts w:ascii="Arial" w:hAnsi="Arial" w:cs="Arial"/>
          <w:lang w:eastAsia="en-GB"/>
        </w:rPr>
        <w:t>Personal protective measures protect healthcare workers, patient and family members in areas where the concentration of droplet nuclei cannot be adequately reduced by administrative and environmental control measures.</w:t>
      </w:r>
      <w:r w:rsidRPr="00E67F8E">
        <w:rPr>
          <w:rFonts w:ascii="Arial" w:hAnsi="Arial" w:cs="Arial"/>
        </w:rPr>
        <w:t xml:space="preserve"> These measures prevents spread of TB infection and shield healthcare workers from possible exposure to TB infection</w:t>
      </w:r>
    </w:p>
    <w:p w:rsidR="0071027C" w:rsidRPr="00E67F8E" w:rsidRDefault="0071027C" w:rsidP="0071027C">
      <w:pPr>
        <w:spacing w:before="120" w:after="120" w:line="240" w:lineRule="auto"/>
        <w:jc w:val="both"/>
        <w:rPr>
          <w:rFonts w:ascii="Arial" w:hAnsi="Arial" w:cs="Arial"/>
        </w:rPr>
      </w:pPr>
      <w:r w:rsidRPr="00E67F8E">
        <w:rPr>
          <w:rFonts w:ascii="Arial" w:hAnsi="Arial" w:cs="Arial"/>
        </w:rPr>
        <w:t>Protection of health care workers:</w:t>
      </w:r>
    </w:p>
    <w:p w:rsidR="0071027C" w:rsidRPr="00E67F8E" w:rsidRDefault="0071027C" w:rsidP="00274941">
      <w:pPr>
        <w:widowControl/>
        <w:numPr>
          <w:ilvl w:val="0"/>
          <w:numId w:val="91"/>
        </w:numPr>
        <w:autoSpaceDE w:val="0"/>
        <w:autoSpaceDN w:val="0"/>
        <w:adjustRightInd w:val="0"/>
        <w:spacing w:after="0" w:line="240" w:lineRule="auto"/>
        <w:jc w:val="both"/>
        <w:rPr>
          <w:rFonts w:ascii="Arial" w:hAnsi="Arial" w:cs="Arial"/>
          <w:lang w:eastAsia="en-GB"/>
        </w:rPr>
      </w:pPr>
      <w:r w:rsidRPr="00E67F8E">
        <w:rPr>
          <w:rFonts w:ascii="Arial" w:hAnsi="Arial" w:cs="Arial"/>
          <w:lang w:eastAsia="en-GB"/>
        </w:rPr>
        <w:t>Respiratory protective equipment is an additional measure to protect HCWs from inhaling infectious droplet nuclei that have been expelled into the air by a patient with infectious TB disease.</w:t>
      </w:r>
    </w:p>
    <w:p w:rsidR="0071027C" w:rsidRPr="00E67F8E" w:rsidRDefault="0071027C" w:rsidP="00274941">
      <w:pPr>
        <w:widowControl/>
        <w:numPr>
          <w:ilvl w:val="0"/>
          <w:numId w:val="91"/>
        </w:numPr>
        <w:autoSpaceDE w:val="0"/>
        <w:autoSpaceDN w:val="0"/>
        <w:adjustRightInd w:val="0"/>
        <w:spacing w:after="0" w:line="240" w:lineRule="auto"/>
        <w:jc w:val="both"/>
        <w:rPr>
          <w:rFonts w:ascii="Arial" w:hAnsi="Arial" w:cs="Arial"/>
          <w:lang w:eastAsia="en-GB"/>
        </w:rPr>
      </w:pPr>
      <w:r w:rsidRPr="00E67F8E">
        <w:rPr>
          <w:rFonts w:ascii="Arial" w:hAnsi="Arial" w:cs="Arial"/>
          <w:lang w:eastAsia="en-GB"/>
        </w:rPr>
        <w:t>Personal protective measures should ONLY be used in situations where there is an increased risk of transmission.</w:t>
      </w:r>
    </w:p>
    <w:p w:rsidR="0071027C" w:rsidRPr="00E67F8E" w:rsidRDefault="0071027C" w:rsidP="00274941">
      <w:pPr>
        <w:widowControl/>
        <w:numPr>
          <w:ilvl w:val="0"/>
          <w:numId w:val="91"/>
        </w:numPr>
        <w:autoSpaceDE w:val="0"/>
        <w:autoSpaceDN w:val="0"/>
        <w:adjustRightInd w:val="0"/>
        <w:spacing w:after="0" w:line="240" w:lineRule="auto"/>
        <w:jc w:val="both"/>
        <w:rPr>
          <w:rFonts w:ascii="Arial" w:hAnsi="Arial" w:cs="Arial"/>
          <w:lang w:eastAsia="en-GB"/>
        </w:rPr>
      </w:pPr>
      <w:r w:rsidRPr="00E67F8E">
        <w:rPr>
          <w:rFonts w:ascii="Arial" w:hAnsi="Arial" w:cs="Arial"/>
          <w:lang w:eastAsia="en-GB"/>
        </w:rPr>
        <w:t xml:space="preserve">Respirators are among the equipment and interventions used to protect personnel who must work in environments with contaminated air. In Tanzania they are ONLY used when providing care to infectious MDR-TB and XDR-TB patients or people suspected of having infectious smear positive MDR-TB or XDR-TB. </w:t>
      </w:r>
    </w:p>
    <w:p w:rsidR="0071027C" w:rsidRPr="00E67F8E" w:rsidRDefault="0071027C" w:rsidP="0071027C">
      <w:pPr>
        <w:spacing w:before="120" w:after="120" w:line="240" w:lineRule="auto"/>
        <w:jc w:val="both"/>
        <w:rPr>
          <w:rFonts w:ascii="Arial" w:hAnsi="Arial" w:cs="Arial"/>
          <w:b/>
        </w:rPr>
      </w:pPr>
      <w:r w:rsidRPr="00E67F8E">
        <w:rPr>
          <w:rFonts w:ascii="Arial" w:hAnsi="Arial" w:cs="Arial"/>
          <w:lang w:eastAsia="en-GB"/>
        </w:rPr>
        <w:t xml:space="preserve">The primary way to prevent transmission of TB to health workers and others at the health facility is for TB patients to take their drugs regularly. By doing so, they will become non-infectious in a week or two. Proper ventilation of the place where treatment is provided is also very important. </w:t>
      </w:r>
    </w:p>
    <w:p w:rsidR="0071027C" w:rsidRPr="00E67F8E" w:rsidRDefault="0071027C" w:rsidP="0071027C">
      <w:pPr>
        <w:autoSpaceDE w:val="0"/>
        <w:autoSpaceDN w:val="0"/>
        <w:adjustRightInd w:val="0"/>
        <w:spacing w:before="120" w:after="120" w:line="240" w:lineRule="auto"/>
        <w:jc w:val="both"/>
        <w:rPr>
          <w:rFonts w:ascii="Arial" w:hAnsi="Arial" w:cs="Arial"/>
          <w:b/>
          <w:lang w:eastAsia="en-GB"/>
        </w:rPr>
      </w:pPr>
      <w:r w:rsidRPr="00E67F8E">
        <w:rPr>
          <w:rFonts w:ascii="Arial" w:hAnsi="Arial" w:cs="Arial"/>
          <w:b/>
          <w:lang w:eastAsia="en-GB"/>
        </w:rPr>
        <w:t>In addition:</w:t>
      </w:r>
    </w:p>
    <w:p w:rsidR="0071027C" w:rsidRPr="00E67F8E" w:rsidRDefault="0071027C" w:rsidP="00274941">
      <w:pPr>
        <w:widowControl/>
        <w:numPr>
          <w:ilvl w:val="0"/>
          <w:numId w:val="91"/>
        </w:numPr>
        <w:autoSpaceDE w:val="0"/>
        <w:autoSpaceDN w:val="0"/>
        <w:adjustRightInd w:val="0"/>
        <w:spacing w:after="0" w:line="240" w:lineRule="auto"/>
        <w:jc w:val="both"/>
        <w:rPr>
          <w:rFonts w:ascii="Arial" w:hAnsi="Arial" w:cs="Arial"/>
          <w:lang w:eastAsia="en-GB"/>
        </w:rPr>
      </w:pPr>
      <w:r w:rsidRPr="00E67F8E">
        <w:rPr>
          <w:rFonts w:ascii="Arial" w:hAnsi="Arial" w:cs="Arial"/>
          <w:lang w:eastAsia="en-GB"/>
        </w:rPr>
        <w:t>All health care workers should be made aware of the increased risk of developing TB when they are HIV positive.</w:t>
      </w:r>
    </w:p>
    <w:p w:rsidR="0071027C" w:rsidRPr="00E67F8E" w:rsidRDefault="0071027C" w:rsidP="00274941">
      <w:pPr>
        <w:widowControl/>
        <w:numPr>
          <w:ilvl w:val="0"/>
          <w:numId w:val="91"/>
        </w:numPr>
        <w:autoSpaceDE w:val="0"/>
        <w:autoSpaceDN w:val="0"/>
        <w:adjustRightInd w:val="0"/>
        <w:spacing w:after="0" w:line="240" w:lineRule="auto"/>
        <w:jc w:val="both"/>
        <w:rPr>
          <w:rFonts w:ascii="Arial" w:hAnsi="Arial" w:cs="Arial"/>
          <w:lang w:eastAsia="en-GB"/>
        </w:rPr>
      </w:pPr>
      <w:r w:rsidRPr="00E67F8E">
        <w:rPr>
          <w:rFonts w:ascii="Arial" w:hAnsi="Arial" w:cs="Arial"/>
          <w:lang w:eastAsia="en-GB"/>
        </w:rPr>
        <w:t>Those working in hospital departments where TB patients are admitted should be advised to have an HIV test. If they test positive, they should avoid contact with presumptive TB and TB patients.</w:t>
      </w:r>
    </w:p>
    <w:p w:rsidR="0071027C" w:rsidRPr="00427740" w:rsidRDefault="0071027C" w:rsidP="00274941">
      <w:pPr>
        <w:widowControl/>
        <w:numPr>
          <w:ilvl w:val="0"/>
          <w:numId w:val="91"/>
        </w:numPr>
        <w:autoSpaceDE w:val="0"/>
        <w:autoSpaceDN w:val="0"/>
        <w:adjustRightInd w:val="0"/>
        <w:spacing w:after="0" w:line="240" w:lineRule="auto"/>
        <w:jc w:val="both"/>
        <w:rPr>
          <w:rFonts w:ascii="Arial" w:hAnsi="Arial" w:cs="Arial"/>
          <w:lang w:eastAsia="en-GB"/>
        </w:rPr>
      </w:pPr>
      <w:r w:rsidRPr="00E67F8E">
        <w:rPr>
          <w:rFonts w:ascii="Arial" w:hAnsi="Arial" w:cs="Arial"/>
          <w:lang w:eastAsia="en-GB"/>
        </w:rPr>
        <w:t>Normal masks do not protect medical staff against inhaling infected droplets and are therefore not recommended as a preventive measure for health staff.</w:t>
      </w:r>
    </w:p>
    <w:p w:rsidR="0071027C" w:rsidRPr="00427740" w:rsidRDefault="0071027C" w:rsidP="0071027C">
      <w:pPr>
        <w:pStyle w:val="Heading2"/>
        <w:spacing w:before="120" w:after="120" w:line="240" w:lineRule="auto"/>
        <w:rPr>
          <w:szCs w:val="24"/>
        </w:rPr>
      </w:pPr>
      <w:bookmarkStart w:id="873" w:name="_Toc375050288"/>
      <w:bookmarkStart w:id="874" w:name="_Toc376606945"/>
      <w:bookmarkStart w:id="875" w:name="_Toc376771956"/>
      <w:bookmarkStart w:id="876" w:name="_Toc378258254"/>
      <w:bookmarkStart w:id="877" w:name="_Toc382214112"/>
      <w:bookmarkStart w:id="878" w:name="_Toc129935046"/>
      <w:bookmarkStart w:id="879" w:name="_Toc129936402"/>
      <w:bookmarkEnd w:id="807"/>
      <w:bookmarkEnd w:id="808"/>
      <w:r w:rsidRPr="00427740">
        <w:rPr>
          <w:szCs w:val="24"/>
        </w:rPr>
        <w:t>10.4 HIV-related TB in Children</w:t>
      </w:r>
      <w:bookmarkEnd w:id="873"/>
      <w:bookmarkEnd w:id="874"/>
      <w:bookmarkEnd w:id="875"/>
      <w:bookmarkEnd w:id="876"/>
      <w:bookmarkEnd w:id="877"/>
    </w:p>
    <w:p w:rsidR="0071027C" w:rsidRPr="00E67F8E" w:rsidRDefault="0071027C" w:rsidP="0071027C">
      <w:pPr>
        <w:spacing w:before="120" w:after="120" w:line="240" w:lineRule="auto"/>
        <w:jc w:val="both"/>
        <w:rPr>
          <w:rFonts w:ascii="Arial" w:hAnsi="Arial" w:cs="Arial"/>
        </w:rPr>
      </w:pPr>
      <w:r w:rsidRPr="00E67F8E">
        <w:rPr>
          <w:rFonts w:ascii="Arial" w:hAnsi="Arial" w:cs="Arial"/>
        </w:rPr>
        <w:t xml:space="preserve">The natural history of TB in a child infected with HIV is similar to that of an adult as it depends on the stage of HIV disease, nutritional status and exposure to TB infection. During early stages of HIV infection when immunity is good, the signs of TB are similar to those in a child without HIV infection. As HIV infection progresses and immunity declines, dissemination of TB becomes more common and tuberculosis meningitis, miliary TB, and widespread tuberculosis lymphadenopathy occur.  </w:t>
      </w:r>
    </w:p>
    <w:p w:rsidR="0071027C" w:rsidRPr="00427740" w:rsidRDefault="0071027C" w:rsidP="0071027C">
      <w:pPr>
        <w:pStyle w:val="Heading3"/>
        <w:rPr>
          <w:szCs w:val="24"/>
        </w:rPr>
      </w:pPr>
      <w:bookmarkStart w:id="880" w:name="_Toc376771957"/>
      <w:bookmarkStart w:id="881" w:name="_Toc378258255"/>
      <w:bookmarkStart w:id="882" w:name="_Toc382214113"/>
      <w:r w:rsidRPr="00427740">
        <w:rPr>
          <w:szCs w:val="24"/>
        </w:rPr>
        <w:t>10.4.1 The Diagnosis of Tuberculosis in Children</w:t>
      </w:r>
      <w:bookmarkEnd w:id="880"/>
      <w:bookmarkEnd w:id="881"/>
      <w:bookmarkEnd w:id="882"/>
    </w:p>
    <w:p w:rsidR="0071027C" w:rsidRPr="00E67F8E" w:rsidRDefault="0071027C" w:rsidP="0071027C">
      <w:pPr>
        <w:autoSpaceDE w:val="0"/>
        <w:autoSpaceDN w:val="0"/>
        <w:adjustRightInd w:val="0"/>
        <w:spacing w:before="120" w:after="120" w:line="240" w:lineRule="auto"/>
        <w:jc w:val="both"/>
        <w:rPr>
          <w:rFonts w:ascii="Arial" w:hAnsi="Arial" w:cs="Arial"/>
        </w:rPr>
      </w:pPr>
      <w:r w:rsidRPr="00E67F8E">
        <w:rPr>
          <w:rFonts w:ascii="Arial" w:hAnsi="Arial" w:cs="Arial"/>
        </w:rPr>
        <w:t xml:space="preserve">The diagnosis of TB in children can be very difficult due to the wide range of symptoms. Sputum cannot often be obtained from children and is often negative even on culture. Symptoms in children are atypical. The diagnosis should therefore be based on at least one of the following: clinical findings especially when there is failure to thrive or weight loss; family history of TB contact; X-ray examination; tuberculin testing; culture results; and non-response to broad spectrum antibiotic treatment. A score chart can help to reach the diagnosis of tuberculosis. Older children who are able to cough up sputum should go through the same assessment as adults using smear microscopy as the “gold standard”. </w:t>
      </w:r>
    </w:p>
    <w:p w:rsidR="0071027C" w:rsidRPr="00427740" w:rsidRDefault="0071027C" w:rsidP="0071027C">
      <w:pPr>
        <w:pStyle w:val="Heading3"/>
        <w:rPr>
          <w:szCs w:val="24"/>
        </w:rPr>
      </w:pPr>
      <w:bookmarkStart w:id="883" w:name="_Toc376771958"/>
      <w:bookmarkStart w:id="884" w:name="_Toc378258256"/>
      <w:bookmarkStart w:id="885" w:name="_Toc382214114"/>
      <w:r w:rsidRPr="00427740">
        <w:rPr>
          <w:szCs w:val="24"/>
        </w:rPr>
        <w:t>10.4.2 Treatment of TB in children</w:t>
      </w:r>
      <w:bookmarkEnd w:id="883"/>
      <w:bookmarkEnd w:id="884"/>
      <w:bookmarkEnd w:id="885"/>
    </w:p>
    <w:p w:rsidR="0071027C" w:rsidRPr="00E67F8E" w:rsidRDefault="0071027C" w:rsidP="0071027C">
      <w:pPr>
        <w:autoSpaceDE w:val="0"/>
        <w:autoSpaceDN w:val="0"/>
        <w:adjustRightInd w:val="0"/>
        <w:spacing w:before="120" w:after="120" w:line="240" w:lineRule="auto"/>
        <w:jc w:val="both"/>
        <w:rPr>
          <w:rFonts w:ascii="Arial" w:hAnsi="Arial" w:cs="Arial"/>
        </w:rPr>
      </w:pPr>
      <w:r w:rsidRPr="00E67F8E">
        <w:rPr>
          <w:rFonts w:ascii="Arial" w:hAnsi="Arial" w:cs="Arial"/>
        </w:rPr>
        <w:t>In principle, TB treatment in children does not differ from that in adults. TB cases in children are usually sputum smear negative or extra-pulmonary and thus fall into category III</w:t>
      </w:r>
      <w:r w:rsidRPr="00E67F8E">
        <w:rPr>
          <w:rFonts w:ascii="Arial" w:hAnsi="Arial" w:cs="Arial"/>
          <w:b/>
        </w:rPr>
        <w:t>.</w:t>
      </w:r>
      <w:r w:rsidRPr="00E67F8E">
        <w:rPr>
          <w:rFonts w:ascii="Arial" w:hAnsi="Arial" w:cs="Arial"/>
        </w:rPr>
        <w:t xml:space="preserve"> In most cases smear is not done due to difficulties of sputum collection in children, severe forms of TB such as meningitis, miliary TB or TB of the spine should be defined as category I. Treatment can be provided with adult formulation following the dose-body weight relationship presented in tables 4 and 5. </w:t>
      </w:r>
      <w:r w:rsidRPr="00E67F8E">
        <w:rPr>
          <w:rFonts w:ascii="Arial" w:hAnsi="Arial" w:cs="Arial"/>
          <w:highlight w:val="yellow"/>
        </w:rPr>
        <w:t>(Put tables in annex – check 2008-12 HIV guidelines)</w:t>
      </w:r>
      <w:r w:rsidRPr="00E67F8E">
        <w:rPr>
          <w:rFonts w:ascii="Arial" w:hAnsi="Arial" w:cs="Arial"/>
        </w:rPr>
        <w:t xml:space="preserve"> </w:t>
      </w:r>
    </w:p>
    <w:p w:rsidR="0071027C" w:rsidRPr="00E67F8E" w:rsidRDefault="0071027C" w:rsidP="0071027C">
      <w:pPr>
        <w:autoSpaceDE w:val="0"/>
        <w:autoSpaceDN w:val="0"/>
        <w:adjustRightInd w:val="0"/>
        <w:spacing w:before="120" w:after="120" w:line="240" w:lineRule="auto"/>
        <w:jc w:val="both"/>
        <w:rPr>
          <w:rFonts w:ascii="Arial" w:hAnsi="Arial" w:cs="Arial"/>
        </w:rPr>
      </w:pPr>
      <w:r w:rsidRPr="00E67F8E">
        <w:rPr>
          <w:rFonts w:ascii="Arial" w:hAnsi="Arial" w:cs="Arial"/>
        </w:rPr>
        <w:t xml:space="preserve">For children with severe forms of TB, Ethambutol is recommended at a dose of 15 mg/kg (2RHZE/4RH).  The feared side effect of retro-bulbar neuritis is rarely seen in children taking higher dosages exceeding 20 mg/kg for a long period of time. Nevertheless, if there is any doubt, an alternative regimen (2RHZ/4RH) for young children can be applied. </w:t>
      </w:r>
    </w:p>
    <w:p w:rsidR="0071027C" w:rsidRPr="00E67F8E" w:rsidRDefault="0071027C" w:rsidP="0071027C">
      <w:pPr>
        <w:spacing w:before="120" w:after="120" w:line="240" w:lineRule="auto"/>
        <w:jc w:val="both"/>
        <w:rPr>
          <w:rFonts w:ascii="Arial" w:hAnsi="Arial" w:cs="Arial"/>
        </w:rPr>
      </w:pPr>
      <w:r w:rsidRPr="00E67F8E">
        <w:rPr>
          <w:rFonts w:ascii="Arial" w:hAnsi="Arial" w:cs="Arial"/>
          <w:b/>
        </w:rPr>
        <w:t>For HIV infected infants and children younger than three years old:</w:t>
      </w:r>
    </w:p>
    <w:p w:rsidR="0071027C" w:rsidRPr="00E67F8E" w:rsidRDefault="0071027C" w:rsidP="0071027C">
      <w:pPr>
        <w:spacing w:before="120" w:after="120" w:line="240" w:lineRule="auto"/>
        <w:jc w:val="both"/>
        <w:rPr>
          <w:rFonts w:ascii="Arial" w:hAnsi="Arial" w:cs="Arial"/>
        </w:rPr>
      </w:pPr>
      <w:r w:rsidRPr="00E67F8E">
        <w:rPr>
          <w:rFonts w:ascii="Arial" w:hAnsi="Arial" w:cs="Arial"/>
        </w:rPr>
        <w:t>ABC + 3TC + AZT is recommended regimen as an option for children who develop TB while on an ART regimen containing NVP or LPV/r. Once TB therapy has been completed, this regimen should be stopped and the initial regimen should be restarted.</w:t>
      </w:r>
    </w:p>
    <w:p w:rsidR="0071027C" w:rsidRPr="00E67F8E" w:rsidRDefault="0071027C" w:rsidP="0071027C">
      <w:pPr>
        <w:spacing w:before="120" w:after="120" w:line="240" w:lineRule="auto"/>
        <w:jc w:val="both"/>
        <w:rPr>
          <w:rFonts w:ascii="Arial" w:hAnsi="Arial" w:cs="Arial"/>
        </w:rPr>
      </w:pPr>
      <w:r w:rsidRPr="00E67F8E">
        <w:rPr>
          <w:rFonts w:ascii="Arial" w:hAnsi="Arial" w:cs="Arial"/>
        </w:rPr>
        <w:t>Add info on the use of 3 NRRTIs at a goal, not using Kaletra and Nevirapin</w:t>
      </w:r>
    </w:p>
    <w:p w:rsidR="0071027C" w:rsidRPr="00427740" w:rsidRDefault="0071027C" w:rsidP="0071027C">
      <w:pPr>
        <w:pStyle w:val="Heading3"/>
        <w:rPr>
          <w:szCs w:val="24"/>
        </w:rPr>
      </w:pPr>
      <w:bookmarkStart w:id="886" w:name="_Toc376771959"/>
      <w:bookmarkStart w:id="887" w:name="_Toc378258257"/>
      <w:bookmarkStart w:id="888" w:name="_Toc382214115"/>
      <w:r w:rsidRPr="00427740">
        <w:rPr>
          <w:szCs w:val="24"/>
        </w:rPr>
        <w:t>10.4.3 BCG vaccination</w:t>
      </w:r>
      <w:bookmarkEnd w:id="886"/>
      <w:bookmarkEnd w:id="887"/>
      <w:bookmarkEnd w:id="888"/>
    </w:p>
    <w:p w:rsidR="0071027C" w:rsidRPr="00E67F8E" w:rsidRDefault="0071027C" w:rsidP="0071027C">
      <w:pPr>
        <w:autoSpaceDE w:val="0"/>
        <w:autoSpaceDN w:val="0"/>
        <w:adjustRightInd w:val="0"/>
        <w:spacing w:before="120" w:after="120" w:line="240" w:lineRule="auto"/>
        <w:jc w:val="both"/>
        <w:rPr>
          <w:rFonts w:ascii="Arial" w:hAnsi="Arial" w:cs="Arial"/>
        </w:rPr>
      </w:pPr>
      <w:r w:rsidRPr="00E67F8E">
        <w:rPr>
          <w:rFonts w:ascii="Arial" w:hAnsi="Arial" w:cs="Arial"/>
        </w:rPr>
        <w:t xml:space="preserve">BCG (Bacille Calmette-Guerin) is a live attenuated vaccine derived from </w:t>
      </w:r>
      <w:r w:rsidRPr="00E67F8E">
        <w:rPr>
          <w:rFonts w:ascii="Arial" w:hAnsi="Arial" w:cs="Arial"/>
          <w:i/>
          <w:iCs/>
        </w:rPr>
        <w:t>M. bovis</w:t>
      </w:r>
      <w:r w:rsidRPr="00E67F8E">
        <w:rPr>
          <w:rFonts w:ascii="Arial" w:hAnsi="Arial" w:cs="Arial"/>
        </w:rPr>
        <w:t>. In Tanzania, the BCG vaccination is included in the Expanded Programme of Immunization (EPI). The vaccine is given intra-dermally in the upper part of the right arm at a dose of 0.05 ml to all neonates shortly after birth. The dose increases to 0.1 ml if the vaccine is given to children older than one year.</w:t>
      </w:r>
    </w:p>
    <w:p w:rsidR="0071027C" w:rsidRPr="00E67F8E" w:rsidRDefault="0071027C" w:rsidP="0071027C">
      <w:pPr>
        <w:autoSpaceDE w:val="0"/>
        <w:autoSpaceDN w:val="0"/>
        <w:adjustRightInd w:val="0"/>
        <w:spacing w:before="120" w:after="120" w:line="240" w:lineRule="auto"/>
        <w:jc w:val="both"/>
        <w:rPr>
          <w:rFonts w:ascii="Arial" w:hAnsi="Arial" w:cs="Arial"/>
        </w:rPr>
      </w:pPr>
      <w:r w:rsidRPr="00E67F8E">
        <w:rPr>
          <w:rFonts w:ascii="Arial" w:hAnsi="Arial" w:cs="Arial"/>
        </w:rPr>
        <w:t>BCG protects young children against disseminated and severe forms of tuberculosis, e.g. TB meningitis and miliary TB. BCG protection may last up to the first fifteen years of life and has no protection against the development of TB in adults. However, it gives some protection against the development of leprosy.</w:t>
      </w:r>
    </w:p>
    <w:p w:rsidR="0071027C" w:rsidRPr="00E67F8E" w:rsidRDefault="0071027C" w:rsidP="0071027C">
      <w:pPr>
        <w:spacing w:before="120" w:after="120" w:line="240" w:lineRule="auto"/>
        <w:jc w:val="both"/>
        <w:rPr>
          <w:rFonts w:ascii="Arial" w:hAnsi="Arial" w:cs="Arial"/>
        </w:rPr>
      </w:pPr>
      <w:r w:rsidRPr="00E67F8E">
        <w:rPr>
          <w:rFonts w:ascii="Arial" w:hAnsi="Arial" w:cs="Arial"/>
        </w:rPr>
        <w:t xml:space="preserve">In HIV positive neonates, BCG rarely causes disseminated infection of </w:t>
      </w:r>
      <w:r w:rsidRPr="00E67F8E">
        <w:rPr>
          <w:rFonts w:ascii="Arial" w:hAnsi="Arial" w:cs="Arial"/>
          <w:i/>
          <w:iCs/>
        </w:rPr>
        <w:t xml:space="preserve">M. bovis </w:t>
      </w:r>
      <w:r w:rsidRPr="00E67F8E">
        <w:rPr>
          <w:rFonts w:ascii="Arial" w:hAnsi="Arial" w:cs="Arial"/>
        </w:rPr>
        <w:t>and if it occurs it should be treated with 2{RH} E/4RH. The WHO recommends that in countries with a high prevalence of tuberculosis like Tanzania, BCG should be given to all neonates immediately after birth, regardless of HIV status. The possible benefits of BCG outweigh the possible disadvantages. However, BCG should not be given to children who present with clear signs and symptoms of HIV-disease or AIDS.</w:t>
      </w:r>
      <w:bookmarkEnd w:id="809"/>
      <w:bookmarkEnd w:id="878"/>
      <w:bookmarkEnd w:id="879"/>
      <w:r w:rsidRPr="00E67F8E">
        <w:rPr>
          <w:rFonts w:ascii="Arial" w:hAnsi="Arial" w:cs="Arial"/>
        </w:rPr>
        <w:t xml:space="preserve"> </w:t>
      </w:r>
    </w:p>
    <w:p w:rsidR="0071027C" w:rsidRDefault="0071027C"/>
    <w:p w:rsidR="0071027C" w:rsidRPr="00EC6507" w:rsidRDefault="0071027C" w:rsidP="0071027C">
      <w:pPr>
        <w:pStyle w:val="Heading1"/>
        <w:rPr>
          <w:rFonts w:ascii="Cambria" w:eastAsia="Times New Roman" w:hAnsi="Cambria" w:cs="Times New Roman"/>
          <w:color w:val="365F91"/>
        </w:rPr>
      </w:pPr>
      <w:bookmarkStart w:id="889" w:name="_Toc378258258"/>
      <w:bookmarkStart w:id="890" w:name="_Toc382214116"/>
      <w:r w:rsidRPr="00EC6507">
        <w:rPr>
          <w:rFonts w:ascii="Cambria" w:eastAsia="Times New Roman" w:hAnsi="Cambria" w:cs="Times New Roman"/>
          <w:color w:val="365F91"/>
        </w:rPr>
        <w:t>CHAPTER 11: ADHERENCE TO ART AND RETENTION ACROSS THE CONTINUUM OF CARE</w:t>
      </w:r>
      <w:bookmarkEnd w:id="889"/>
      <w:bookmarkEnd w:id="890"/>
    </w:p>
    <w:p w:rsidR="0071027C" w:rsidRPr="00D544B8" w:rsidRDefault="0071027C" w:rsidP="0071027C">
      <w:pPr>
        <w:pStyle w:val="Heading2"/>
        <w:rPr>
          <w:rFonts w:ascii="Cambria" w:eastAsia="Times New Roman" w:hAnsi="Cambria" w:cs="Times New Roman"/>
          <w:color w:val="4F81BD"/>
          <w:szCs w:val="24"/>
        </w:rPr>
      </w:pPr>
      <w:bookmarkStart w:id="891" w:name="_Toc374512199"/>
      <w:bookmarkStart w:id="892" w:name="_Toc378258259"/>
      <w:bookmarkStart w:id="893" w:name="_Toc382214117"/>
      <w:r w:rsidRPr="00D544B8">
        <w:rPr>
          <w:rFonts w:ascii="Cambria" w:eastAsia="Times New Roman" w:hAnsi="Cambria" w:cs="Times New Roman"/>
          <w:color w:val="4F81BD"/>
          <w:szCs w:val="24"/>
        </w:rPr>
        <w:t>11.1 Introduction</w:t>
      </w:r>
      <w:bookmarkEnd w:id="891"/>
      <w:bookmarkEnd w:id="892"/>
      <w:bookmarkEnd w:id="893"/>
    </w:p>
    <w:p w:rsidR="0071027C" w:rsidRPr="00561534" w:rsidRDefault="0071027C" w:rsidP="0071027C">
      <w:pPr>
        <w:spacing w:before="120" w:after="120" w:line="240" w:lineRule="auto"/>
        <w:jc w:val="both"/>
        <w:rPr>
          <w:rFonts w:ascii="Arial" w:eastAsia="Calibri" w:hAnsi="Arial" w:cs="Arial"/>
        </w:rPr>
      </w:pPr>
      <w:r w:rsidRPr="00561534">
        <w:rPr>
          <w:rFonts w:ascii="Arial" w:eastAsia="Calibri" w:hAnsi="Arial" w:cs="Arial"/>
        </w:rPr>
        <w:t>Adherence to ART means  sticking firmly to treatment regimen by taking HIV medicines every day and exactly as agreed between health care provider, client and treatment supporter (in case of minors). Adherence has been correlated strongly with HIV viral suppression, reduced rates of resistance, an increase in survival, improved quality of life and prevent the spread of HIV to partners and offspring.</w:t>
      </w:r>
    </w:p>
    <w:p w:rsidR="0071027C" w:rsidRPr="00561534" w:rsidRDefault="0071027C" w:rsidP="0071027C">
      <w:pPr>
        <w:spacing w:before="120" w:after="120" w:line="240" w:lineRule="auto"/>
        <w:jc w:val="both"/>
        <w:rPr>
          <w:rFonts w:ascii="Arial" w:eastAsia="Calibri" w:hAnsi="Arial" w:cs="Arial"/>
        </w:rPr>
      </w:pPr>
      <w:r w:rsidRPr="00561534">
        <w:rPr>
          <w:rFonts w:ascii="Arial" w:eastAsia="Calibri" w:hAnsi="Arial" w:cs="Arial"/>
        </w:rPr>
        <w:t xml:space="preserve">Adherence to ART is an essential component of treatment success. Adherence rates of &gt;95% are needed to maximize the benefits of ART. Achieving such high rates over a long period of time is a challenge; therefore different approaches to improving adherence should be sought and tailored to the patient’s lifestyle through proper counseling and health education. </w:t>
      </w:r>
    </w:p>
    <w:p w:rsidR="0071027C" w:rsidRPr="00D544B8" w:rsidRDefault="0071027C" w:rsidP="0071027C">
      <w:pPr>
        <w:pStyle w:val="Heading3"/>
        <w:rPr>
          <w:rFonts w:ascii="Cambria" w:eastAsia="Times New Roman" w:hAnsi="Cambria" w:cs="Times New Roman"/>
          <w:color w:val="4F81BD"/>
          <w:szCs w:val="24"/>
        </w:rPr>
      </w:pPr>
      <w:bookmarkStart w:id="894" w:name="_Toc374512200"/>
      <w:bookmarkStart w:id="895" w:name="_Toc378258260"/>
      <w:bookmarkStart w:id="896" w:name="_Toc382214118"/>
      <w:r w:rsidRPr="00D544B8">
        <w:rPr>
          <w:rFonts w:ascii="Cambria" w:eastAsia="Times New Roman" w:hAnsi="Cambria" w:cs="Times New Roman"/>
          <w:color w:val="4F81BD"/>
          <w:szCs w:val="24"/>
        </w:rPr>
        <w:t>11.1.1 Factors that influence adherence</w:t>
      </w:r>
      <w:bookmarkEnd w:id="894"/>
      <w:bookmarkEnd w:id="895"/>
      <w:bookmarkEnd w:id="896"/>
    </w:p>
    <w:p w:rsidR="0071027C" w:rsidRPr="00561534" w:rsidRDefault="0071027C" w:rsidP="0071027C">
      <w:pPr>
        <w:spacing w:before="120" w:after="120" w:line="240" w:lineRule="auto"/>
        <w:jc w:val="both"/>
        <w:rPr>
          <w:rFonts w:ascii="Arial" w:eastAsia="Calibri" w:hAnsi="Arial" w:cs="Arial"/>
        </w:rPr>
      </w:pPr>
      <w:r w:rsidRPr="00561534">
        <w:rPr>
          <w:rFonts w:ascii="Arial" w:eastAsia="Calibri" w:hAnsi="Arial" w:cs="Arial"/>
        </w:rPr>
        <w:t>The following have been identified as predictors of good adherence to HIV medications:</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Availability of emotional and practical life support, including assigning treatment assistant at home</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Patients’ ability to fit the medications into their daily routine</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Patients’ understanding that poor adherence leads to resistance development and may limit future treatment options</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The recognition that taking all medication doses is important</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Patients feeling comfortable to take their medication in a variety of settings including in public</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Availability of a clinic capable of monitoring treatment</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Keeping clinic appointments</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Tolerability of ARVs.</w:t>
      </w:r>
    </w:p>
    <w:p w:rsidR="0071027C" w:rsidRPr="00D544B8" w:rsidRDefault="0071027C" w:rsidP="0071027C">
      <w:pPr>
        <w:pStyle w:val="Heading3"/>
        <w:rPr>
          <w:rFonts w:ascii="Cambria" w:eastAsia="Times New Roman" w:hAnsi="Cambria" w:cs="Times New Roman"/>
          <w:color w:val="4F81BD"/>
        </w:rPr>
      </w:pPr>
      <w:bookmarkStart w:id="897" w:name="_Toc374512201"/>
      <w:bookmarkStart w:id="898" w:name="_Toc378258261"/>
      <w:bookmarkStart w:id="899" w:name="_Toc382214119"/>
      <w:r w:rsidRPr="00D544B8">
        <w:rPr>
          <w:rFonts w:ascii="Cambria" w:eastAsia="Times New Roman" w:hAnsi="Cambria" w:cs="Times New Roman"/>
          <w:color w:val="4F81BD"/>
        </w:rPr>
        <w:t>11.1.2 Strategies that enhance adherence</w:t>
      </w:r>
      <w:bookmarkEnd w:id="897"/>
      <w:bookmarkEnd w:id="898"/>
      <w:bookmarkEnd w:id="899"/>
    </w:p>
    <w:p w:rsidR="0071027C" w:rsidRPr="00561534" w:rsidRDefault="0071027C" w:rsidP="0071027C">
      <w:pPr>
        <w:spacing w:before="120" w:after="120" w:line="240" w:lineRule="auto"/>
        <w:jc w:val="both"/>
        <w:rPr>
          <w:rFonts w:ascii="Arial" w:eastAsia="Calibri" w:hAnsi="Arial" w:cs="Arial"/>
        </w:rPr>
      </w:pPr>
      <w:r w:rsidRPr="00561534">
        <w:rPr>
          <w:rFonts w:ascii="Arial" w:eastAsia="Calibri" w:hAnsi="Arial" w:cs="Arial"/>
        </w:rPr>
        <w:t>There are three main categories of strategies that those caring for HIV patients must be aware of in order to facilitate improvement and sustain adherence to treatment with ARVs. Below are the different strategies and their applicability:</w:t>
      </w:r>
    </w:p>
    <w:p w:rsidR="0071027C" w:rsidRPr="00561534" w:rsidRDefault="0071027C" w:rsidP="0071027C">
      <w:pPr>
        <w:spacing w:before="120" w:after="120" w:line="240" w:lineRule="auto"/>
        <w:jc w:val="both"/>
        <w:rPr>
          <w:rFonts w:ascii="Arial" w:eastAsia="Calibri" w:hAnsi="Arial" w:cs="Arial"/>
          <w:i/>
        </w:rPr>
      </w:pPr>
      <w:r w:rsidRPr="00561534">
        <w:rPr>
          <w:rFonts w:ascii="Arial" w:eastAsia="Calibri" w:hAnsi="Arial" w:cs="Arial"/>
          <w:i/>
        </w:rPr>
        <w:t>(i)</w:t>
      </w:r>
      <w:r w:rsidRPr="00561534">
        <w:rPr>
          <w:rFonts w:ascii="Arial" w:eastAsia="Calibri" w:hAnsi="Arial" w:cs="Arial"/>
          <w:i/>
        </w:rPr>
        <w:tab/>
        <w:t>Patient related strategies</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Disclosure of HIV status</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Health care workers should negotiate a treatment plan that the patient understands and to which he/she commits.</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A client’s “readiness” to be on life-long medication should be clearly established.</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Client must understand that the first line ART regimen has the best chance of long-term success.</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Family members should be recruited to become participants in the treatment plan.</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Couple/Family counseling. </w:t>
      </w:r>
    </w:p>
    <w:p w:rsidR="0071027C" w:rsidRPr="00561534" w:rsidRDefault="0071027C" w:rsidP="0071027C">
      <w:pPr>
        <w:spacing w:before="120" w:after="120" w:line="240" w:lineRule="auto"/>
        <w:jc w:val="both"/>
        <w:rPr>
          <w:rFonts w:ascii="Arial" w:eastAsia="Calibri" w:hAnsi="Arial" w:cs="Arial"/>
        </w:rPr>
      </w:pPr>
    </w:p>
    <w:p w:rsidR="0071027C" w:rsidRPr="00561534" w:rsidRDefault="0071027C" w:rsidP="0071027C">
      <w:pPr>
        <w:spacing w:before="120" w:after="120" w:line="240" w:lineRule="auto"/>
        <w:ind w:right="-389"/>
        <w:jc w:val="both"/>
        <w:rPr>
          <w:rFonts w:ascii="Arial" w:eastAsia="Calibri" w:hAnsi="Arial" w:cs="Arial"/>
          <w:i/>
        </w:rPr>
      </w:pPr>
      <w:r w:rsidRPr="00561534">
        <w:rPr>
          <w:rFonts w:ascii="Arial" w:eastAsia="Calibri" w:hAnsi="Arial" w:cs="Arial"/>
          <w:i/>
        </w:rPr>
        <w:t>(ii)</w:t>
      </w:r>
      <w:r w:rsidRPr="00561534">
        <w:rPr>
          <w:rFonts w:ascii="Arial" w:eastAsia="Calibri" w:hAnsi="Arial" w:cs="Arial"/>
          <w:i/>
        </w:rPr>
        <w:tab/>
        <w:t>Clinician and health team related strategies should include:</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Building a trusting relationship with patients</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Cultivating among health providers attitudes and behaviours that are supportive and non-judgmental to encourage patients to be honest about their adherence and challenges they face.</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Monitoring and encouraging adherence at every clinical encounter.</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Explaining possible side effects associated with treatment  initiation</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Linkages to community support.</w:t>
      </w:r>
    </w:p>
    <w:p w:rsidR="0071027C" w:rsidRPr="00561534" w:rsidRDefault="0071027C" w:rsidP="0071027C">
      <w:pPr>
        <w:spacing w:before="120" w:after="120" w:line="240" w:lineRule="auto"/>
        <w:jc w:val="both"/>
        <w:rPr>
          <w:rFonts w:ascii="Arial" w:eastAsia="Calibri" w:hAnsi="Arial" w:cs="Arial"/>
        </w:rPr>
      </w:pPr>
    </w:p>
    <w:p w:rsidR="0071027C" w:rsidRPr="00561534" w:rsidRDefault="0071027C" w:rsidP="0071027C">
      <w:pPr>
        <w:spacing w:before="120" w:after="120" w:line="240" w:lineRule="auto"/>
        <w:jc w:val="both"/>
        <w:rPr>
          <w:rFonts w:ascii="Arial" w:eastAsia="Calibri" w:hAnsi="Arial" w:cs="Arial"/>
          <w:i/>
        </w:rPr>
      </w:pPr>
      <w:r w:rsidRPr="00561534">
        <w:rPr>
          <w:rFonts w:ascii="Arial" w:eastAsia="Calibri" w:hAnsi="Arial" w:cs="Arial"/>
          <w:i/>
        </w:rPr>
        <w:t>(iii)</w:t>
      </w:r>
      <w:r w:rsidRPr="00561534">
        <w:rPr>
          <w:rFonts w:ascii="Arial" w:eastAsia="Calibri" w:hAnsi="Arial" w:cs="Arial"/>
          <w:i/>
        </w:rPr>
        <w:tab/>
        <w:t>Regimen-related strategies</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Regimens should be simplified by using  fixed drug combination  and reducing frequency of taking drugs</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Drug interactions and side effects should be minimized through rational drug selection.</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Differences between medication requirements (e.g. with food, without food, etc.) should be minimized</w:t>
      </w:r>
    </w:p>
    <w:p w:rsidR="0071027C" w:rsidRPr="00D544B8" w:rsidRDefault="0071027C" w:rsidP="0071027C">
      <w:pPr>
        <w:pStyle w:val="Heading2"/>
        <w:rPr>
          <w:rFonts w:ascii="Cambria" w:eastAsia="Times New Roman" w:hAnsi="Cambria" w:cs="Times New Roman"/>
          <w:color w:val="4F81BD"/>
          <w:szCs w:val="24"/>
        </w:rPr>
      </w:pPr>
      <w:bookmarkStart w:id="900" w:name="_Toc374512202"/>
      <w:bookmarkStart w:id="901" w:name="_Toc378258262"/>
      <w:bookmarkStart w:id="902" w:name="_Toc382214120"/>
      <w:r w:rsidRPr="00D544B8">
        <w:rPr>
          <w:rFonts w:ascii="Cambria" w:eastAsia="Times New Roman" w:hAnsi="Cambria" w:cs="Times New Roman"/>
          <w:color w:val="4F81BD"/>
          <w:szCs w:val="24"/>
        </w:rPr>
        <w:t>11.2 Adherence Monitoring and Evaluation</w:t>
      </w:r>
      <w:bookmarkEnd w:id="900"/>
      <w:bookmarkEnd w:id="901"/>
      <w:bookmarkEnd w:id="902"/>
    </w:p>
    <w:p w:rsidR="0071027C" w:rsidRPr="00D544B8" w:rsidRDefault="0071027C" w:rsidP="0071027C">
      <w:pPr>
        <w:pStyle w:val="Heading3"/>
        <w:rPr>
          <w:rFonts w:ascii="Cambria" w:eastAsia="Times New Roman" w:hAnsi="Cambria" w:cs="Times New Roman"/>
          <w:color w:val="4F81BD"/>
          <w:szCs w:val="24"/>
        </w:rPr>
      </w:pPr>
      <w:bookmarkStart w:id="903" w:name="_Toc374512203"/>
      <w:bookmarkStart w:id="904" w:name="_Toc378258263"/>
      <w:bookmarkStart w:id="905" w:name="_Toc382214121"/>
      <w:r w:rsidRPr="00D544B8">
        <w:rPr>
          <w:rFonts w:ascii="Cambria" w:eastAsia="Times New Roman" w:hAnsi="Cambria" w:cs="Times New Roman"/>
          <w:color w:val="4F81BD"/>
          <w:szCs w:val="24"/>
        </w:rPr>
        <w:t>11.2.1 The role of the Care and treatment team</w:t>
      </w:r>
      <w:bookmarkEnd w:id="903"/>
      <w:bookmarkEnd w:id="904"/>
      <w:bookmarkEnd w:id="905"/>
    </w:p>
    <w:p w:rsidR="0071027C" w:rsidRPr="00561534" w:rsidRDefault="0071027C" w:rsidP="0071027C">
      <w:pPr>
        <w:pStyle w:val="PlainText"/>
        <w:spacing w:before="120" w:after="120"/>
        <w:jc w:val="both"/>
        <w:rPr>
          <w:rFonts w:ascii="Arial" w:hAnsi="Arial" w:cs="Arial"/>
          <w:sz w:val="22"/>
          <w:szCs w:val="22"/>
        </w:rPr>
      </w:pPr>
      <w:r w:rsidRPr="00561534">
        <w:rPr>
          <w:rFonts w:ascii="Arial" w:hAnsi="Arial" w:cs="Arial"/>
          <w:sz w:val="22"/>
          <w:szCs w:val="22"/>
        </w:rPr>
        <w:t xml:space="preserve">Optimal adherence requires full participation by the health care team as every client’s interaction represents an opportunity for reinforcement. It is also important to have close linkages between CTC based and home based care and support activities to ensure a strong client tracking system that will help to understand reasons for missed visits, loss to follow up for both clients on ARV drugs and those that are not yet eligible to start ARV drugs.  </w:t>
      </w:r>
    </w:p>
    <w:p w:rsidR="0071027C" w:rsidRPr="00561534" w:rsidRDefault="0071027C" w:rsidP="0071027C">
      <w:pPr>
        <w:pStyle w:val="PlainText"/>
        <w:spacing w:before="120" w:after="120"/>
        <w:jc w:val="both"/>
        <w:rPr>
          <w:rFonts w:ascii="Arial" w:hAnsi="Arial" w:cs="Arial"/>
          <w:sz w:val="22"/>
          <w:szCs w:val="22"/>
        </w:rPr>
      </w:pPr>
      <w:r w:rsidRPr="00561534">
        <w:rPr>
          <w:rFonts w:ascii="Arial" w:hAnsi="Arial" w:cs="Arial"/>
          <w:sz w:val="22"/>
          <w:szCs w:val="22"/>
        </w:rPr>
        <w:t xml:space="preserve">The following are important considerations for care and treatment team members: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All care and treatment team members shall provide ongoing adherence monitoring and timely response to adverse events or interim illnesses.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Adherence support must be intensified when some negative changes are noted,  realized by investigating new barriers, scheduling   frequent visits,  home care programs, enlisting the support of family/friends, reviewing teaching or increasing the frequency of home visits.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Health care providers should work in a multi disciplinary team approach to ensure all team members provide consistent messages related to adherence to clients and their adherence assistants.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Clients and/or treatment assistants or care providers reminded to come with their drug stocks at every visit.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Pharmacy staff should monitor adherence using self reporting.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Specific training regarding ART and adherence should be offered and updated periodically for all health care team members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There shall be  in place systems to adequately document indicators for levels of ARV drug adherence for individual clients as well as  using collected information to assess performance at site level</w:t>
      </w:r>
    </w:p>
    <w:p w:rsidR="0071027C" w:rsidRPr="00561534" w:rsidRDefault="0071027C" w:rsidP="0071027C">
      <w:pPr>
        <w:pStyle w:val="PlainText"/>
        <w:spacing w:before="120" w:after="120"/>
        <w:ind w:left="720"/>
        <w:jc w:val="both"/>
        <w:rPr>
          <w:rFonts w:ascii="Arial" w:hAnsi="Arial" w:cs="Arial"/>
          <w:sz w:val="22"/>
          <w:szCs w:val="22"/>
        </w:rPr>
      </w:pPr>
    </w:p>
    <w:p w:rsidR="0071027C" w:rsidRPr="00561534" w:rsidRDefault="0071027C" w:rsidP="0071027C">
      <w:pPr>
        <w:pStyle w:val="PlainText"/>
        <w:spacing w:before="120" w:after="120"/>
        <w:jc w:val="both"/>
        <w:rPr>
          <w:rFonts w:ascii="Arial" w:hAnsi="Arial" w:cs="Arial"/>
          <w:sz w:val="22"/>
          <w:szCs w:val="22"/>
        </w:rPr>
      </w:pPr>
      <w:r w:rsidRPr="00561534">
        <w:rPr>
          <w:rFonts w:ascii="Arial" w:hAnsi="Arial" w:cs="Arial"/>
          <w:sz w:val="22"/>
          <w:szCs w:val="22"/>
        </w:rPr>
        <w:t xml:space="preserve">Note: Client who takes &lt; 80% of their pill doses are unlikely to have any durable viral suppression and should be targeted urgently for adherence improvement, and 6 month follow up. </w:t>
      </w:r>
    </w:p>
    <w:p w:rsidR="0071027C" w:rsidRPr="00561534" w:rsidRDefault="0071027C" w:rsidP="0071027C">
      <w:pPr>
        <w:pStyle w:val="PlainText"/>
        <w:spacing w:before="120" w:after="120"/>
        <w:jc w:val="both"/>
        <w:rPr>
          <w:rFonts w:ascii="Arial" w:hAnsi="Arial" w:cs="Arial"/>
          <w:sz w:val="22"/>
          <w:szCs w:val="22"/>
        </w:rPr>
      </w:pPr>
    </w:p>
    <w:p w:rsidR="0071027C" w:rsidRPr="00561534" w:rsidRDefault="0071027C" w:rsidP="0071027C">
      <w:pPr>
        <w:pStyle w:val="PlainText"/>
        <w:spacing w:before="120" w:after="120"/>
        <w:jc w:val="both"/>
        <w:rPr>
          <w:rFonts w:ascii="Arial" w:hAnsi="Arial" w:cs="Arial"/>
          <w:b/>
          <w:sz w:val="22"/>
          <w:szCs w:val="22"/>
        </w:rPr>
      </w:pPr>
      <w:r w:rsidRPr="00561534">
        <w:rPr>
          <w:rFonts w:ascii="Arial" w:hAnsi="Arial" w:cs="Arial"/>
          <w:b/>
          <w:sz w:val="22"/>
          <w:szCs w:val="22"/>
        </w:rPr>
        <w:t xml:space="preserve">All health care team members should adhere to the following strategies: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Spend time and have multiple encounters to explain goals of therapy and need for adherence.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Consider monitoring of medications such as Cotrimoxazole or other surrogate medicines prior to ART initiation.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Negotiate a treatment plan that clients can understand</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Encourage disclosure to identified adherence assistant(s) among family or friends who can support the treatment plan.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Inform the client before hand of potential side effects including their severity, duration and coping mechanisms.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Establish “readiness” to take medications before ART initiation.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Encourage use of alarms, radio, treatment supporters, and family members to remind on the use of ART medication or other available mechanical aids for adherence.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Prevent adverse drug interactions by advising clients against over the counter drugs and traditional medicines.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Anticipate, monitor and treat side effects.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Include adherence discussions in support groups.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Develop links with community-based and home-based care organizations to support adherence. </w:t>
      </w:r>
    </w:p>
    <w:p w:rsidR="0071027C"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Encourage participation in peer adherence support groups. </w:t>
      </w:r>
    </w:p>
    <w:p w:rsidR="0071027C" w:rsidRPr="00561534" w:rsidRDefault="0071027C" w:rsidP="0071027C">
      <w:pPr>
        <w:widowControl/>
        <w:spacing w:after="0" w:line="240" w:lineRule="auto"/>
        <w:jc w:val="both"/>
        <w:rPr>
          <w:rFonts w:ascii="Arial" w:eastAsia="Calibri" w:hAnsi="Arial" w:cs="Arial"/>
        </w:rPr>
      </w:pPr>
    </w:p>
    <w:p w:rsidR="0071027C" w:rsidRPr="00D544B8" w:rsidRDefault="0071027C" w:rsidP="0071027C">
      <w:pPr>
        <w:pStyle w:val="Heading2"/>
        <w:rPr>
          <w:rFonts w:ascii="Cambria" w:eastAsia="Times New Roman" w:hAnsi="Cambria" w:cs="Times New Roman"/>
          <w:color w:val="4F81BD"/>
          <w:szCs w:val="24"/>
        </w:rPr>
      </w:pPr>
      <w:bookmarkStart w:id="906" w:name="_Toc374512204"/>
      <w:bookmarkStart w:id="907" w:name="_Toc378258264"/>
      <w:bookmarkStart w:id="908" w:name="_Toc382214122"/>
      <w:r w:rsidRPr="00D544B8">
        <w:rPr>
          <w:rFonts w:ascii="Cambria" w:eastAsia="Times New Roman" w:hAnsi="Cambria" w:cs="Times New Roman"/>
          <w:color w:val="4F81BD"/>
          <w:szCs w:val="24"/>
        </w:rPr>
        <w:t>11.3 ART Adherence Counselling</w:t>
      </w:r>
      <w:bookmarkEnd w:id="906"/>
      <w:bookmarkEnd w:id="907"/>
      <w:bookmarkEnd w:id="908"/>
    </w:p>
    <w:p w:rsidR="0071027C" w:rsidRPr="00561534" w:rsidRDefault="0071027C" w:rsidP="0071027C">
      <w:pPr>
        <w:pStyle w:val="PlainText"/>
        <w:spacing w:before="120" w:after="120"/>
        <w:jc w:val="both"/>
        <w:rPr>
          <w:rFonts w:ascii="Arial" w:hAnsi="Arial" w:cs="Arial"/>
          <w:sz w:val="22"/>
          <w:szCs w:val="22"/>
        </w:rPr>
      </w:pPr>
      <w:r w:rsidRPr="00561534">
        <w:rPr>
          <w:rFonts w:ascii="Arial" w:hAnsi="Arial" w:cs="Arial"/>
          <w:sz w:val="22"/>
          <w:szCs w:val="22"/>
        </w:rPr>
        <w:t xml:space="preserve">When clients test positive for HIV they are referred for care and treatment services. Due to the special characteristics of HIV and AIDS care and treatment, access to care and treatment services signifies the start of a life-long relationship between the client and the care and treatment staff. </w:t>
      </w:r>
    </w:p>
    <w:p w:rsidR="0071027C" w:rsidRPr="00561534" w:rsidRDefault="0071027C" w:rsidP="0071027C">
      <w:pPr>
        <w:pStyle w:val="PlainText"/>
        <w:spacing w:before="120" w:after="120"/>
        <w:jc w:val="both"/>
        <w:rPr>
          <w:rFonts w:ascii="Arial" w:hAnsi="Arial" w:cs="Arial"/>
          <w:sz w:val="22"/>
          <w:szCs w:val="22"/>
        </w:rPr>
      </w:pPr>
      <w:r w:rsidRPr="00561534">
        <w:rPr>
          <w:rFonts w:ascii="Arial" w:hAnsi="Arial" w:cs="Arial"/>
          <w:sz w:val="22"/>
          <w:szCs w:val="22"/>
        </w:rPr>
        <w:t xml:space="preserve">Depending on eligibility criteria, the provision of care and treatment services will involve lifelong ARV medication. It is important for client to strictly adhere to ARV medication.  </w:t>
      </w:r>
    </w:p>
    <w:p w:rsidR="0071027C" w:rsidRPr="00561534" w:rsidRDefault="0071027C" w:rsidP="0071027C">
      <w:pPr>
        <w:pStyle w:val="PlainText"/>
        <w:spacing w:before="120" w:after="120"/>
        <w:jc w:val="both"/>
        <w:rPr>
          <w:rFonts w:ascii="Arial" w:hAnsi="Arial" w:cs="Arial"/>
          <w:sz w:val="22"/>
          <w:szCs w:val="22"/>
        </w:rPr>
      </w:pPr>
      <w:r w:rsidRPr="00561534">
        <w:rPr>
          <w:rFonts w:ascii="Arial" w:hAnsi="Arial" w:cs="Arial"/>
          <w:sz w:val="22"/>
          <w:szCs w:val="22"/>
        </w:rPr>
        <w:t xml:space="preserve">Adherence to care is defined as a patient’s ability to follow a care and treatment plan in the long term, attend follow up appointments as scheduled, take medications at prescribed times and frequencies, recognize side effects, seek treatment and follow instructions regarding food and other medications, as well as avoid risk behaviors and practices such as drinking alcohol, having unprotected sex etc. </w:t>
      </w:r>
    </w:p>
    <w:p w:rsidR="0071027C" w:rsidRPr="00561534" w:rsidRDefault="0071027C" w:rsidP="0071027C">
      <w:pPr>
        <w:pStyle w:val="PlainText"/>
        <w:spacing w:before="120" w:after="120"/>
        <w:jc w:val="both"/>
        <w:rPr>
          <w:rFonts w:ascii="Arial" w:hAnsi="Arial" w:cs="Arial"/>
          <w:sz w:val="22"/>
          <w:szCs w:val="22"/>
        </w:rPr>
      </w:pPr>
      <w:r w:rsidRPr="00561534">
        <w:rPr>
          <w:rFonts w:ascii="Arial" w:hAnsi="Arial" w:cs="Arial"/>
          <w:sz w:val="22"/>
          <w:szCs w:val="22"/>
        </w:rPr>
        <w:t xml:space="preserve">Emphasis is on a strict need for 95% or greater adherence to prescribed ARV drugs, for life. There is also more emphasis on viral suppression rather than on curing AIDS. As such, attaining the required level of ARV drug adherence is important because viral suppression cannot be achieved when ARV drugs are not used as prescribed, and for life. This is because viral replication results in the rapid development of mutations of the virus which then becomes resistant to the ARV drug. The consequences of this include a lack of response to treatment by the client; transmission of a drug resistant HIV virus to the client’s (sexual) contacts and consequently, the presence of a larger number of people with drug resistant HIV in the community. The resulting programmatic implication of this is the loss of effectiveness of the first line regimen that will have wide public health implications for the entire country. Adherence is therefore a major requirement for successful care and treatment of HIV and AIDS. </w:t>
      </w:r>
    </w:p>
    <w:p w:rsidR="0071027C" w:rsidRPr="00D544B8" w:rsidRDefault="0071027C" w:rsidP="0071027C">
      <w:pPr>
        <w:pStyle w:val="Heading3"/>
        <w:rPr>
          <w:rFonts w:ascii="Cambria" w:eastAsia="Times New Roman" w:hAnsi="Cambria" w:cs="Times New Roman"/>
          <w:color w:val="4F81BD"/>
          <w:szCs w:val="24"/>
        </w:rPr>
      </w:pPr>
      <w:bookmarkStart w:id="909" w:name="_Toc374512205"/>
      <w:bookmarkStart w:id="910" w:name="_Toc378258265"/>
      <w:bookmarkStart w:id="911" w:name="_Toc382214123"/>
      <w:r w:rsidRPr="00D544B8">
        <w:rPr>
          <w:rFonts w:ascii="Cambria" w:eastAsia="Times New Roman" w:hAnsi="Cambria" w:cs="Times New Roman"/>
          <w:color w:val="4F81BD"/>
          <w:szCs w:val="24"/>
        </w:rPr>
        <w:t>11.3.1 First Visit</w:t>
      </w:r>
      <w:bookmarkEnd w:id="909"/>
      <w:bookmarkEnd w:id="910"/>
      <w:bookmarkEnd w:id="911"/>
    </w:p>
    <w:p w:rsidR="0071027C" w:rsidRPr="00561534" w:rsidRDefault="0071027C" w:rsidP="0071027C">
      <w:pPr>
        <w:pStyle w:val="PlainText"/>
        <w:spacing w:before="120" w:after="120"/>
        <w:jc w:val="both"/>
        <w:rPr>
          <w:rFonts w:ascii="Arial" w:hAnsi="Arial" w:cs="Arial"/>
          <w:sz w:val="22"/>
          <w:szCs w:val="22"/>
        </w:rPr>
      </w:pPr>
      <w:r w:rsidRPr="00561534">
        <w:rPr>
          <w:rFonts w:ascii="Arial" w:hAnsi="Arial" w:cs="Arial"/>
          <w:sz w:val="22"/>
          <w:szCs w:val="22"/>
        </w:rPr>
        <w:t xml:space="preserve">The client needs to be informed about what to expect when they visit the facility, including whom they will see and when, and if possible the average time they will spend at each visit. This will allow them to adequately prepare for clinic appointments. </w:t>
      </w:r>
    </w:p>
    <w:p w:rsidR="0071027C" w:rsidRPr="00561534" w:rsidRDefault="0071027C" w:rsidP="0071027C">
      <w:pPr>
        <w:pStyle w:val="PlainText"/>
        <w:spacing w:before="120" w:after="120"/>
        <w:jc w:val="both"/>
        <w:rPr>
          <w:rFonts w:ascii="Arial" w:hAnsi="Arial" w:cs="Arial"/>
          <w:sz w:val="22"/>
          <w:szCs w:val="22"/>
        </w:rPr>
      </w:pPr>
      <w:r w:rsidRPr="00561534">
        <w:rPr>
          <w:rFonts w:ascii="Arial" w:hAnsi="Arial" w:cs="Arial"/>
          <w:sz w:val="22"/>
          <w:szCs w:val="22"/>
        </w:rPr>
        <w:t xml:space="preserve">During these visits the triage nurse should review the CTC1 card with the client and ensure that the client’s information is filled out completely and accurately. </w:t>
      </w:r>
    </w:p>
    <w:p w:rsidR="0071027C" w:rsidRPr="00561534" w:rsidRDefault="0071027C" w:rsidP="0071027C">
      <w:pPr>
        <w:spacing w:before="120" w:after="120" w:line="240" w:lineRule="auto"/>
        <w:jc w:val="both"/>
        <w:rPr>
          <w:rFonts w:ascii="Arial" w:eastAsia="Calibri" w:hAnsi="Arial" w:cs="Arial"/>
        </w:rPr>
      </w:pPr>
      <w:r w:rsidRPr="00561534">
        <w:rPr>
          <w:rFonts w:ascii="Arial" w:eastAsia="Calibri" w:hAnsi="Arial" w:cs="Arial"/>
        </w:rPr>
        <w:t xml:space="preserve">Counseling for treatment adherence </w:t>
      </w:r>
    </w:p>
    <w:p w:rsidR="0071027C" w:rsidRPr="00561534" w:rsidRDefault="0071027C" w:rsidP="0071027C">
      <w:pPr>
        <w:pStyle w:val="PlainText"/>
        <w:spacing w:before="120" w:after="120"/>
        <w:jc w:val="both"/>
        <w:rPr>
          <w:rFonts w:ascii="Arial" w:hAnsi="Arial" w:cs="Arial"/>
          <w:sz w:val="22"/>
          <w:szCs w:val="22"/>
        </w:rPr>
      </w:pPr>
      <w:r w:rsidRPr="00561534">
        <w:rPr>
          <w:rFonts w:ascii="Arial" w:hAnsi="Arial" w:cs="Arial"/>
          <w:sz w:val="22"/>
          <w:szCs w:val="22"/>
        </w:rPr>
        <w:t xml:space="preserve">Formal treatment adherence support can be either clinic based or community home based. </w:t>
      </w:r>
    </w:p>
    <w:p w:rsidR="0071027C" w:rsidRPr="00561534" w:rsidRDefault="0071027C" w:rsidP="00274941">
      <w:pPr>
        <w:pStyle w:val="ListParagraph"/>
        <w:numPr>
          <w:ilvl w:val="0"/>
          <w:numId w:val="116"/>
        </w:numPr>
        <w:spacing w:before="120" w:after="120"/>
        <w:jc w:val="both"/>
        <w:rPr>
          <w:rFonts w:ascii="Arial" w:hAnsi="Arial" w:cs="Arial"/>
          <w:b/>
          <w:i/>
          <w:sz w:val="22"/>
          <w:szCs w:val="22"/>
        </w:rPr>
      </w:pPr>
      <w:r w:rsidRPr="00561534">
        <w:rPr>
          <w:rFonts w:ascii="Arial" w:hAnsi="Arial" w:cs="Arial"/>
          <w:b/>
          <w:i/>
          <w:sz w:val="22"/>
          <w:szCs w:val="22"/>
        </w:rPr>
        <w:t xml:space="preserve">Formal Clinic Adherence Support </w:t>
      </w:r>
    </w:p>
    <w:p w:rsidR="0071027C" w:rsidRPr="00561534" w:rsidRDefault="0071027C" w:rsidP="0071027C">
      <w:pPr>
        <w:pStyle w:val="PlainText"/>
        <w:spacing w:before="120" w:after="120"/>
        <w:jc w:val="both"/>
        <w:rPr>
          <w:rFonts w:ascii="Arial" w:hAnsi="Arial" w:cs="Arial"/>
          <w:sz w:val="22"/>
          <w:szCs w:val="22"/>
        </w:rPr>
      </w:pPr>
      <w:r w:rsidRPr="00561534">
        <w:rPr>
          <w:rFonts w:ascii="Arial" w:hAnsi="Arial" w:cs="Arial"/>
          <w:sz w:val="22"/>
          <w:szCs w:val="22"/>
        </w:rPr>
        <w:t xml:space="preserve">This kind of support entails: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The provision of consistent messages to client regarding ARV drug adherence. This is done by triage nurses, counselors, clinicians and pharmacy staff.</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Repeating messages regarding adherence at every clinic visit.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Working in partnership with clients to develop plans for using ARV drugs as prescribed that fit in their lifestyle and a system to monitor the implementation of these plans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Working with clients and their treatment assistants by supporting a process of disclosure and identifying a treatment assistant if one has not been identified. It should be noted that the presence of an identified treatment assistant is not a criteria for initiating ARV drugs. This means that clients with no treatment assistant who have been assessed and are ready to start should be provided access to ARV drugs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Learning from clients about the potential drug, clinical, environmental and individual barriers to adherence and using problem solving approaches either help clients to overcome the barriers or advocate for changes that will remove external barriers that are not under the client’s control.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Adherence monitoring systems at facility level using assessment of the level of adherence at every visit, (self report method is recommended) and objective evaluation of adherence such as unannounced pill counts. </w:t>
      </w:r>
    </w:p>
    <w:p w:rsidR="0071027C" w:rsidRPr="00561534" w:rsidRDefault="0071027C" w:rsidP="0071027C">
      <w:pPr>
        <w:pStyle w:val="PlainText"/>
        <w:spacing w:before="120" w:after="120"/>
        <w:ind w:left="720"/>
        <w:jc w:val="both"/>
        <w:rPr>
          <w:rFonts w:ascii="Arial" w:hAnsi="Arial" w:cs="Arial"/>
          <w:sz w:val="22"/>
          <w:szCs w:val="22"/>
        </w:rPr>
      </w:pPr>
    </w:p>
    <w:p w:rsidR="0071027C" w:rsidRPr="00561534" w:rsidRDefault="0071027C" w:rsidP="00274941">
      <w:pPr>
        <w:pStyle w:val="ListParagraph"/>
        <w:numPr>
          <w:ilvl w:val="0"/>
          <w:numId w:val="116"/>
        </w:numPr>
        <w:spacing w:before="120" w:after="120"/>
        <w:jc w:val="both"/>
        <w:rPr>
          <w:rFonts w:ascii="Arial" w:hAnsi="Arial" w:cs="Arial"/>
          <w:b/>
          <w:i/>
          <w:sz w:val="22"/>
          <w:szCs w:val="22"/>
        </w:rPr>
      </w:pPr>
      <w:r w:rsidRPr="00561534">
        <w:rPr>
          <w:rFonts w:ascii="Arial" w:hAnsi="Arial" w:cs="Arial"/>
          <w:b/>
          <w:i/>
          <w:sz w:val="22"/>
          <w:szCs w:val="22"/>
        </w:rPr>
        <w:t xml:space="preserve">Formal Community Home-based Support </w:t>
      </w:r>
    </w:p>
    <w:p w:rsidR="0071027C" w:rsidRPr="00561534" w:rsidRDefault="0071027C" w:rsidP="0071027C">
      <w:pPr>
        <w:pStyle w:val="PlainText"/>
        <w:spacing w:before="120" w:after="120"/>
        <w:jc w:val="both"/>
        <w:rPr>
          <w:rFonts w:ascii="Arial" w:hAnsi="Arial" w:cs="Arial"/>
          <w:sz w:val="22"/>
          <w:szCs w:val="22"/>
        </w:rPr>
      </w:pPr>
      <w:r w:rsidRPr="00561534">
        <w:rPr>
          <w:rFonts w:ascii="Arial" w:hAnsi="Arial" w:cs="Arial"/>
          <w:sz w:val="22"/>
          <w:szCs w:val="22"/>
        </w:rPr>
        <w:t xml:space="preserve">Formal community home based support requires: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The presence of an active home-based care programme.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Active linkages with community-based programmes for the care and support of persons living with HIV and AIDS. These services include referral to and from HIV and AIDS counseling and testing services, PMTCT services, mental health services, as well as psychosocial support services. This may be in the form of post test clubs, adherence support groups, legal aid, nutrition counseling and income generating support. </w:t>
      </w:r>
    </w:p>
    <w:p w:rsidR="0071027C" w:rsidRPr="00561534" w:rsidRDefault="0071027C" w:rsidP="0071027C">
      <w:pPr>
        <w:pStyle w:val="PlainText"/>
        <w:spacing w:before="120" w:after="120"/>
        <w:jc w:val="both"/>
        <w:rPr>
          <w:rFonts w:ascii="Arial" w:hAnsi="Arial" w:cs="Arial"/>
          <w:sz w:val="22"/>
          <w:szCs w:val="22"/>
        </w:rPr>
      </w:pPr>
    </w:p>
    <w:p w:rsidR="0071027C" w:rsidRPr="00561534" w:rsidRDefault="0071027C" w:rsidP="0071027C">
      <w:pPr>
        <w:pStyle w:val="PlainText"/>
        <w:spacing w:before="120" w:after="120"/>
        <w:jc w:val="both"/>
        <w:rPr>
          <w:rFonts w:ascii="Arial" w:hAnsi="Arial" w:cs="Arial"/>
          <w:sz w:val="22"/>
          <w:szCs w:val="22"/>
        </w:rPr>
      </w:pPr>
      <w:r w:rsidRPr="00561534">
        <w:rPr>
          <w:rFonts w:ascii="Arial" w:hAnsi="Arial" w:cs="Arial"/>
          <w:sz w:val="22"/>
          <w:szCs w:val="22"/>
        </w:rPr>
        <w:t xml:space="preserve">All CTC staff providing direct services to clients (clinicians/prescriber, nurses, counselors, pharmacy staff, phlebotomists, laboratory technicians, and home based care providers) should receive treatment adherence related training using approved national curricula. </w:t>
      </w:r>
    </w:p>
    <w:p w:rsidR="0071027C" w:rsidRPr="00561534" w:rsidRDefault="0071027C" w:rsidP="0071027C">
      <w:pPr>
        <w:pStyle w:val="PlainText"/>
        <w:spacing w:before="120" w:after="120"/>
        <w:jc w:val="both"/>
        <w:rPr>
          <w:rFonts w:ascii="Arial" w:hAnsi="Arial" w:cs="Arial"/>
          <w:sz w:val="22"/>
          <w:szCs w:val="22"/>
        </w:rPr>
      </w:pPr>
      <w:r w:rsidRPr="00561534">
        <w:rPr>
          <w:rFonts w:ascii="Arial" w:hAnsi="Arial" w:cs="Arial"/>
          <w:sz w:val="22"/>
          <w:szCs w:val="22"/>
        </w:rPr>
        <w:t xml:space="preserve">Specific guidance for adherence counselors organized to address issues that should be done at each of the visits prior to the initiation of ARV drugs and at each subsequent follow up visit are listed below;. </w:t>
      </w:r>
    </w:p>
    <w:p w:rsidR="0071027C" w:rsidRPr="00561534" w:rsidRDefault="0071027C" w:rsidP="0071027C">
      <w:pPr>
        <w:pStyle w:val="PlainText"/>
        <w:spacing w:before="120" w:after="120"/>
        <w:jc w:val="both"/>
        <w:rPr>
          <w:rFonts w:ascii="Arial" w:hAnsi="Arial" w:cs="Arial"/>
          <w:sz w:val="22"/>
          <w:szCs w:val="22"/>
        </w:rPr>
      </w:pPr>
    </w:p>
    <w:p w:rsidR="0071027C" w:rsidRPr="00561534" w:rsidRDefault="0071027C" w:rsidP="0071027C">
      <w:pPr>
        <w:pStyle w:val="PlainText"/>
        <w:spacing w:before="120" w:after="120"/>
        <w:jc w:val="both"/>
        <w:rPr>
          <w:rFonts w:ascii="Arial" w:hAnsi="Arial" w:cs="Arial"/>
          <w:sz w:val="22"/>
          <w:szCs w:val="22"/>
        </w:rPr>
      </w:pPr>
      <w:r w:rsidRPr="00561534">
        <w:rPr>
          <w:rFonts w:ascii="Arial" w:hAnsi="Arial" w:cs="Arial"/>
          <w:sz w:val="22"/>
          <w:szCs w:val="22"/>
        </w:rPr>
        <w:t xml:space="preserve">During the first visit the counselor should: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Review client’s basic knowledge on HIV infection and   development of AIDS and correction of misconceptions.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Review </w:t>
      </w:r>
      <w:r>
        <w:rPr>
          <w:rFonts w:ascii="Arial" w:eastAsia="Calibri" w:hAnsi="Arial" w:cs="Arial"/>
        </w:rPr>
        <w:t xml:space="preserve">if </w:t>
      </w:r>
      <w:r w:rsidRPr="00561534">
        <w:rPr>
          <w:rFonts w:ascii="Arial" w:eastAsia="Calibri" w:hAnsi="Arial" w:cs="Arial"/>
        </w:rPr>
        <w:t xml:space="preserve">client understands of how HIV is transmitted and how ARV drugs affect HIV transmission risk and provision of information where gaps in understanding are evident.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Provide information on the monitoring of the HIV disease with particular focus on the implication of CD4 lymphocyte counts and viral load levels, to make sure that these are well understood by the client. Adherence counseling aids/brochures should be used for demonstration.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Discuss ART as a lifelong treatment.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Provide information on the strictness of treatment adherence in ART while emphasizing that adherence to recommended treatment regimens should be greater than 95%.Review with client their previous adherence practices to medical recommendations and provide practical examples of what adherence greater than 95% would mean for the client.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Establish whether client has identified a treatment assistant; document such information in the counselling log book, and encouraging the client to attend his or her next clinic session with the identified treatment assistant.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Explore with client the advantages and disadvantages of sharing their test results; addressing barriers to disclosure and develop with the client a disclosure plan that should be documented for supportive follow up visits.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Discuss HIV transmission risks and helping the clients to assess their own risk and develop risk reduction strategies which should be documented for supportive follow up visits.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Discuss other aspects of the client’s lifestyle focusing on how this might influence current and continued lifelong use of ARV drugs.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Provide brief counseling interventions for clients that use alcohol.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Encourage clients to consider the viability of abstinence from alcohol and using a similar approach for other substances of abuse.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Provide time for questions from the client and responding accordingly. </w:t>
      </w:r>
    </w:p>
    <w:p w:rsidR="0071027C" w:rsidRPr="00561534" w:rsidRDefault="0071027C" w:rsidP="0071027C">
      <w:pPr>
        <w:pStyle w:val="PlainText"/>
        <w:spacing w:before="120" w:after="120"/>
        <w:jc w:val="both"/>
        <w:rPr>
          <w:rFonts w:ascii="Arial" w:hAnsi="Arial" w:cs="Arial"/>
          <w:sz w:val="22"/>
          <w:szCs w:val="22"/>
        </w:rPr>
      </w:pPr>
    </w:p>
    <w:p w:rsidR="0071027C" w:rsidRPr="00D544B8" w:rsidRDefault="0071027C" w:rsidP="0071027C">
      <w:pPr>
        <w:pStyle w:val="Heading3"/>
        <w:rPr>
          <w:rFonts w:ascii="Cambria" w:eastAsia="Times New Roman" w:hAnsi="Cambria" w:cs="Times New Roman"/>
          <w:color w:val="4F81BD"/>
          <w:szCs w:val="24"/>
        </w:rPr>
      </w:pPr>
      <w:bookmarkStart w:id="912" w:name="_Toc374512206"/>
      <w:bookmarkStart w:id="913" w:name="_Toc378258266"/>
      <w:bookmarkStart w:id="914" w:name="_Toc382214124"/>
      <w:r w:rsidRPr="00D544B8">
        <w:rPr>
          <w:rFonts w:ascii="Cambria" w:eastAsia="Times New Roman" w:hAnsi="Cambria" w:cs="Times New Roman"/>
          <w:color w:val="4F81BD"/>
          <w:szCs w:val="24"/>
        </w:rPr>
        <w:t>11.3.2 Second Visit</w:t>
      </w:r>
      <w:bookmarkEnd w:id="912"/>
      <w:bookmarkEnd w:id="913"/>
      <w:bookmarkEnd w:id="914"/>
    </w:p>
    <w:p w:rsidR="0071027C" w:rsidRPr="00561534" w:rsidRDefault="0071027C" w:rsidP="0071027C">
      <w:pPr>
        <w:pStyle w:val="PlainText"/>
        <w:spacing w:before="120" w:after="120"/>
        <w:jc w:val="both"/>
        <w:rPr>
          <w:rFonts w:ascii="Arial" w:hAnsi="Arial" w:cs="Arial"/>
          <w:sz w:val="22"/>
          <w:szCs w:val="22"/>
        </w:rPr>
      </w:pPr>
      <w:r w:rsidRPr="00561534">
        <w:rPr>
          <w:rFonts w:ascii="Arial" w:hAnsi="Arial" w:cs="Arial"/>
          <w:sz w:val="22"/>
          <w:szCs w:val="22"/>
        </w:rPr>
        <w:t xml:space="preserve">This adherence counseling session prepares the client for the assessment of readiness to start ART. This visit will also be a rapid start initiation visit for adult clients clinically assessed to be at WHO AIDS Stage 3 and 4 or who have a CD4 count &lt;350 cells/mm3 at baseline regardless of HIV clinical staging.. For rapid start clients follow the bulleted steps to complete preparedness and initiation of ARV drugs outlined at the end of this section. </w:t>
      </w:r>
    </w:p>
    <w:p w:rsidR="0071027C" w:rsidRPr="00561534" w:rsidRDefault="0071027C" w:rsidP="0071027C">
      <w:pPr>
        <w:pStyle w:val="PlainText"/>
        <w:spacing w:before="120" w:after="120"/>
        <w:jc w:val="both"/>
        <w:rPr>
          <w:rFonts w:ascii="Arial" w:hAnsi="Arial" w:cs="Arial"/>
          <w:sz w:val="22"/>
          <w:szCs w:val="22"/>
        </w:rPr>
      </w:pPr>
      <w:r w:rsidRPr="00561534">
        <w:rPr>
          <w:rFonts w:ascii="Arial" w:hAnsi="Arial" w:cs="Arial"/>
          <w:sz w:val="22"/>
          <w:szCs w:val="22"/>
        </w:rPr>
        <w:t xml:space="preserve">During the second visit, the adherence counselor should: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Review risk reduction and life style change plans and their implementation. Address barriers to implementation and help the client to revise their plan if necessary and document the process.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Assess the mood state of the client, document it and alert a physician if depression or anxiety disorder is suspected. Document and provide supportive counseling.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Review the client’s implementation of disclosure strategy and plans for the identification of a treatment assistant. If a client has not yet disc</w:t>
      </w:r>
      <w:r>
        <w:rPr>
          <w:rFonts w:ascii="Arial" w:eastAsia="Calibri" w:hAnsi="Arial" w:cs="Arial"/>
        </w:rPr>
        <w:t xml:space="preserve">losed his or her HIV serostatus, </w:t>
      </w:r>
      <w:r w:rsidRPr="00561534">
        <w:rPr>
          <w:rFonts w:ascii="Arial" w:eastAsia="Calibri" w:hAnsi="Arial" w:cs="Arial"/>
        </w:rPr>
        <w:t xml:space="preserve">identified a treatment assistant, review the plans and address barriers accordingly.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Review client’s knowledge on how ARV drugs work to prevent HIV transmission and correct misconceptions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Provide information on first line ARV drugs and their potential positive and negative effects, criteria used to initiate clients on ARVs; discuss that ARV drugs are lifelong treatment and not a cure for AIDS. Provide education on reasons for the need to take every dose as prescribed and counsel on medicine adherence; use pamphlets where available to illustrate the relationship between missing doses and the development of ARV drug resistance.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Work with the client to develop a treatment adherence plan that explores potential barriers and enablers of adherence to ART including potential solutions to identified barriers. For details see the NACP Adherence Toolkit, section 2.1,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Set enough time for questions from the client and respond accordingly. </w:t>
      </w:r>
    </w:p>
    <w:p w:rsidR="0071027C" w:rsidRPr="00561534" w:rsidRDefault="0071027C" w:rsidP="0071027C">
      <w:pPr>
        <w:pStyle w:val="Heading3"/>
        <w:spacing w:before="120" w:after="120" w:line="240" w:lineRule="auto"/>
        <w:jc w:val="both"/>
        <w:rPr>
          <w:rFonts w:ascii="Arial" w:eastAsia="Times New Roman" w:hAnsi="Arial" w:cs="Arial"/>
          <w:color w:val="4F81BD"/>
        </w:rPr>
      </w:pPr>
    </w:p>
    <w:p w:rsidR="0071027C" w:rsidRPr="00D544B8" w:rsidRDefault="0071027C" w:rsidP="0071027C">
      <w:pPr>
        <w:pStyle w:val="Heading3"/>
        <w:rPr>
          <w:rFonts w:ascii="Cambria" w:eastAsia="Times New Roman" w:hAnsi="Cambria" w:cs="Times New Roman"/>
          <w:color w:val="4F81BD"/>
          <w:szCs w:val="24"/>
        </w:rPr>
      </w:pPr>
      <w:bookmarkStart w:id="915" w:name="_Toc374512207"/>
      <w:bookmarkStart w:id="916" w:name="_Toc378258267"/>
      <w:bookmarkStart w:id="917" w:name="_Toc382214125"/>
      <w:r w:rsidRPr="00D544B8">
        <w:rPr>
          <w:rFonts w:ascii="Cambria" w:eastAsia="Times New Roman" w:hAnsi="Cambria" w:cs="Times New Roman"/>
          <w:color w:val="4F81BD"/>
          <w:szCs w:val="24"/>
        </w:rPr>
        <w:t>11.3.3 Third Visit</w:t>
      </w:r>
      <w:bookmarkEnd w:id="915"/>
      <w:bookmarkEnd w:id="916"/>
      <w:bookmarkEnd w:id="917"/>
    </w:p>
    <w:p w:rsidR="0071027C" w:rsidRPr="00561534" w:rsidRDefault="0071027C" w:rsidP="0071027C">
      <w:pPr>
        <w:pStyle w:val="Default"/>
        <w:spacing w:before="120" w:after="120"/>
        <w:jc w:val="both"/>
        <w:rPr>
          <w:rFonts w:eastAsia="Calibri"/>
          <w:sz w:val="22"/>
          <w:szCs w:val="22"/>
        </w:rPr>
      </w:pPr>
      <w:r w:rsidRPr="00561534">
        <w:rPr>
          <w:rFonts w:eastAsia="Calibri"/>
          <w:sz w:val="22"/>
          <w:szCs w:val="22"/>
        </w:rPr>
        <w:t xml:space="preserve">For the  third CTC visit, confirm readiness to start ARV medicines  and initiate the client with  medicine  when  the baseline CD4 counts are ≤500 copies/µl in adults and children below two years with confirmed HIV diagnosis, or children 24-60 months old with CD4 cell per count below 700 copies/μl (≤25%); </w:t>
      </w:r>
    </w:p>
    <w:p w:rsidR="0071027C" w:rsidRPr="00561534" w:rsidRDefault="0071027C" w:rsidP="0071027C">
      <w:pPr>
        <w:pStyle w:val="Default"/>
        <w:spacing w:before="120" w:after="120"/>
        <w:jc w:val="both"/>
        <w:rPr>
          <w:rFonts w:eastAsia="Calibri"/>
          <w:sz w:val="22"/>
          <w:szCs w:val="22"/>
        </w:rPr>
      </w:pPr>
      <w:r w:rsidRPr="00561534">
        <w:rPr>
          <w:rFonts w:eastAsia="Calibri"/>
          <w:sz w:val="22"/>
          <w:szCs w:val="22"/>
        </w:rPr>
        <w:t xml:space="preserve">In all visits   the counselor should: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Review the implementation of risk reduction and lifestyle change plans with the client, and document successes, barriers and revisions in plans where these occur.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Assess the client’s mood state, document it and alert a physician if depression or anxiety disorder is suspected, and document and provide supportive counseling if any abnormal mental condition is identified.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Review the client’s knowledge on ART and ARV first line drugs, potential positive and negative effects; the criteria used to initiate clients on ARVs as in the first and second visits.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Review the client’s implementation of disclosure and treatment assistant identification plans, revising where necessary and document successes, barriers and revisions to plans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Review the outcome of implementing solutions previously agreed on the barriers to regular use of ARV medicine that the client identified (to be done only for regular start up clients); to review with the client their treatment adherence plan and explore potential solutions for accessing ARV drugs when unexpected travel occurs, and to document any changes in adherence plans in the counseling log book.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Discuss with the client results of the readiness to start assessment and confirm readiness to start ART. </w:t>
      </w:r>
    </w:p>
    <w:p w:rsidR="0071027C" w:rsidRPr="00561534" w:rsidRDefault="0071027C" w:rsidP="00274941">
      <w:pPr>
        <w:widowControl/>
        <w:numPr>
          <w:ilvl w:val="0"/>
          <w:numId w:val="104"/>
        </w:numPr>
        <w:spacing w:after="0" w:line="240" w:lineRule="auto"/>
        <w:jc w:val="both"/>
        <w:rPr>
          <w:rFonts w:ascii="Arial" w:eastAsia="Calibri" w:hAnsi="Arial" w:cs="Arial"/>
        </w:rPr>
      </w:pPr>
      <w:r w:rsidRPr="00561534">
        <w:rPr>
          <w:rFonts w:ascii="Arial" w:eastAsia="Calibri" w:hAnsi="Arial" w:cs="Arial"/>
        </w:rPr>
        <w:t xml:space="preserve">Provide time for questions from the client and respond accordingly. </w:t>
      </w:r>
    </w:p>
    <w:p w:rsidR="0071027C" w:rsidRPr="00561534" w:rsidRDefault="0071027C" w:rsidP="0071027C">
      <w:pPr>
        <w:pStyle w:val="PlainText"/>
        <w:spacing w:before="120" w:after="120"/>
        <w:jc w:val="both"/>
        <w:rPr>
          <w:rFonts w:ascii="Arial" w:hAnsi="Arial" w:cs="Arial"/>
          <w:sz w:val="22"/>
          <w:szCs w:val="22"/>
        </w:rPr>
      </w:pPr>
    </w:p>
    <w:p w:rsidR="0071027C" w:rsidRPr="00561534" w:rsidRDefault="0071027C" w:rsidP="0071027C">
      <w:pPr>
        <w:pStyle w:val="PlainText"/>
        <w:spacing w:before="120" w:after="120"/>
        <w:jc w:val="both"/>
        <w:rPr>
          <w:rFonts w:ascii="Arial" w:hAnsi="Arial" w:cs="Arial"/>
          <w:sz w:val="22"/>
          <w:szCs w:val="22"/>
        </w:rPr>
      </w:pPr>
      <w:r w:rsidRPr="00561534">
        <w:rPr>
          <w:rFonts w:ascii="Arial" w:hAnsi="Arial" w:cs="Arial"/>
          <w:sz w:val="22"/>
          <w:szCs w:val="22"/>
        </w:rPr>
        <w:t xml:space="preserve">Guidelines under this section will address follow up visits after initiating ARV drugs. The nurse counselor will: </w:t>
      </w:r>
    </w:p>
    <w:p w:rsidR="0071027C" w:rsidRPr="00561534" w:rsidRDefault="0071027C" w:rsidP="00274941">
      <w:pPr>
        <w:pStyle w:val="PlainText"/>
        <w:numPr>
          <w:ilvl w:val="0"/>
          <w:numId w:val="112"/>
        </w:numPr>
        <w:spacing w:before="120" w:after="120"/>
        <w:jc w:val="both"/>
        <w:rPr>
          <w:rFonts w:ascii="Arial" w:hAnsi="Arial" w:cs="Arial"/>
          <w:sz w:val="22"/>
          <w:szCs w:val="22"/>
        </w:rPr>
      </w:pPr>
      <w:r w:rsidRPr="00561534">
        <w:rPr>
          <w:rFonts w:ascii="Arial" w:hAnsi="Arial" w:cs="Arial"/>
          <w:sz w:val="22"/>
          <w:szCs w:val="22"/>
        </w:rPr>
        <w:t xml:space="preserve">Review and document the client’s knowledge on the ARV medicine prescribed and their dosage. Some tips to assess adherence from self report include: </w:t>
      </w:r>
    </w:p>
    <w:p w:rsidR="0071027C" w:rsidRPr="00561534" w:rsidRDefault="0071027C" w:rsidP="00274941">
      <w:pPr>
        <w:pStyle w:val="PlainText"/>
        <w:numPr>
          <w:ilvl w:val="1"/>
          <w:numId w:val="113"/>
        </w:numPr>
        <w:jc w:val="both"/>
        <w:rPr>
          <w:rFonts w:ascii="Arial" w:hAnsi="Arial" w:cs="Arial"/>
          <w:sz w:val="22"/>
          <w:szCs w:val="22"/>
        </w:rPr>
      </w:pPr>
      <w:r w:rsidRPr="00561534">
        <w:rPr>
          <w:rFonts w:ascii="Arial" w:hAnsi="Arial" w:cs="Arial"/>
          <w:sz w:val="22"/>
          <w:szCs w:val="22"/>
        </w:rPr>
        <w:t xml:space="preserve">Using a model (of all ARV drugs available at a clinic) to help the care provider or adolescent client to identify types of drugs used, number of ARV tablets used in each time and timing of use rather than referring to the last prescription. </w:t>
      </w:r>
    </w:p>
    <w:p w:rsidR="0071027C" w:rsidRPr="00561534" w:rsidRDefault="0071027C" w:rsidP="00274941">
      <w:pPr>
        <w:pStyle w:val="PlainText"/>
        <w:numPr>
          <w:ilvl w:val="1"/>
          <w:numId w:val="113"/>
        </w:numPr>
        <w:jc w:val="both"/>
        <w:rPr>
          <w:rFonts w:ascii="Arial" w:hAnsi="Arial" w:cs="Arial"/>
          <w:sz w:val="22"/>
          <w:szCs w:val="22"/>
        </w:rPr>
      </w:pPr>
      <w:r w:rsidRPr="00561534">
        <w:rPr>
          <w:rFonts w:ascii="Arial" w:hAnsi="Arial" w:cs="Arial"/>
          <w:sz w:val="22"/>
          <w:szCs w:val="22"/>
        </w:rPr>
        <w:t xml:space="preserve">Checking prescribed medication to see if it matches the client’s reported drug use. </w:t>
      </w:r>
    </w:p>
    <w:p w:rsidR="0071027C" w:rsidRPr="00561534" w:rsidRDefault="0071027C" w:rsidP="00274941">
      <w:pPr>
        <w:pStyle w:val="PlainText"/>
        <w:numPr>
          <w:ilvl w:val="1"/>
          <w:numId w:val="113"/>
        </w:numPr>
        <w:jc w:val="both"/>
        <w:rPr>
          <w:rFonts w:ascii="Arial" w:hAnsi="Arial" w:cs="Arial"/>
          <w:sz w:val="22"/>
          <w:szCs w:val="22"/>
        </w:rPr>
      </w:pPr>
      <w:r w:rsidRPr="00561534">
        <w:rPr>
          <w:rFonts w:ascii="Arial" w:hAnsi="Arial" w:cs="Arial"/>
          <w:sz w:val="22"/>
          <w:szCs w:val="22"/>
        </w:rPr>
        <w:t xml:space="preserve">Discussing and correcting any misunderstanding of how drugs should be taken, the timing, the number of pills and whether they should be taken with or without meals. </w:t>
      </w:r>
    </w:p>
    <w:p w:rsidR="0071027C" w:rsidRPr="00561534" w:rsidRDefault="0071027C" w:rsidP="00274941">
      <w:pPr>
        <w:pStyle w:val="PlainText"/>
        <w:numPr>
          <w:ilvl w:val="0"/>
          <w:numId w:val="112"/>
        </w:numPr>
        <w:spacing w:before="120" w:after="120"/>
        <w:jc w:val="both"/>
        <w:rPr>
          <w:rFonts w:ascii="Arial" w:hAnsi="Arial" w:cs="Arial"/>
          <w:sz w:val="22"/>
          <w:szCs w:val="22"/>
        </w:rPr>
      </w:pPr>
      <w:r w:rsidRPr="00561534">
        <w:rPr>
          <w:rFonts w:ascii="Arial" w:hAnsi="Arial" w:cs="Arial"/>
          <w:sz w:val="22"/>
          <w:szCs w:val="22"/>
        </w:rPr>
        <w:t xml:space="preserve">Explore missed doses with the care provider or adolescent client and document the number of missed doses since the last visit. </w:t>
      </w:r>
    </w:p>
    <w:p w:rsidR="0071027C" w:rsidRPr="00561534" w:rsidRDefault="0071027C" w:rsidP="00274941">
      <w:pPr>
        <w:pStyle w:val="PlainText"/>
        <w:numPr>
          <w:ilvl w:val="1"/>
          <w:numId w:val="113"/>
        </w:numPr>
        <w:jc w:val="both"/>
        <w:rPr>
          <w:rFonts w:ascii="Arial" w:hAnsi="Arial" w:cs="Arial"/>
          <w:sz w:val="22"/>
          <w:szCs w:val="22"/>
        </w:rPr>
      </w:pPr>
      <w:r w:rsidRPr="00561534">
        <w:rPr>
          <w:rFonts w:ascii="Arial" w:hAnsi="Arial" w:cs="Arial"/>
          <w:sz w:val="22"/>
          <w:szCs w:val="22"/>
        </w:rPr>
        <w:t xml:space="preserve">Explore the number of missed doses on each drug in the past week and the past month. Establish % of total medicine prescribed and that taken for the past month and document if level of adherence is at &gt;95% or not. </w:t>
      </w:r>
    </w:p>
    <w:p w:rsidR="0071027C" w:rsidRPr="00561534" w:rsidRDefault="0071027C" w:rsidP="00274941">
      <w:pPr>
        <w:pStyle w:val="PlainText"/>
        <w:numPr>
          <w:ilvl w:val="1"/>
          <w:numId w:val="113"/>
        </w:numPr>
        <w:jc w:val="both"/>
        <w:rPr>
          <w:rFonts w:ascii="Arial" w:hAnsi="Arial" w:cs="Arial"/>
          <w:sz w:val="22"/>
          <w:szCs w:val="22"/>
        </w:rPr>
      </w:pPr>
      <w:r w:rsidRPr="00561534">
        <w:rPr>
          <w:rFonts w:ascii="Arial" w:hAnsi="Arial" w:cs="Arial"/>
          <w:sz w:val="22"/>
          <w:szCs w:val="22"/>
        </w:rPr>
        <w:t>Review the client’s knowledge on ART</w:t>
      </w:r>
      <w:r>
        <w:rPr>
          <w:rFonts w:ascii="Arial" w:hAnsi="Arial" w:cs="Arial"/>
          <w:sz w:val="22"/>
          <w:szCs w:val="22"/>
        </w:rPr>
        <w:t>, tell him</w:t>
      </w:r>
      <w:r w:rsidRPr="00561534">
        <w:rPr>
          <w:rFonts w:ascii="Arial" w:hAnsi="Arial" w:cs="Arial"/>
          <w:sz w:val="22"/>
          <w:szCs w:val="22"/>
        </w:rPr>
        <w:t xml:space="preserve">/her that medicines are of lifelong treatment and is not a cure for AIDS. </w:t>
      </w:r>
    </w:p>
    <w:p w:rsidR="0071027C" w:rsidRPr="00561534" w:rsidRDefault="0071027C" w:rsidP="00274941">
      <w:pPr>
        <w:pStyle w:val="PlainText"/>
        <w:numPr>
          <w:ilvl w:val="1"/>
          <w:numId w:val="113"/>
        </w:numPr>
        <w:jc w:val="both"/>
        <w:rPr>
          <w:rFonts w:ascii="Arial" w:hAnsi="Arial" w:cs="Arial"/>
          <w:sz w:val="22"/>
          <w:szCs w:val="22"/>
        </w:rPr>
      </w:pPr>
      <w:r w:rsidRPr="00561534">
        <w:rPr>
          <w:rFonts w:ascii="Arial" w:hAnsi="Arial" w:cs="Arial"/>
          <w:sz w:val="22"/>
          <w:szCs w:val="22"/>
        </w:rPr>
        <w:t xml:space="preserve">Review knowledge of reasons for the need to take every dose as prescribed. Use pamphlets where available to illustrate the relationship between missing doses and the development of ARV drug resistance. </w:t>
      </w:r>
    </w:p>
    <w:p w:rsidR="0071027C" w:rsidRPr="00561534" w:rsidRDefault="0071027C" w:rsidP="00274941">
      <w:pPr>
        <w:pStyle w:val="PlainText"/>
        <w:numPr>
          <w:ilvl w:val="0"/>
          <w:numId w:val="112"/>
        </w:numPr>
        <w:spacing w:before="120" w:after="120"/>
        <w:jc w:val="both"/>
        <w:rPr>
          <w:rFonts w:ascii="Arial" w:hAnsi="Arial" w:cs="Arial"/>
          <w:sz w:val="22"/>
          <w:szCs w:val="22"/>
        </w:rPr>
      </w:pPr>
      <w:r w:rsidRPr="00561534">
        <w:rPr>
          <w:rFonts w:ascii="Arial" w:hAnsi="Arial" w:cs="Arial"/>
          <w:sz w:val="22"/>
          <w:szCs w:val="22"/>
        </w:rPr>
        <w:t xml:space="preserve">Explore and document the potential and negative effects from ARVs and other medicines. </w:t>
      </w:r>
    </w:p>
    <w:p w:rsidR="0071027C" w:rsidRPr="00561534" w:rsidRDefault="0071027C" w:rsidP="00274941">
      <w:pPr>
        <w:pStyle w:val="PlainText"/>
        <w:numPr>
          <w:ilvl w:val="1"/>
          <w:numId w:val="113"/>
        </w:numPr>
        <w:jc w:val="both"/>
        <w:rPr>
          <w:rFonts w:ascii="Arial" w:hAnsi="Arial" w:cs="Arial"/>
          <w:sz w:val="22"/>
          <w:szCs w:val="22"/>
        </w:rPr>
      </w:pPr>
      <w:r w:rsidRPr="00561534">
        <w:rPr>
          <w:rFonts w:ascii="Arial" w:hAnsi="Arial" w:cs="Arial"/>
          <w:sz w:val="22"/>
          <w:szCs w:val="22"/>
        </w:rPr>
        <w:t xml:space="preserve">Review information on first line ART regimen and explore experiences with positive effects and side effects. </w:t>
      </w:r>
    </w:p>
    <w:p w:rsidR="0071027C" w:rsidRPr="00561534" w:rsidRDefault="0071027C" w:rsidP="00274941">
      <w:pPr>
        <w:pStyle w:val="PlainText"/>
        <w:numPr>
          <w:ilvl w:val="1"/>
          <w:numId w:val="113"/>
        </w:numPr>
        <w:jc w:val="both"/>
        <w:rPr>
          <w:rFonts w:ascii="Arial" w:hAnsi="Arial" w:cs="Arial"/>
          <w:sz w:val="22"/>
          <w:szCs w:val="22"/>
        </w:rPr>
      </w:pPr>
      <w:r w:rsidRPr="00561534">
        <w:rPr>
          <w:rFonts w:ascii="Arial" w:hAnsi="Arial" w:cs="Arial"/>
          <w:sz w:val="22"/>
          <w:szCs w:val="22"/>
        </w:rPr>
        <w:t xml:space="preserve">Discuss with the care provider or adolescent client strategies to minimize drug side effects. </w:t>
      </w:r>
    </w:p>
    <w:p w:rsidR="0071027C" w:rsidRPr="00561534" w:rsidRDefault="0071027C" w:rsidP="00274941">
      <w:pPr>
        <w:pStyle w:val="PlainText"/>
        <w:numPr>
          <w:ilvl w:val="0"/>
          <w:numId w:val="112"/>
        </w:numPr>
        <w:spacing w:before="120" w:after="120"/>
        <w:jc w:val="both"/>
        <w:rPr>
          <w:rFonts w:ascii="Arial" w:hAnsi="Arial" w:cs="Arial"/>
          <w:sz w:val="22"/>
          <w:szCs w:val="22"/>
        </w:rPr>
      </w:pPr>
      <w:r w:rsidRPr="00561534">
        <w:rPr>
          <w:rFonts w:ascii="Arial" w:hAnsi="Arial" w:cs="Arial"/>
          <w:sz w:val="22"/>
          <w:szCs w:val="22"/>
        </w:rPr>
        <w:t xml:space="preserve">Explore factors that may prevent and those that may facilitate correct use of drugs in the care provider or adolescent client’s environment tool and discuss on possible solutions of the barriers. </w:t>
      </w:r>
    </w:p>
    <w:p w:rsidR="0071027C" w:rsidRPr="00561534" w:rsidRDefault="0071027C" w:rsidP="00274941">
      <w:pPr>
        <w:pStyle w:val="PlainText"/>
        <w:numPr>
          <w:ilvl w:val="1"/>
          <w:numId w:val="113"/>
        </w:numPr>
        <w:jc w:val="both"/>
        <w:rPr>
          <w:rFonts w:ascii="Arial" w:hAnsi="Arial" w:cs="Arial"/>
          <w:sz w:val="22"/>
          <w:szCs w:val="22"/>
        </w:rPr>
      </w:pPr>
      <w:r w:rsidRPr="00561534">
        <w:rPr>
          <w:rFonts w:ascii="Arial" w:hAnsi="Arial" w:cs="Arial"/>
          <w:sz w:val="22"/>
          <w:szCs w:val="22"/>
        </w:rPr>
        <w:t xml:space="preserve">Discuss drug storage at home. </w:t>
      </w:r>
    </w:p>
    <w:p w:rsidR="0071027C" w:rsidRPr="00561534" w:rsidRDefault="0071027C" w:rsidP="00274941">
      <w:pPr>
        <w:pStyle w:val="PlainText"/>
        <w:numPr>
          <w:ilvl w:val="1"/>
          <w:numId w:val="113"/>
        </w:numPr>
        <w:jc w:val="both"/>
        <w:rPr>
          <w:rFonts w:ascii="Arial" w:hAnsi="Arial" w:cs="Arial"/>
          <w:sz w:val="22"/>
          <w:szCs w:val="22"/>
        </w:rPr>
      </w:pPr>
      <w:r w:rsidRPr="00561534">
        <w:rPr>
          <w:rFonts w:ascii="Arial" w:hAnsi="Arial" w:cs="Arial"/>
          <w:sz w:val="22"/>
          <w:szCs w:val="22"/>
        </w:rPr>
        <w:t xml:space="preserve">Using the care provider or adolescent client tool, review and plan with client on how to take their ARV drugs as prescribed. Document if any changes occur to previously agreed plan. </w:t>
      </w:r>
    </w:p>
    <w:p w:rsidR="0071027C" w:rsidRPr="00561534" w:rsidRDefault="0071027C" w:rsidP="00274941">
      <w:pPr>
        <w:pStyle w:val="PlainText"/>
        <w:numPr>
          <w:ilvl w:val="1"/>
          <w:numId w:val="113"/>
        </w:numPr>
        <w:jc w:val="both"/>
        <w:rPr>
          <w:rFonts w:ascii="Arial" w:hAnsi="Arial" w:cs="Arial"/>
          <w:sz w:val="22"/>
          <w:szCs w:val="22"/>
        </w:rPr>
      </w:pPr>
      <w:r w:rsidRPr="00561534">
        <w:rPr>
          <w:rFonts w:ascii="Arial" w:hAnsi="Arial" w:cs="Arial"/>
          <w:sz w:val="22"/>
          <w:szCs w:val="22"/>
        </w:rPr>
        <w:t xml:space="preserve">Discuss what the clients will do to ensure they have sufficient drugs in the event of unexpected travel before their next clinic visit. </w:t>
      </w:r>
    </w:p>
    <w:p w:rsidR="0071027C" w:rsidRPr="00561534" w:rsidRDefault="0071027C" w:rsidP="00274941">
      <w:pPr>
        <w:pStyle w:val="PlainText"/>
        <w:numPr>
          <w:ilvl w:val="0"/>
          <w:numId w:val="112"/>
        </w:numPr>
        <w:spacing w:before="120" w:after="120"/>
        <w:jc w:val="both"/>
        <w:rPr>
          <w:rFonts w:ascii="Arial" w:hAnsi="Arial" w:cs="Arial"/>
          <w:sz w:val="22"/>
          <w:szCs w:val="22"/>
        </w:rPr>
      </w:pPr>
      <w:r w:rsidRPr="00561534">
        <w:rPr>
          <w:rFonts w:ascii="Arial" w:hAnsi="Arial" w:cs="Arial"/>
          <w:sz w:val="22"/>
          <w:szCs w:val="22"/>
        </w:rPr>
        <w:t xml:space="preserve">Explore disclosure and treatment assistance. Document the items  as follows </w:t>
      </w:r>
    </w:p>
    <w:p w:rsidR="0071027C" w:rsidRPr="00561534" w:rsidRDefault="0071027C" w:rsidP="00274941">
      <w:pPr>
        <w:pStyle w:val="PlainText"/>
        <w:numPr>
          <w:ilvl w:val="1"/>
          <w:numId w:val="114"/>
        </w:numPr>
        <w:spacing w:before="120" w:after="120"/>
        <w:jc w:val="both"/>
        <w:rPr>
          <w:rFonts w:ascii="Arial" w:hAnsi="Arial" w:cs="Arial"/>
          <w:sz w:val="22"/>
          <w:szCs w:val="22"/>
        </w:rPr>
      </w:pPr>
      <w:r w:rsidRPr="00561534">
        <w:rPr>
          <w:rFonts w:ascii="Arial" w:hAnsi="Arial" w:cs="Arial"/>
          <w:sz w:val="22"/>
          <w:szCs w:val="22"/>
        </w:rPr>
        <w:t xml:space="preserve">The outcome of the disclosure plan while encouraging or formulating a new plan if disclosure has not occurred. </w:t>
      </w:r>
    </w:p>
    <w:p w:rsidR="0071027C" w:rsidRPr="00561534" w:rsidRDefault="0071027C" w:rsidP="00274941">
      <w:pPr>
        <w:pStyle w:val="PlainText"/>
        <w:numPr>
          <w:ilvl w:val="0"/>
          <w:numId w:val="112"/>
        </w:numPr>
        <w:spacing w:before="120" w:after="120"/>
        <w:jc w:val="both"/>
        <w:rPr>
          <w:rFonts w:ascii="Arial" w:hAnsi="Arial" w:cs="Arial"/>
          <w:sz w:val="22"/>
          <w:szCs w:val="22"/>
        </w:rPr>
      </w:pPr>
      <w:r w:rsidRPr="00561534">
        <w:rPr>
          <w:rFonts w:ascii="Arial" w:hAnsi="Arial" w:cs="Arial"/>
          <w:sz w:val="22"/>
          <w:szCs w:val="22"/>
        </w:rPr>
        <w:t xml:space="preserve">Presence of a treatment supporter, if none encourage the client to identify one Preventive counseling including risk reduction and lifestyle modification counseling. </w:t>
      </w:r>
    </w:p>
    <w:p w:rsidR="0071027C" w:rsidRPr="00561534" w:rsidRDefault="0071027C" w:rsidP="00274941">
      <w:pPr>
        <w:pStyle w:val="PlainText"/>
        <w:numPr>
          <w:ilvl w:val="1"/>
          <w:numId w:val="113"/>
        </w:numPr>
        <w:jc w:val="both"/>
        <w:rPr>
          <w:rFonts w:ascii="Arial" w:hAnsi="Arial" w:cs="Arial"/>
          <w:sz w:val="22"/>
          <w:szCs w:val="22"/>
        </w:rPr>
      </w:pPr>
      <w:r w:rsidRPr="00561534">
        <w:rPr>
          <w:rFonts w:ascii="Arial" w:hAnsi="Arial" w:cs="Arial"/>
          <w:sz w:val="22"/>
          <w:szCs w:val="22"/>
        </w:rPr>
        <w:t xml:space="preserve">Review implementation of risk reduction strategies and encourage change or help treatment supporter or client to plan new strategies. </w:t>
      </w:r>
    </w:p>
    <w:p w:rsidR="0071027C" w:rsidRPr="00561534" w:rsidRDefault="0071027C" w:rsidP="00274941">
      <w:pPr>
        <w:pStyle w:val="PlainText"/>
        <w:numPr>
          <w:ilvl w:val="1"/>
          <w:numId w:val="113"/>
        </w:numPr>
        <w:jc w:val="both"/>
        <w:rPr>
          <w:rFonts w:ascii="Arial" w:hAnsi="Arial" w:cs="Arial"/>
          <w:sz w:val="22"/>
          <w:szCs w:val="22"/>
        </w:rPr>
      </w:pPr>
      <w:r w:rsidRPr="00561534">
        <w:rPr>
          <w:rFonts w:ascii="Arial" w:hAnsi="Arial" w:cs="Arial"/>
          <w:sz w:val="22"/>
          <w:szCs w:val="22"/>
        </w:rPr>
        <w:t xml:space="preserve">Review implementation of agreed lifestyle modification and encourage change or help treatment supporter or a client to plan new strategies for a change. </w:t>
      </w:r>
    </w:p>
    <w:p w:rsidR="0071027C" w:rsidRPr="00561534" w:rsidRDefault="0071027C" w:rsidP="00274941">
      <w:pPr>
        <w:pStyle w:val="PlainText"/>
        <w:numPr>
          <w:ilvl w:val="1"/>
          <w:numId w:val="113"/>
        </w:numPr>
        <w:jc w:val="both"/>
        <w:rPr>
          <w:rFonts w:ascii="Arial" w:hAnsi="Arial" w:cs="Arial"/>
          <w:sz w:val="22"/>
          <w:szCs w:val="22"/>
        </w:rPr>
      </w:pPr>
      <w:r w:rsidRPr="00561534">
        <w:rPr>
          <w:rFonts w:ascii="Arial" w:hAnsi="Arial" w:cs="Arial"/>
          <w:sz w:val="22"/>
          <w:szCs w:val="22"/>
        </w:rPr>
        <w:t xml:space="preserve">Assess the mood state of a client. </w:t>
      </w:r>
    </w:p>
    <w:p w:rsidR="0071027C" w:rsidRPr="00561534" w:rsidRDefault="0071027C" w:rsidP="00274941">
      <w:pPr>
        <w:pStyle w:val="PlainText"/>
        <w:numPr>
          <w:ilvl w:val="0"/>
          <w:numId w:val="112"/>
        </w:numPr>
        <w:spacing w:before="120" w:after="120"/>
        <w:jc w:val="both"/>
        <w:rPr>
          <w:rFonts w:ascii="Arial" w:hAnsi="Arial" w:cs="Arial"/>
          <w:sz w:val="22"/>
          <w:szCs w:val="22"/>
        </w:rPr>
      </w:pPr>
      <w:r w:rsidRPr="00561534">
        <w:rPr>
          <w:rFonts w:ascii="Arial" w:hAnsi="Arial" w:cs="Arial"/>
          <w:sz w:val="22"/>
          <w:szCs w:val="22"/>
        </w:rPr>
        <w:t xml:space="preserve">Provide time for questions from treatment supporter or client and respond accordingly. </w:t>
      </w:r>
    </w:p>
    <w:p w:rsidR="0071027C" w:rsidRPr="00561534" w:rsidRDefault="0071027C" w:rsidP="0071027C">
      <w:pPr>
        <w:pStyle w:val="PlainText"/>
        <w:spacing w:before="120" w:after="120"/>
        <w:jc w:val="both"/>
        <w:rPr>
          <w:rFonts w:ascii="Arial" w:hAnsi="Arial" w:cs="Arial"/>
          <w:sz w:val="22"/>
          <w:szCs w:val="22"/>
        </w:rPr>
      </w:pPr>
      <w:r w:rsidRPr="00561534">
        <w:rPr>
          <w:rFonts w:ascii="Arial" w:hAnsi="Arial" w:cs="Arial"/>
          <w:sz w:val="22"/>
          <w:szCs w:val="22"/>
        </w:rPr>
        <w:t xml:space="preserve">Checklists should be used in the CTCs to structure adherence counseling sessions and for documentation of counseling sessions. Using checklists and documenting counseling sessions helps to improve the quality of counseling delivered as it informs areas that need to be strengthened through supportive supervision and continued in service training. Counseling checklists for children with their care supporter and for adolescents’ counseling visit is found in </w:t>
      </w:r>
      <w:r w:rsidRPr="003B63F9">
        <w:rPr>
          <w:rFonts w:ascii="Arial" w:hAnsi="Arial" w:cs="Arial"/>
          <w:sz w:val="22"/>
          <w:szCs w:val="22"/>
        </w:rPr>
        <w:t>NACP Adherence Toolkit, section 1.2.</w:t>
      </w:r>
    </w:p>
    <w:p w:rsidR="0071027C" w:rsidRPr="000E5980" w:rsidRDefault="0071027C" w:rsidP="0071027C">
      <w:pPr>
        <w:pStyle w:val="Heading3"/>
        <w:spacing w:before="120" w:after="120"/>
        <w:rPr>
          <w:rFonts w:ascii="Cambria" w:eastAsia="Times New Roman" w:hAnsi="Cambria" w:cs="Times New Roman"/>
          <w:color w:val="4F81BD"/>
        </w:rPr>
      </w:pPr>
      <w:bookmarkStart w:id="918" w:name="_Toc374515294"/>
      <w:bookmarkStart w:id="919" w:name="_Toc378258225"/>
      <w:bookmarkStart w:id="920" w:name="_Toc382214126"/>
      <w:r>
        <w:rPr>
          <w:rFonts w:ascii="Cambria" w:eastAsia="Times New Roman" w:hAnsi="Cambria" w:cs="Times New Roman"/>
          <w:color w:val="4F81BD"/>
        </w:rPr>
        <w:t xml:space="preserve">11.3.4 Management of </w:t>
      </w:r>
      <w:r w:rsidRPr="000E5980">
        <w:rPr>
          <w:rFonts w:ascii="Cambria" w:eastAsia="Times New Roman" w:hAnsi="Cambria" w:cs="Times New Roman"/>
          <w:color w:val="4F81BD"/>
        </w:rPr>
        <w:t>previously ARV</w:t>
      </w:r>
      <w:r>
        <w:rPr>
          <w:rFonts w:ascii="Cambria" w:eastAsia="Times New Roman" w:hAnsi="Cambria" w:cs="Times New Roman"/>
          <w:color w:val="4F81BD"/>
        </w:rPr>
        <w:t xml:space="preserve"> </w:t>
      </w:r>
      <w:r w:rsidRPr="000E5980">
        <w:rPr>
          <w:rFonts w:ascii="Cambria" w:eastAsia="Times New Roman" w:hAnsi="Cambria" w:cs="Times New Roman"/>
          <w:color w:val="4F81BD"/>
        </w:rPr>
        <w:t>exposed   patients</w:t>
      </w:r>
      <w:bookmarkEnd w:id="918"/>
      <w:bookmarkEnd w:id="919"/>
      <w:bookmarkEnd w:id="920"/>
    </w:p>
    <w:p w:rsidR="0071027C" w:rsidRPr="003B63F9" w:rsidRDefault="0071027C" w:rsidP="003B63F9">
      <w:pPr>
        <w:spacing w:before="120" w:after="120" w:line="240" w:lineRule="auto"/>
        <w:jc w:val="both"/>
        <w:rPr>
          <w:rFonts w:ascii="Arial" w:eastAsia="Calibri" w:hAnsi="Arial" w:cs="Arial"/>
        </w:rPr>
      </w:pPr>
      <w:r w:rsidRPr="003B63F9">
        <w:rPr>
          <w:rFonts w:ascii="Arial" w:eastAsia="Calibri" w:hAnsi="Arial" w:cs="Arial"/>
        </w:rPr>
        <w:t>Treatment for patients who have been previously exposed to antiretroviral therapy should be discussed by the CTC team touching on issues such as adherence levels and intensify adherence. Generally:</w:t>
      </w:r>
    </w:p>
    <w:p w:rsidR="0071027C" w:rsidRPr="003B63F9" w:rsidRDefault="0071027C" w:rsidP="003B63F9">
      <w:pPr>
        <w:widowControl/>
        <w:numPr>
          <w:ilvl w:val="0"/>
          <w:numId w:val="117"/>
        </w:numPr>
        <w:spacing w:after="0" w:line="240" w:lineRule="auto"/>
        <w:jc w:val="both"/>
        <w:rPr>
          <w:rFonts w:ascii="Arial" w:eastAsia="Calibri" w:hAnsi="Arial" w:cs="Arial"/>
        </w:rPr>
      </w:pPr>
      <w:r w:rsidRPr="003B63F9">
        <w:rPr>
          <w:rFonts w:ascii="Arial" w:eastAsia="Calibri" w:hAnsi="Arial" w:cs="Arial"/>
        </w:rPr>
        <w:t>Patients that are controlled on their antiretroviral medication at appropriate doses should continue on the same regimen if possible.</w:t>
      </w:r>
    </w:p>
    <w:p w:rsidR="0071027C" w:rsidRPr="003B63F9" w:rsidRDefault="0071027C" w:rsidP="003B63F9">
      <w:pPr>
        <w:widowControl/>
        <w:numPr>
          <w:ilvl w:val="0"/>
          <w:numId w:val="117"/>
        </w:numPr>
        <w:spacing w:after="0" w:line="240" w:lineRule="auto"/>
        <w:jc w:val="both"/>
        <w:rPr>
          <w:rFonts w:ascii="Arial" w:eastAsia="Calibri" w:hAnsi="Arial" w:cs="Arial"/>
        </w:rPr>
      </w:pPr>
      <w:r w:rsidRPr="003B63F9">
        <w:rPr>
          <w:rFonts w:ascii="Arial" w:eastAsia="Calibri" w:hAnsi="Arial" w:cs="Arial"/>
        </w:rPr>
        <w:t>Those who stopped for reasons other than treatment failure and for whom failure is not suspected, can restart the original regimen.</w:t>
      </w:r>
    </w:p>
    <w:p w:rsidR="0071027C" w:rsidRPr="003B63F9" w:rsidRDefault="0071027C" w:rsidP="003B63F9">
      <w:pPr>
        <w:widowControl/>
        <w:numPr>
          <w:ilvl w:val="0"/>
          <w:numId w:val="117"/>
        </w:numPr>
        <w:spacing w:after="0" w:line="240" w:lineRule="auto"/>
        <w:jc w:val="both"/>
        <w:rPr>
          <w:rFonts w:ascii="Arial" w:eastAsia="Calibri" w:hAnsi="Arial" w:cs="Arial"/>
        </w:rPr>
      </w:pPr>
      <w:r w:rsidRPr="003B63F9">
        <w:rPr>
          <w:rFonts w:ascii="Arial" w:eastAsia="Calibri" w:hAnsi="Arial" w:cs="Arial"/>
        </w:rPr>
        <w:t>Those known or suspected to have failed a previous regimen should be started on drugs they have not been exposed to before as appropriate.</w:t>
      </w:r>
    </w:p>
    <w:p w:rsidR="0071027C" w:rsidRPr="00D544B8" w:rsidRDefault="0071027C" w:rsidP="0071027C">
      <w:pPr>
        <w:pStyle w:val="Heading2"/>
        <w:rPr>
          <w:rFonts w:ascii="Cambria" w:eastAsia="Times New Roman" w:hAnsi="Cambria" w:cs="Times New Roman"/>
          <w:color w:val="4F81BD"/>
          <w:szCs w:val="24"/>
        </w:rPr>
      </w:pPr>
      <w:bookmarkStart w:id="921" w:name="_Toc374512208"/>
      <w:bookmarkStart w:id="922" w:name="_Toc378258268"/>
      <w:bookmarkStart w:id="923" w:name="_Toc382214127"/>
      <w:r w:rsidRPr="00D544B8">
        <w:rPr>
          <w:rFonts w:ascii="Cambria" w:eastAsia="Times New Roman" w:hAnsi="Cambria" w:cs="Times New Roman"/>
          <w:color w:val="4F81BD"/>
          <w:szCs w:val="24"/>
        </w:rPr>
        <w:t xml:space="preserve">11.4 Adherence </w:t>
      </w:r>
      <w:r>
        <w:rPr>
          <w:rFonts w:ascii="Cambria" w:eastAsia="Times New Roman" w:hAnsi="Cambria" w:cs="Times New Roman"/>
          <w:color w:val="4F81BD"/>
          <w:szCs w:val="24"/>
        </w:rPr>
        <w:t>Management a</w:t>
      </w:r>
      <w:r w:rsidRPr="00D544B8">
        <w:rPr>
          <w:rFonts w:ascii="Cambria" w:eastAsia="Times New Roman" w:hAnsi="Cambria" w:cs="Times New Roman"/>
          <w:color w:val="4F81BD"/>
          <w:szCs w:val="24"/>
        </w:rPr>
        <w:t>nd Lifestyle Counseling</w:t>
      </w:r>
      <w:bookmarkEnd w:id="921"/>
      <w:bookmarkEnd w:id="922"/>
      <w:bookmarkEnd w:id="923"/>
    </w:p>
    <w:p w:rsidR="0071027C" w:rsidRPr="00561534" w:rsidRDefault="0071027C" w:rsidP="0071027C">
      <w:pPr>
        <w:autoSpaceDE w:val="0"/>
        <w:autoSpaceDN w:val="0"/>
        <w:adjustRightInd w:val="0"/>
        <w:spacing w:before="120" w:after="120" w:line="240" w:lineRule="auto"/>
        <w:jc w:val="both"/>
        <w:rPr>
          <w:rFonts w:ascii="Arial" w:eastAsia="Calibri" w:hAnsi="Arial" w:cs="Arial"/>
        </w:rPr>
      </w:pPr>
      <w:r w:rsidRPr="00561534">
        <w:rPr>
          <w:rFonts w:ascii="Arial" w:eastAsia="Calibri" w:hAnsi="Arial" w:cs="Arial"/>
        </w:rPr>
        <w:t xml:space="preserve">Evidence shows that adherence to preventive therapies such as IPT, CPT and balanced diet TB treatment and ART is an important factor to ensure better health outcome for clients on long term therapy or prophylaxis including ARV treatment. </w:t>
      </w:r>
    </w:p>
    <w:p w:rsidR="0071027C" w:rsidRPr="00561534" w:rsidRDefault="0071027C" w:rsidP="00B247C9">
      <w:pPr>
        <w:pStyle w:val="StyleJustifiedCharChar"/>
      </w:pPr>
      <w:r w:rsidRPr="00561534">
        <w:t>During monthly visit to the CTC, each client will be screened for TB and provided with relevant prophylaxis as indicated. In addition, adherence probing through a checklist will be used to identify possible lapses of adherence and reinforce key practices related to optimal management.</w:t>
      </w:r>
    </w:p>
    <w:p w:rsidR="0071027C" w:rsidRPr="00561534" w:rsidRDefault="0071027C" w:rsidP="00B247C9">
      <w:pPr>
        <w:pStyle w:val="StyleJustifiedCharChar"/>
      </w:pPr>
      <w:r w:rsidRPr="00561534">
        <w:t>Patients also receive information and counselling on various PHDP elements such transmission risk reduction (positive prevention), nutritional and family planning advice, and adverse event management. Other psychosocial needs such as social or legal support, disclosure of HIV status, mental health, referrals to home based care services and facilitation for joining PLHA support groups will also be addressed during the counselling session. In addition, clients will be screened for other OIs for early identification, treatment or prophylaxis.</w:t>
      </w:r>
    </w:p>
    <w:p w:rsidR="0071027C" w:rsidRPr="00561534" w:rsidRDefault="0071027C" w:rsidP="00B247C9">
      <w:pPr>
        <w:pStyle w:val="StyleJustifiedCharChar"/>
      </w:pPr>
      <w:r w:rsidRPr="00561534">
        <w:t>Note: Adherence assessment checklist is described in specific codes within the 2010 CTC2 card that is   kept by the patient file.</w:t>
      </w:r>
    </w:p>
    <w:p w:rsidR="0071027C" w:rsidRPr="00561534" w:rsidRDefault="0071027C" w:rsidP="0071027C">
      <w:pPr>
        <w:pStyle w:val="Heading2"/>
        <w:spacing w:before="120" w:after="120" w:line="240" w:lineRule="auto"/>
        <w:jc w:val="both"/>
        <w:rPr>
          <w:rFonts w:ascii="Arial" w:eastAsia="Times New Roman" w:hAnsi="Arial" w:cs="Arial"/>
          <w:color w:val="4F81BD"/>
          <w:sz w:val="22"/>
          <w:szCs w:val="22"/>
        </w:rPr>
      </w:pPr>
    </w:p>
    <w:p w:rsidR="0071027C" w:rsidRPr="00561534" w:rsidRDefault="0071027C" w:rsidP="0071027C">
      <w:pPr>
        <w:pStyle w:val="Heading2"/>
        <w:rPr>
          <w:rFonts w:ascii="Cambria" w:eastAsia="Times New Roman" w:hAnsi="Cambria" w:cs="Times New Roman"/>
          <w:color w:val="4F81BD"/>
        </w:rPr>
      </w:pPr>
      <w:bookmarkStart w:id="924" w:name="_Toc374512209"/>
      <w:bookmarkStart w:id="925" w:name="_Toc378258269"/>
      <w:bookmarkStart w:id="926" w:name="_Toc382214128"/>
      <w:r w:rsidRPr="00561534">
        <w:rPr>
          <w:rFonts w:ascii="Cambria" w:eastAsia="Times New Roman" w:hAnsi="Cambria" w:cs="Times New Roman"/>
          <w:color w:val="4F81BD"/>
        </w:rPr>
        <w:t>11.5 Adherence Issues in Adolescents and Youths</w:t>
      </w:r>
      <w:bookmarkEnd w:id="924"/>
      <w:bookmarkEnd w:id="925"/>
      <w:bookmarkEnd w:id="926"/>
    </w:p>
    <w:p w:rsidR="0071027C" w:rsidRPr="00561534" w:rsidRDefault="0071027C" w:rsidP="0071027C">
      <w:pPr>
        <w:autoSpaceDE w:val="0"/>
        <w:autoSpaceDN w:val="0"/>
        <w:adjustRightInd w:val="0"/>
        <w:spacing w:before="120" w:after="120" w:line="240" w:lineRule="auto"/>
        <w:jc w:val="both"/>
        <w:rPr>
          <w:rFonts w:ascii="Arial" w:eastAsia="Calibri" w:hAnsi="Arial" w:cs="Arial"/>
          <w:b/>
          <w:bCs/>
        </w:rPr>
      </w:pPr>
      <w:r w:rsidRPr="00561534">
        <w:rPr>
          <w:rFonts w:ascii="Arial" w:eastAsia="Calibri" w:hAnsi="Arial" w:cs="Arial"/>
          <w:bCs/>
        </w:rPr>
        <w:t>HIV infected adolescents and youths are subjected to stigma related with chronic illness, challenges of parental authority and therefore, they may wish to have their own friendly services Adolescents and youths are susceptible   to default a regimen if they encounter any difficulties</w:t>
      </w:r>
    </w:p>
    <w:p w:rsidR="0071027C" w:rsidRPr="00561534" w:rsidRDefault="0071027C" w:rsidP="0071027C">
      <w:pPr>
        <w:autoSpaceDE w:val="0"/>
        <w:autoSpaceDN w:val="0"/>
        <w:adjustRightInd w:val="0"/>
        <w:spacing w:before="120" w:after="120" w:line="240" w:lineRule="auto"/>
        <w:jc w:val="both"/>
        <w:rPr>
          <w:rFonts w:ascii="Arial" w:eastAsia="Calibri" w:hAnsi="Arial" w:cs="Arial"/>
          <w:bCs/>
          <w:i/>
        </w:rPr>
      </w:pPr>
      <w:r w:rsidRPr="00561534">
        <w:rPr>
          <w:rFonts w:ascii="Arial" w:eastAsia="Calibri" w:hAnsi="Arial" w:cs="Arial"/>
          <w:bCs/>
          <w:i/>
        </w:rPr>
        <w:t>Favourable Circumstances for adherence:</w:t>
      </w:r>
    </w:p>
    <w:p w:rsidR="0071027C" w:rsidRPr="00561534" w:rsidRDefault="0071027C" w:rsidP="00274941">
      <w:pPr>
        <w:widowControl/>
        <w:numPr>
          <w:ilvl w:val="0"/>
          <w:numId w:val="105"/>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Dedicated adolescents and youth friendly services/clinics</w:t>
      </w:r>
    </w:p>
    <w:p w:rsidR="0071027C" w:rsidRPr="00561534" w:rsidRDefault="0071027C" w:rsidP="00274941">
      <w:pPr>
        <w:widowControl/>
        <w:numPr>
          <w:ilvl w:val="0"/>
          <w:numId w:val="105"/>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 xml:space="preserve">Adequate support from caregiver, family, and friends. </w:t>
      </w:r>
    </w:p>
    <w:p w:rsidR="0071027C" w:rsidRPr="00561534" w:rsidRDefault="0071027C" w:rsidP="00274941">
      <w:pPr>
        <w:widowControl/>
        <w:numPr>
          <w:ilvl w:val="0"/>
          <w:numId w:val="105"/>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Stability in one’s life so that they are able to obtain basic needs as well as play and attend school like other children</w:t>
      </w:r>
    </w:p>
    <w:p w:rsidR="0071027C" w:rsidRPr="00561534" w:rsidRDefault="0071027C" w:rsidP="00274941">
      <w:pPr>
        <w:widowControl/>
        <w:numPr>
          <w:ilvl w:val="0"/>
          <w:numId w:val="105"/>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Beneficial and early disclosure leads to increased participation in their treatment</w:t>
      </w:r>
    </w:p>
    <w:p w:rsidR="0071027C" w:rsidRPr="00561534" w:rsidRDefault="0071027C" w:rsidP="00274941">
      <w:pPr>
        <w:widowControl/>
        <w:numPr>
          <w:ilvl w:val="0"/>
          <w:numId w:val="105"/>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Change in health status or laboratory parameters, encourages continuation of treatment</w:t>
      </w:r>
    </w:p>
    <w:p w:rsidR="0071027C" w:rsidRPr="00561534" w:rsidRDefault="0071027C" w:rsidP="00274941">
      <w:pPr>
        <w:widowControl/>
        <w:numPr>
          <w:ilvl w:val="0"/>
          <w:numId w:val="105"/>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Familiarity with people responding well to similar therapies encourages the adolescent to adhere to treatment. It is essential that they get a chance to share experiences with peers with similar experiences.</w:t>
      </w:r>
    </w:p>
    <w:p w:rsidR="0071027C" w:rsidRPr="00561534" w:rsidRDefault="0071027C" w:rsidP="00274941">
      <w:pPr>
        <w:widowControl/>
        <w:numPr>
          <w:ilvl w:val="0"/>
          <w:numId w:val="105"/>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 xml:space="preserve">Familiarity with someone who is sick or who may have recently died due to non drug adherence encourages the adolescent to avoid a similar fate, so he will adhere to the regimen. </w:t>
      </w:r>
    </w:p>
    <w:p w:rsidR="0071027C" w:rsidRPr="00561534" w:rsidRDefault="0071027C" w:rsidP="00274941">
      <w:pPr>
        <w:widowControl/>
        <w:numPr>
          <w:ilvl w:val="0"/>
          <w:numId w:val="105"/>
        </w:numPr>
        <w:autoSpaceDE w:val="0"/>
        <w:autoSpaceDN w:val="0"/>
        <w:adjustRightInd w:val="0"/>
        <w:spacing w:after="0" w:line="240" w:lineRule="auto"/>
        <w:jc w:val="both"/>
        <w:rPr>
          <w:rFonts w:ascii="Arial" w:eastAsia="Calibri" w:hAnsi="Arial" w:cs="Arial"/>
          <w:b/>
          <w:bCs/>
        </w:rPr>
      </w:pPr>
      <w:r w:rsidRPr="00561534">
        <w:rPr>
          <w:rFonts w:ascii="Arial" w:eastAsia="Calibri" w:hAnsi="Arial" w:cs="Arial"/>
          <w:bCs/>
        </w:rPr>
        <w:t xml:space="preserve">Access to a supportive clinician may also provide discussing options. Adolescents are curious and should be given as much information by the HCP. </w:t>
      </w:r>
    </w:p>
    <w:p w:rsidR="0071027C" w:rsidRPr="00561534" w:rsidRDefault="0071027C" w:rsidP="00274941">
      <w:pPr>
        <w:widowControl/>
        <w:numPr>
          <w:ilvl w:val="0"/>
          <w:numId w:val="105"/>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 xml:space="preserve">Supportive community  that  do not stigmatize  HIV clients </w:t>
      </w:r>
    </w:p>
    <w:p w:rsidR="0071027C" w:rsidRPr="00561534" w:rsidRDefault="0071027C" w:rsidP="0071027C">
      <w:pPr>
        <w:autoSpaceDE w:val="0"/>
        <w:autoSpaceDN w:val="0"/>
        <w:adjustRightInd w:val="0"/>
        <w:spacing w:before="120" w:after="120" w:line="240" w:lineRule="auto"/>
        <w:ind w:left="720"/>
        <w:jc w:val="both"/>
        <w:rPr>
          <w:rFonts w:ascii="Arial" w:eastAsia="Calibri" w:hAnsi="Arial" w:cs="Arial"/>
          <w:b/>
          <w:bCs/>
        </w:rPr>
      </w:pPr>
    </w:p>
    <w:p w:rsidR="0071027C" w:rsidRPr="00561534" w:rsidRDefault="0071027C" w:rsidP="0071027C">
      <w:pPr>
        <w:autoSpaceDE w:val="0"/>
        <w:autoSpaceDN w:val="0"/>
        <w:adjustRightInd w:val="0"/>
        <w:spacing w:before="120" w:after="120" w:line="240" w:lineRule="auto"/>
        <w:jc w:val="both"/>
        <w:rPr>
          <w:rFonts w:ascii="Arial" w:eastAsia="Calibri" w:hAnsi="Arial" w:cs="Arial"/>
          <w:bCs/>
          <w:i/>
        </w:rPr>
      </w:pPr>
      <w:r w:rsidRPr="00561534">
        <w:rPr>
          <w:rFonts w:ascii="Arial" w:eastAsia="Calibri" w:hAnsi="Arial" w:cs="Arial"/>
          <w:bCs/>
          <w:i/>
        </w:rPr>
        <w:t>Factors affecting drug adherence among adolescents</w:t>
      </w:r>
    </w:p>
    <w:p w:rsidR="0071027C" w:rsidRPr="00561534" w:rsidRDefault="0071027C" w:rsidP="00274941">
      <w:pPr>
        <w:widowControl/>
        <w:numPr>
          <w:ilvl w:val="0"/>
          <w:numId w:val="106"/>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Unstable living conditions where s/he moves from one guardian to another or if living in the streets</w:t>
      </w:r>
    </w:p>
    <w:p w:rsidR="0071027C" w:rsidRPr="00561534" w:rsidRDefault="0071027C" w:rsidP="00274941">
      <w:pPr>
        <w:widowControl/>
        <w:numPr>
          <w:ilvl w:val="0"/>
          <w:numId w:val="106"/>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Lack of support from guardian, family and friends. Lack of readiness and refusal</w:t>
      </w:r>
    </w:p>
    <w:p w:rsidR="0071027C" w:rsidRPr="00561534" w:rsidRDefault="0071027C" w:rsidP="00274941">
      <w:pPr>
        <w:widowControl/>
        <w:numPr>
          <w:ilvl w:val="0"/>
          <w:numId w:val="106"/>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Depression: Individuals who are depressed lack the motivation to carry on with life’s activities</w:t>
      </w:r>
    </w:p>
    <w:p w:rsidR="0071027C" w:rsidRPr="00561534" w:rsidRDefault="0071027C" w:rsidP="00274941">
      <w:pPr>
        <w:widowControl/>
        <w:numPr>
          <w:ilvl w:val="0"/>
          <w:numId w:val="106"/>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Drug abuse - Substance use makes it difficult for individuals to adhere to treatment. Alcohol use increases the risk of ARV drug toxicity.</w:t>
      </w:r>
    </w:p>
    <w:p w:rsidR="0071027C" w:rsidRPr="00561534" w:rsidRDefault="0071027C" w:rsidP="00274941">
      <w:pPr>
        <w:widowControl/>
        <w:numPr>
          <w:ilvl w:val="0"/>
          <w:numId w:val="106"/>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 xml:space="preserve">Death ideology  </w:t>
      </w:r>
    </w:p>
    <w:p w:rsidR="0071027C" w:rsidRPr="00561534" w:rsidRDefault="0071027C" w:rsidP="00274941">
      <w:pPr>
        <w:widowControl/>
        <w:numPr>
          <w:ilvl w:val="0"/>
          <w:numId w:val="106"/>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Mental health issues</w:t>
      </w:r>
    </w:p>
    <w:p w:rsidR="0071027C" w:rsidRPr="00561534" w:rsidRDefault="0071027C" w:rsidP="0071027C">
      <w:pPr>
        <w:autoSpaceDE w:val="0"/>
        <w:autoSpaceDN w:val="0"/>
        <w:adjustRightInd w:val="0"/>
        <w:spacing w:before="120" w:after="120" w:line="240" w:lineRule="auto"/>
        <w:jc w:val="both"/>
        <w:rPr>
          <w:rFonts w:ascii="Arial" w:eastAsia="Calibri" w:hAnsi="Arial" w:cs="Arial"/>
          <w:bCs/>
          <w:i/>
        </w:rPr>
      </w:pPr>
      <w:r w:rsidRPr="00561534">
        <w:rPr>
          <w:rFonts w:ascii="Arial" w:eastAsia="Calibri" w:hAnsi="Arial" w:cs="Arial"/>
          <w:bCs/>
          <w:i/>
        </w:rPr>
        <w:t>Strategies for enhancing ARV drug adherence among adolescents</w:t>
      </w:r>
    </w:p>
    <w:p w:rsidR="0071027C" w:rsidRPr="00561534" w:rsidRDefault="0071027C" w:rsidP="00274941">
      <w:pPr>
        <w:widowControl/>
        <w:numPr>
          <w:ilvl w:val="0"/>
          <w:numId w:val="107"/>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Consider practicing drug adherence with vitamin pills, IPT and Cotrimoxazole-prophylaxis.</w:t>
      </w:r>
    </w:p>
    <w:p w:rsidR="0071027C" w:rsidRPr="00561534" w:rsidRDefault="0071027C" w:rsidP="00274941">
      <w:pPr>
        <w:widowControl/>
        <w:numPr>
          <w:ilvl w:val="0"/>
          <w:numId w:val="107"/>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Involve  adolescent when discussing treatment options</w:t>
      </w:r>
    </w:p>
    <w:p w:rsidR="0071027C" w:rsidRPr="00561534" w:rsidRDefault="0071027C" w:rsidP="00274941">
      <w:pPr>
        <w:widowControl/>
        <w:numPr>
          <w:ilvl w:val="0"/>
          <w:numId w:val="107"/>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Explore with the adolescents challenges they experience in taking the drugs and work out strategies to address them. Family members and teachers may assist in the adherence plans</w:t>
      </w:r>
    </w:p>
    <w:p w:rsidR="0071027C" w:rsidRPr="00561534" w:rsidRDefault="0071027C" w:rsidP="00274941">
      <w:pPr>
        <w:widowControl/>
        <w:numPr>
          <w:ilvl w:val="0"/>
          <w:numId w:val="107"/>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The health care provider (HCP) should develop a good relationship with the adolescent so that they regard them as their partners in health.</w:t>
      </w:r>
    </w:p>
    <w:p w:rsidR="0071027C" w:rsidRPr="00561534" w:rsidRDefault="0071027C" w:rsidP="00274941">
      <w:pPr>
        <w:widowControl/>
        <w:numPr>
          <w:ilvl w:val="0"/>
          <w:numId w:val="107"/>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The members of the counseling  and testing team with the best relation to the adolescent should take the lead in the counseling and support of adolescent</w:t>
      </w:r>
    </w:p>
    <w:p w:rsidR="0071027C" w:rsidRPr="00561534" w:rsidRDefault="0071027C" w:rsidP="00274941">
      <w:pPr>
        <w:widowControl/>
        <w:numPr>
          <w:ilvl w:val="0"/>
          <w:numId w:val="107"/>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Regimens should fit into the adolescent’s life as much as possible. Remind adolescent that they need to continue taking the drugs even when they are feeling unwell or feeling well.</w:t>
      </w:r>
    </w:p>
    <w:p w:rsidR="0071027C" w:rsidRPr="00561534" w:rsidRDefault="0071027C" w:rsidP="00274941">
      <w:pPr>
        <w:widowControl/>
        <w:numPr>
          <w:ilvl w:val="0"/>
          <w:numId w:val="107"/>
        </w:numPr>
        <w:tabs>
          <w:tab w:val="left" w:pos="720"/>
        </w:tabs>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 xml:space="preserve"> Use of simplified regimens, preferably ARV taken at once; this is likely to work best  </w:t>
      </w:r>
    </w:p>
    <w:p w:rsidR="0071027C" w:rsidRPr="00561534" w:rsidRDefault="0071027C" w:rsidP="00274941">
      <w:pPr>
        <w:widowControl/>
        <w:numPr>
          <w:ilvl w:val="0"/>
          <w:numId w:val="107"/>
        </w:numPr>
        <w:tabs>
          <w:tab w:val="left" w:pos="720"/>
        </w:tabs>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Positive approach to treatment that nurtures the adolescent’s belief in their success. This task should be taken by the adolescent themselves as well as their family, friends and the HCP</w:t>
      </w:r>
    </w:p>
    <w:p w:rsidR="0071027C" w:rsidRPr="00561534" w:rsidRDefault="0071027C" w:rsidP="00274941">
      <w:pPr>
        <w:widowControl/>
        <w:numPr>
          <w:ilvl w:val="0"/>
          <w:numId w:val="107"/>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Information should be given proactively, in appropriate simple and understandable language and in writing as adolescents may not ask questions on their own.</w:t>
      </w:r>
    </w:p>
    <w:p w:rsidR="0071027C" w:rsidRPr="00561534" w:rsidRDefault="0071027C" w:rsidP="00274941">
      <w:pPr>
        <w:widowControl/>
        <w:numPr>
          <w:ilvl w:val="0"/>
          <w:numId w:val="107"/>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 xml:space="preserve">Use real life examples to illustrate issues as adolescents often think in concrete terms </w:t>
      </w:r>
    </w:p>
    <w:p w:rsidR="0071027C" w:rsidRPr="00561534" w:rsidRDefault="0071027C" w:rsidP="00274941">
      <w:pPr>
        <w:widowControl/>
        <w:numPr>
          <w:ilvl w:val="0"/>
          <w:numId w:val="107"/>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Explain to adolescents what to expect while on therapy and how to manage potential positive and negative side effects and adherence problems.</w:t>
      </w:r>
    </w:p>
    <w:p w:rsidR="0071027C" w:rsidRPr="00561534" w:rsidRDefault="0071027C" w:rsidP="00274941">
      <w:pPr>
        <w:widowControl/>
        <w:numPr>
          <w:ilvl w:val="0"/>
          <w:numId w:val="107"/>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Adolescents should be encouraged to discuss and disclose their problems with their care providers or person whom they trust.</w:t>
      </w:r>
    </w:p>
    <w:p w:rsidR="0071027C" w:rsidRPr="00561534" w:rsidRDefault="0071027C" w:rsidP="0071027C">
      <w:pPr>
        <w:autoSpaceDE w:val="0"/>
        <w:autoSpaceDN w:val="0"/>
        <w:adjustRightInd w:val="0"/>
        <w:spacing w:before="120" w:after="120" w:line="240" w:lineRule="auto"/>
        <w:ind w:left="360"/>
        <w:jc w:val="both"/>
        <w:rPr>
          <w:rFonts w:ascii="Arial" w:eastAsia="Calibri" w:hAnsi="Arial" w:cs="Arial"/>
          <w:bCs/>
        </w:rPr>
      </w:pPr>
    </w:p>
    <w:p w:rsidR="0071027C" w:rsidRPr="00561534" w:rsidRDefault="0071027C" w:rsidP="0071027C">
      <w:pPr>
        <w:autoSpaceDE w:val="0"/>
        <w:autoSpaceDN w:val="0"/>
        <w:adjustRightInd w:val="0"/>
        <w:spacing w:before="120" w:after="120" w:line="240" w:lineRule="auto"/>
        <w:ind w:left="360"/>
        <w:jc w:val="both"/>
        <w:rPr>
          <w:rFonts w:ascii="Arial" w:eastAsia="Calibri" w:hAnsi="Arial" w:cs="Arial"/>
          <w:b/>
          <w:bCs/>
        </w:rPr>
      </w:pPr>
      <w:r w:rsidRPr="00561534">
        <w:rPr>
          <w:rFonts w:ascii="Arial" w:eastAsia="Calibri" w:hAnsi="Arial" w:cs="Arial"/>
          <w:b/>
          <w:bCs/>
        </w:rPr>
        <w:t xml:space="preserve">How to help the adolescent develop an individual strategy for drug adherence </w:t>
      </w:r>
    </w:p>
    <w:p w:rsidR="0071027C" w:rsidRPr="00561534" w:rsidRDefault="0071027C" w:rsidP="00274941">
      <w:pPr>
        <w:widowControl/>
        <w:numPr>
          <w:ilvl w:val="0"/>
          <w:numId w:val="108"/>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Encourage adolescent to establish a schedule  for taking drugs</w:t>
      </w:r>
    </w:p>
    <w:p w:rsidR="0071027C" w:rsidRPr="00561534" w:rsidRDefault="0071027C" w:rsidP="00274941">
      <w:pPr>
        <w:widowControl/>
        <w:numPr>
          <w:ilvl w:val="0"/>
          <w:numId w:val="108"/>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They should keep the drugs where they can see them in the morning and evening.</w:t>
      </w:r>
    </w:p>
    <w:p w:rsidR="0071027C" w:rsidRPr="00561534" w:rsidRDefault="0071027C" w:rsidP="00274941">
      <w:pPr>
        <w:widowControl/>
        <w:numPr>
          <w:ilvl w:val="0"/>
          <w:numId w:val="108"/>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 xml:space="preserve">They </w:t>
      </w:r>
      <w:r w:rsidRPr="00561534">
        <w:rPr>
          <w:rFonts w:ascii="Arial" w:eastAsia="Calibri" w:hAnsi="Arial" w:cs="Arial"/>
          <w:b/>
          <w:bCs/>
        </w:rPr>
        <w:t>must</w:t>
      </w:r>
      <w:r w:rsidRPr="00561534">
        <w:rPr>
          <w:rFonts w:ascii="Arial" w:eastAsia="Calibri" w:hAnsi="Arial" w:cs="Arial"/>
          <w:bCs/>
        </w:rPr>
        <w:t xml:space="preserve"> take the ARV drugs at the same time every morning/evening.</w:t>
      </w:r>
    </w:p>
    <w:p w:rsidR="0071027C" w:rsidRPr="00561534" w:rsidRDefault="0071027C" w:rsidP="00274941">
      <w:pPr>
        <w:widowControl/>
        <w:numPr>
          <w:ilvl w:val="0"/>
          <w:numId w:val="108"/>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They can write notes and stickers to remind them to take the drugs. If they have an alarm or phone, they can put it on as a reminder</w:t>
      </w:r>
    </w:p>
    <w:p w:rsidR="0071027C" w:rsidRPr="00561534" w:rsidRDefault="0071027C" w:rsidP="00274941">
      <w:pPr>
        <w:widowControl/>
        <w:numPr>
          <w:ilvl w:val="0"/>
          <w:numId w:val="108"/>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They should keep a diary of how they are taking their drugs and to review it with the care provider. The diary will also help them to see the changes in health as well as any diverse changes in the body</w:t>
      </w:r>
    </w:p>
    <w:p w:rsidR="0071027C" w:rsidRPr="00561534" w:rsidRDefault="0071027C" w:rsidP="00274941">
      <w:pPr>
        <w:widowControl/>
        <w:numPr>
          <w:ilvl w:val="0"/>
          <w:numId w:val="108"/>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They should plan ahead to take ART when they are away from home.</w:t>
      </w:r>
    </w:p>
    <w:p w:rsidR="0071027C" w:rsidRPr="00561534" w:rsidRDefault="0071027C" w:rsidP="00274941">
      <w:pPr>
        <w:widowControl/>
        <w:numPr>
          <w:ilvl w:val="0"/>
          <w:numId w:val="108"/>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They should plan for sudden events that change their normal schedule and therefore always have a few tablets with them.</w:t>
      </w:r>
    </w:p>
    <w:p w:rsidR="0071027C" w:rsidRPr="00561534" w:rsidRDefault="0071027C" w:rsidP="00274941">
      <w:pPr>
        <w:widowControl/>
        <w:numPr>
          <w:ilvl w:val="0"/>
          <w:numId w:val="108"/>
        </w:numPr>
        <w:autoSpaceDE w:val="0"/>
        <w:autoSpaceDN w:val="0"/>
        <w:adjustRightInd w:val="0"/>
        <w:spacing w:after="0" w:line="240" w:lineRule="auto"/>
        <w:jc w:val="both"/>
        <w:rPr>
          <w:rFonts w:ascii="Arial" w:eastAsia="Calibri" w:hAnsi="Arial" w:cs="Arial"/>
          <w:bCs/>
        </w:rPr>
      </w:pPr>
      <w:r w:rsidRPr="00561534">
        <w:rPr>
          <w:rFonts w:ascii="Arial" w:eastAsia="Calibri" w:hAnsi="Arial" w:cs="Arial"/>
          <w:bCs/>
        </w:rPr>
        <w:t xml:space="preserve">The adolescent should identify a treatment supporter – this strategy has been found to be very successful in adults.  Adolescents who are living alone may find it difficult to find a treatment supporter. </w:t>
      </w:r>
    </w:p>
    <w:p w:rsidR="0071027C" w:rsidRPr="00561534" w:rsidRDefault="0071027C" w:rsidP="0071027C">
      <w:pPr>
        <w:spacing w:before="120" w:after="120" w:line="240" w:lineRule="auto"/>
        <w:jc w:val="both"/>
        <w:rPr>
          <w:rFonts w:ascii="Arial" w:eastAsia="Calibri" w:hAnsi="Arial" w:cs="Arial"/>
        </w:rPr>
      </w:pPr>
    </w:p>
    <w:p w:rsidR="0071027C" w:rsidRPr="00D544B8" w:rsidRDefault="0071027C" w:rsidP="0071027C">
      <w:pPr>
        <w:pStyle w:val="Heading2"/>
        <w:rPr>
          <w:rFonts w:ascii="Cambria" w:eastAsia="Times New Roman" w:hAnsi="Cambria" w:cs="Times New Roman"/>
          <w:color w:val="4F81BD"/>
          <w:szCs w:val="24"/>
        </w:rPr>
      </w:pPr>
      <w:bookmarkStart w:id="927" w:name="_Toc374512210"/>
      <w:bookmarkStart w:id="928" w:name="_Toc378258270"/>
      <w:bookmarkStart w:id="929" w:name="_Toc382214129"/>
      <w:r w:rsidRPr="00D544B8">
        <w:rPr>
          <w:rFonts w:ascii="Cambria" w:eastAsia="Times New Roman" w:hAnsi="Cambria" w:cs="Times New Roman"/>
          <w:color w:val="4F81BD"/>
          <w:szCs w:val="24"/>
        </w:rPr>
        <w:t>11.6 Adherence Issues in Children</w:t>
      </w:r>
      <w:bookmarkEnd w:id="927"/>
      <w:bookmarkEnd w:id="928"/>
      <w:bookmarkEnd w:id="929"/>
    </w:p>
    <w:p w:rsidR="0071027C" w:rsidRPr="00561534"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561534">
        <w:rPr>
          <w:rFonts w:ascii="Arial" w:eastAsia="HelveticaNeueLTStd-Lt" w:hAnsi="Arial" w:cs="Arial"/>
          <w:sz w:val="22"/>
          <w:szCs w:val="22"/>
        </w:rPr>
        <w:t>Adherence in children is a special challenge because of the interrelationship of factors relating to children, caregivers, medications.</w:t>
      </w:r>
    </w:p>
    <w:p w:rsidR="0071027C" w:rsidRPr="00561534"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561534">
        <w:rPr>
          <w:rFonts w:ascii="Arial" w:eastAsia="HelveticaNeueLTStd-Lt" w:hAnsi="Arial" w:cs="Arial"/>
          <w:sz w:val="22"/>
          <w:szCs w:val="22"/>
        </w:rPr>
        <w:t>Good adherence means that children must take their medications every day as they are prescribed without missing doses.</w:t>
      </w:r>
    </w:p>
    <w:p w:rsidR="0071027C" w:rsidRPr="00561534"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561534">
        <w:rPr>
          <w:rFonts w:ascii="Arial" w:hAnsi="Arial" w:cs="Arial"/>
          <w:bCs/>
          <w:sz w:val="22"/>
          <w:szCs w:val="22"/>
        </w:rPr>
        <w:t xml:space="preserve">Adherence in children is more challenging as children rely on a responsible parent/caregiver for medication. </w:t>
      </w:r>
      <w:r w:rsidRPr="00561534">
        <w:rPr>
          <w:rFonts w:ascii="Arial" w:eastAsia="HelveticaNeueLTStd-Lt" w:hAnsi="Arial" w:cs="Arial"/>
          <w:sz w:val="22"/>
          <w:szCs w:val="22"/>
        </w:rPr>
        <w:t>Mothers of HIV-infected children are often HIV-infected themselves; therefore the care of the child may be affected by the mother’s compromised health.  It is preferable that a secondary (back-up) informed caregiver be involved in the care of an HIV-infected child.</w:t>
      </w:r>
    </w:p>
    <w:p w:rsidR="0071027C" w:rsidRPr="00561534"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561534">
        <w:rPr>
          <w:rFonts w:ascii="Arial" w:eastAsia="HelveticaNeueLTStd-Lt" w:hAnsi="Arial" w:cs="Arial"/>
          <w:sz w:val="22"/>
          <w:szCs w:val="22"/>
        </w:rPr>
        <w:t>Psychological support is critical for caregivers as well as children, and peer support groups may be particularly beneficial for mothers with young children on ART.</w:t>
      </w:r>
    </w:p>
    <w:p w:rsidR="0071027C" w:rsidRPr="00561534"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561534">
        <w:rPr>
          <w:rFonts w:ascii="Arial" w:hAnsi="Arial" w:cs="Arial"/>
          <w:bCs/>
          <w:sz w:val="22"/>
          <w:szCs w:val="22"/>
        </w:rPr>
        <w:t xml:space="preserve">Appropriate disclosure can improve adherence. </w:t>
      </w:r>
      <w:r w:rsidRPr="00561534">
        <w:rPr>
          <w:rFonts w:ascii="Arial" w:hAnsi="Arial" w:cs="Arial"/>
          <w:sz w:val="22"/>
          <w:szCs w:val="22"/>
        </w:rPr>
        <w:t>An older HIV-infected child who understands about his/her infection can be actively involved in ARV treatment.</w:t>
      </w:r>
    </w:p>
    <w:p w:rsidR="0071027C" w:rsidRPr="00561534"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561534">
        <w:rPr>
          <w:rFonts w:ascii="Arial" w:hAnsi="Arial" w:cs="Arial"/>
          <w:bCs/>
          <w:sz w:val="22"/>
          <w:szCs w:val="22"/>
        </w:rPr>
        <w:t>Adolescents have specific challenges to adherence which need to be addressed (see Adolescent Adherence section).</w:t>
      </w:r>
    </w:p>
    <w:p w:rsidR="0071027C" w:rsidRPr="00561534"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561534">
        <w:rPr>
          <w:rFonts w:ascii="Arial" w:hAnsi="Arial" w:cs="Arial"/>
          <w:bCs/>
          <w:sz w:val="22"/>
          <w:szCs w:val="22"/>
        </w:rPr>
        <w:t>For adherence success it requires commitment and knowledge on the part of the child/adolescent and primary caregiver.</w:t>
      </w:r>
    </w:p>
    <w:p w:rsidR="0071027C" w:rsidRPr="00561534"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561534">
        <w:rPr>
          <w:rFonts w:ascii="Arial" w:hAnsi="Arial" w:cs="Arial"/>
          <w:bCs/>
          <w:sz w:val="22"/>
          <w:szCs w:val="22"/>
        </w:rPr>
        <w:t>Changes in paediatric dosages as the child grows can also affect adherence</w:t>
      </w:r>
    </w:p>
    <w:p w:rsidR="0071027C" w:rsidRPr="00561534"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561534">
        <w:rPr>
          <w:rFonts w:ascii="Arial" w:hAnsi="Arial" w:cs="Arial"/>
          <w:sz w:val="22"/>
          <w:szCs w:val="22"/>
        </w:rPr>
        <w:t>A good relationship between healthcare providers and the caregiver helps optimise adherence.</w:t>
      </w:r>
    </w:p>
    <w:p w:rsidR="0071027C" w:rsidRPr="00561534" w:rsidRDefault="0071027C" w:rsidP="0071027C">
      <w:pPr>
        <w:spacing w:before="120" w:after="120" w:line="240" w:lineRule="auto"/>
        <w:jc w:val="both"/>
        <w:rPr>
          <w:rFonts w:ascii="Arial" w:eastAsia="Calibri" w:hAnsi="Arial" w:cs="Arial"/>
          <w:b/>
        </w:rPr>
      </w:pPr>
    </w:p>
    <w:p w:rsidR="0071027C" w:rsidRPr="00D544B8" w:rsidRDefault="0071027C" w:rsidP="0071027C">
      <w:pPr>
        <w:pStyle w:val="Heading3"/>
        <w:rPr>
          <w:rFonts w:ascii="Cambria" w:eastAsia="Times New Roman" w:hAnsi="Cambria" w:cs="Times New Roman"/>
          <w:color w:val="4F81BD"/>
          <w:szCs w:val="24"/>
        </w:rPr>
      </w:pPr>
      <w:bookmarkStart w:id="930" w:name="_Toc374512211"/>
      <w:bookmarkStart w:id="931" w:name="_Toc378258271"/>
      <w:bookmarkStart w:id="932" w:name="_Toc382214130"/>
      <w:r w:rsidRPr="00D544B8">
        <w:rPr>
          <w:rFonts w:ascii="Cambria" w:eastAsia="Times New Roman" w:hAnsi="Cambria" w:cs="Times New Roman"/>
          <w:color w:val="4F81BD"/>
          <w:szCs w:val="24"/>
        </w:rPr>
        <w:t>11.6.1 Factors That Influence Adherence in children</w:t>
      </w:r>
      <w:bookmarkEnd w:id="930"/>
      <w:bookmarkEnd w:id="931"/>
      <w:bookmarkEnd w:id="932"/>
    </w:p>
    <w:p w:rsidR="0071027C" w:rsidRPr="00561534" w:rsidRDefault="0071027C" w:rsidP="0071027C">
      <w:pPr>
        <w:autoSpaceDE w:val="0"/>
        <w:autoSpaceDN w:val="0"/>
        <w:adjustRightInd w:val="0"/>
        <w:spacing w:before="120" w:after="120" w:line="240" w:lineRule="auto"/>
        <w:jc w:val="both"/>
        <w:rPr>
          <w:rFonts w:ascii="Arial" w:eastAsia="Calibri" w:hAnsi="Arial" w:cs="Arial"/>
          <w:bCs/>
        </w:rPr>
      </w:pPr>
      <w:r w:rsidRPr="00561534">
        <w:rPr>
          <w:rFonts w:ascii="Arial" w:eastAsia="Calibri" w:hAnsi="Arial" w:cs="Arial"/>
          <w:bCs/>
        </w:rPr>
        <w:t>The care provider should inquire to find out the factors that are likely to affect child’s adherence:</w:t>
      </w:r>
    </w:p>
    <w:p w:rsidR="0071027C" w:rsidRPr="00561534" w:rsidRDefault="0071027C" w:rsidP="00274941">
      <w:pPr>
        <w:pStyle w:val="ListParagraph"/>
        <w:numPr>
          <w:ilvl w:val="0"/>
          <w:numId w:val="115"/>
        </w:numPr>
        <w:autoSpaceDE w:val="0"/>
        <w:autoSpaceDN w:val="0"/>
        <w:adjustRightInd w:val="0"/>
        <w:spacing w:before="120" w:after="120"/>
        <w:jc w:val="both"/>
        <w:rPr>
          <w:rFonts w:ascii="Arial" w:hAnsi="Arial" w:cs="Arial"/>
          <w:b/>
          <w:bCs/>
          <w:sz w:val="22"/>
          <w:szCs w:val="22"/>
        </w:rPr>
      </w:pPr>
      <w:r w:rsidRPr="00561534">
        <w:rPr>
          <w:rFonts w:ascii="Arial" w:hAnsi="Arial" w:cs="Arial"/>
          <w:b/>
          <w:bCs/>
          <w:sz w:val="22"/>
          <w:szCs w:val="22"/>
        </w:rPr>
        <w:t>Child related factors</w:t>
      </w:r>
    </w:p>
    <w:p w:rsidR="0071027C" w:rsidRPr="00561534" w:rsidRDefault="0071027C" w:rsidP="0071027C">
      <w:pPr>
        <w:autoSpaceDE w:val="0"/>
        <w:autoSpaceDN w:val="0"/>
        <w:adjustRightInd w:val="0"/>
        <w:spacing w:before="120" w:after="120" w:line="240" w:lineRule="auto"/>
        <w:jc w:val="both"/>
        <w:rPr>
          <w:rFonts w:ascii="Arial" w:eastAsia="Calibri" w:hAnsi="Arial" w:cs="Arial"/>
          <w:bCs/>
        </w:rPr>
      </w:pPr>
      <w:r w:rsidRPr="00561534">
        <w:rPr>
          <w:rFonts w:ascii="Arial" w:eastAsia="Calibri" w:hAnsi="Arial" w:cs="Arial"/>
          <w:bCs/>
        </w:rPr>
        <w:t xml:space="preserve">Child related factors include the living environment of the child, the child’s age, the complexity of the drug regimen, and the health status of the child, including other medications the child is also taking.  </w:t>
      </w:r>
    </w:p>
    <w:p w:rsidR="0071027C" w:rsidRPr="00561534" w:rsidRDefault="0071027C" w:rsidP="00274941">
      <w:pPr>
        <w:pStyle w:val="ListParagraph"/>
        <w:numPr>
          <w:ilvl w:val="0"/>
          <w:numId w:val="115"/>
        </w:numPr>
        <w:autoSpaceDE w:val="0"/>
        <w:autoSpaceDN w:val="0"/>
        <w:adjustRightInd w:val="0"/>
        <w:spacing w:before="120" w:after="120"/>
        <w:jc w:val="both"/>
        <w:rPr>
          <w:rFonts w:ascii="Arial" w:hAnsi="Arial" w:cs="Arial"/>
          <w:b/>
          <w:bCs/>
          <w:sz w:val="22"/>
          <w:szCs w:val="22"/>
        </w:rPr>
      </w:pPr>
      <w:r w:rsidRPr="00561534">
        <w:rPr>
          <w:rFonts w:ascii="Arial" w:hAnsi="Arial" w:cs="Arial"/>
          <w:b/>
          <w:bCs/>
          <w:sz w:val="22"/>
          <w:szCs w:val="22"/>
        </w:rPr>
        <w:t xml:space="preserve"> Family/caretaker related factors</w:t>
      </w:r>
    </w:p>
    <w:p w:rsidR="0071027C" w:rsidRPr="00561534" w:rsidRDefault="0071027C" w:rsidP="0071027C">
      <w:pPr>
        <w:autoSpaceDE w:val="0"/>
        <w:autoSpaceDN w:val="0"/>
        <w:adjustRightInd w:val="0"/>
        <w:spacing w:before="120" w:after="120" w:line="240" w:lineRule="auto"/>
        <w:jc w:val="both"/>
        <w:rPr>
          <w:rFonts w:ascii="Arial" w:eastAsia="Calibri" w:hAnsi="Arial" w:cs="Arial"/>
          <w:bCs/>
        </w:rPr>
      </w:pPr>
      <w:r w:rsidRPr="00561534">
        <w:rPr>
          <w:rFonts w:ascii="Arial" w:eastAsia="Calibri" w:hAnsi="Arial" w:cs="Arial"/>
          <w:bCs/>
        </w:rPr>
        <w:t>Family/caregiver related factors include the reliability, education and socioeconomic status of the caregiver, family cultural beliefs and practices, the HIV status of the parents and caregivers and the relationship between the caregiver and the child.</w:t>
      </w:r>
    </w:p>
    <w:p w:rsidR="0071027C" w:rsidRPr="00561534" w:rsidRDefault="0071027C" w:rsidP="00274941">
      <w:pPr>
        <w:pStyle w:val="ListParagraph"/>
        <w:numPr>
          <w:ilvl w:val="0"/>
          <w:numId w:val="115"/>
        </w:numPr>
        <w:autoSpaceDE w:val="0"/>
        <w:autoSpaceDN w:val="0"/>
        <w:adjustRightInd w:val="0"/>
        <w:spacing w:before="120" w:after="120"/>
        <w:jc w:val="both"/>
        <w:rPr>
          <w:rFonts w:ascii="Arial" w:hAnsi="Arial" w:cs="Arial"/>
          <w:b/>
          <w:bCs/>
          <w:sz w:val="22"/>
          <w:szCs w:val="22"/>
        </w:rPr>
      </w:pPr>
      <w:r w:rsidRPr="00561534">
        <w:rPr>
          <w:rFonts w:ascii="Arial" w:hAnsi="Arial" w:cs="Arial"/>
          <w:b/>
          <w:bCs/>
          <w:sz w:val="22"/>
          <w:szCs w:val="22"/>
        </w:rPr>
        <w:t>System related factors</w:t>
      </w:r>
    </w:p>
    <w:p w:rsidR="0071027C" w:rsidRPr="00561534" w:rsidRDefault="0071027C" w:rsidP="0071027C">
      <w:pPr>
        <w:autoSpaceDE w:val="0"/>
        <w:autoSpaceDN w:val="0"/>
        <w:adjustRightInd w:val="0"/>
        <w:spacing w:before="120" w:after="120" w:line="240" w:lineRule="auto"/>
        <w:jc w:val="both"/>
        <w:rPr>
          <w:rFonts w:ascii="Arial" w:eastAsia="Calibri" w:hAnsi="Arial" w:cs="Arial"/>
          <w:bCs/>
        </w:rPr>
      </w:pPr>
      <w:r w:rsidRPr="00561534">
        <w:rPr>
          <w:rFonts w:ascii="Arial" w:eastAsia="Calibri" w:hAnsi="Arial" w:cs="Arial"/>
          <w:bCs/>
        </w:rPr>
        <w:t xml:space="preserve">System related factors include the relationship between the caregiver and the clinician, medication stock outs and contradicting information from different health providers regarding medication regimen. </w:t>
      </w:r>
    </w:p>
    <w:p w:rsidR="0071027C" w:rsidRPr="00D544B8" w:rsidRDefault="0071027C" w:rsidP="0071027C">
      <w:pPr>
        <w:pStyle w:val="Heading3"/>
        <w:rPr>
          <w:rFonts w:ascii="Cambria" w:eastAsia="Times New Roman" w:hAnsi="Cambria" w:cs="Times New Roman"/>
          <w:color w:val="4F81BD"/>
          <w:szCs w:val="24"/>
        </w:rPr>
      </w:pPr>
      <w:bookmarkStart w:id="933" w:name="_Toc374512212"/>
      <w:bookmarkStart w:id="934" w:name="_Toc378258272"/>
      <w:bookmarkStart w:id="935" w:name="_Toc382214131"/>
      <w:r w:rsidRPr="00D544B8">
        <w:rPr>
          <w:rFonts w:ascii="Cambria" w:eastAsia="Times New Roman" w:hAnsi="Cambria" w:cs="Times New Roman"/>
          <w:color w:val="4F81BD"/>
          <w:szCs w:val="24"/>
        </w:rPr>
        <w:t>11.6.2 How to prepare for adherence in children</w:t>
      </w:r>
      <w:bookmarkEnd w:id="933"/>
      <w:bookmarkEnd w:id="934"/>
      <w:bookmarkEnd w:id="935"/>
    </w:p>
    <w:p w:rsidR="0071027C" w:rsidRPr="00561534" w:rsidRDefault="0071027C" w:rsidP="0071027C">
      <w:pPr>
        <w:autoSpaceDE w:val="0"/>
        <w:autoSpaceDN w:val="0"/>
        <w:adjustRightInd w:val="0"/>
        <w:spacing w:before="120" w:after="120" w:line="240" w:lineRule="auto"/>
        <w:jc w:val="both"/>
        <w:rPr>
          <w:rFonts w:ascii="Arial" w:eastAsia="Calibri" w:hAnsi="Arial" w:cs="Arial"/>
          <w:bCs/>
        </w:rPr>
      </w:pPr>
      <w:r w:rsidRPr="00561534">
        <w:rPr>
          <w:rFonts w:ascii="Arial" w:eastAsia="Calibri" w:hAnsi="Arial" w:cs="Arial"/>
          <w:bCs/>
        </w:rPr>
        <w:t>The healthcare provider should:</w:t>
      </w:r>
    </w:p>
    <w:p w:rsidR="0071027C" w:rsidRPr="00A27F13"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A27F13">
        <w:rPr>
          <w:rFonts w:ascii="Arial" w:eastAsia="HelveticaNeueLTStd-Lt" w:hAnsi="Arial" w:cs="Arial"/>
          <w:sz w:val="22"/>
          <w:szCs w:val="22"/>
        </w:rPr>
        <w:t>Establish parent/caregiver readiness to start ARVS</w:t>
      </w:r>
    </w:p>
    <w:p w:rsidR="0071027C" w:rsidRPr="00A27F13"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A27F13">
        <w:rPr>
          <w:rFonts w:ascii="Arial" w:eastAsia="HelveticaNeueLTStd-Lt" w:hAnsi="Arial" w:cs="Arial"/>
          <w:sz w:val="22"/>
          <w:szCs w:val="22"/>
        </w:rPr>
        <w:t>Disclose child’s status and need for lifelong treatment to responsible parents/caregiver</w:t>
      </w:r>
    </w:p>
    <w:p w:rsidR="0071027C" w:rsidRPr="00A27F13"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A27F13">
        <w:rPr>
          <w:rFonts w:ascii="Arial" w:eastAsia="HelveticaNeueLTStd-Lt" w:hAnsi="Arial" w:cs="Arial"/>
          <w:sz w:val="22"/>
          <w:szCs w:val="22"/>
        </w:rPr>
        <w:t>Identify responsible person for daily drug administration</w:t>
      </w:r>
    </w:p>
    <w:p w:rsidR="0071027C" w:rsidRPr="00A27F13"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A27F13">
        <w:rPr>
          <w:rFonts w:ascii="Arial" w:eastAsia="HelveticaNeueLTStd-Lt" w:hAnsi="Arial" w:cs="Arial"/>
          <w:sz w:val="22"/>
          <w:szCs w:val="22"/>
        </w:rPr>
        <w:t>Family centered approach is recommended which should include testing of other family members, including all children, and enrollment of the mother in ART Conduct joint session with parent/caregiver, drug dispenser and the child (depending on age and disclosure status).</w:t>
      </w:r>
    </w:p>
    <w:p w:rsidR="0071027C" w:rsidRPr="00A27F13"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A27F13">
        <w:rPr>
          <w:rFonts w:ascii="Arial" w:eastAsia="HelveticaNeueLTStd-Lt" w:hAnsi="Arial" w:cs="Arial"/>
          <w:sz w:val="22"/>
          <w:szCs w:val="22"/>
        </w:rPr>
        <w:t>Conduct demonstration sessions on drug dosages and administration</w:t>
      </w:r>
    </w:p>
    <w:p w:rsidR="0071027C" w:rsidRPr="00D544B8" w:rsidRDefault="0071027C" w:rsidP="0071027C">
      <w:pPr>
        <w:pStyle w:val="Heading3"/>
        <w:rPr>
          <w:rFonts w:ascii="Cambria" w:eastAsia="Times New Roman" w:hAnsi="Cambria" w:cs="Times New Roman"/>
          <w:color w:val="4F81BD"/>
          <w:szCs w:val="24"/>
        </w:rPr>
      </w:pPr>
      <w:bookmarkStart w:id="936" w:name="_Toc374512213"/>
      <w:bookmarkStart w:id="937" w:name="_Toc378258273"/>
      <w:bookmarkStart w:id="938" w:name="_Toc382214132"/>
      <w:r w:rsidRPr="00D544B8">
        <w:rPr>
          <w:rFonts w:ascii="Cambria" w:eastAsia="Times New Roman" w:hAnsi="Cambria" w:cs="Times New Roman"/>
          <w:color w:val="4F81BD"/>
          <w:szCs w:val="24"/>
        </w:rPr>
        <w:t>11.6.3 Considerations for readiness to start treatment for children</w:t>
      </w:r>
      <w:bookmarkEnd w:id="936"/>
      <w:bookmarkEnd w:id="937"/>
      <w:bookmarkEnd w:id="938"/>
    </w:p>
    <w:p w:rsidR="0071027C" w:rsidRPr="00561534" w:rsidRDefault="0071027C" w:rsidP="0071027C">
      <w:pPr>
        <w:autoSpaceDE w:val="0"/>
        <w:autoSpaceDN w:val="0"/>
        <w:adjustRightInd w:val="0"/>
        <w:spacing w:before="120" w:after="120" w:line="240" w:lineRule="auto"/>
        <w:jc w:val="both"/>
        <w:rPr>
          <w:rFonts w:ascii="Arial" w:eastAsia="Calibri" w:hAnsi="Arial" w:cs="Arial"/>
          <w:bCs/>
        </w:rPr>
      </w:pPr>
      <w:r w:rsidRPr="00561534">
        <w:rPr>
          <w:rFonts w:ascii="Arial" w:eastAsia="Calibri" w:hAnsi="Arial" w:cs="Arial"/>
          <w:bCs/>
        </w:rPr>
        <w:t>Before starting medications, the healthcare provider should consider the following:</w:t>
      </w:r>
    </w:p>
    <w:p w:rsidR="0071027C" w:rsidRPr="00A27F13"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A27F13">
        <w:rPr>
          <w:rFonts w:ascii="Arial" w:eastAsia="HelveticaNeueLTStd-Lt" w:hAnsi="Arial" w:cs="Arial"/>
          <w:sz w:val="22"/>
          <w:szCs w:val="22"/>
        </w:rPr>
        <w:t>Parent/caregiver understands importance of clinic visits and maintaining CTC 1 card.</w:t>
      </w:r>
    </w:p>
    <w:p w:rsidR="0071027C" w:rsidRPr="00A27F13"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A27F13">
        <w:rPr>
          <w:rFonts w:ascii="Arial" w:eastAsia="HelveticaNeueLTStd-Lt" w:hAnsi="Arial" w:cs="Arial"/>
          <w:sz w:val="22"/>
          <w:szCs w:val="22"/>
        </w:rPr>
        <w:t>Understand roles of different household members in drug administration</w:t>
      </w:r>
    </w:p>
    <w:p w:rsidR="0071027C" w:rsidRPr="00A27F13"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A27F13">
        <w:rPr>
          <w:rFonts w:ascii="Arial" w:eastAsia="HelveticaNeueLTStd-Lt" w:hAnsi="Arial" w:cs="Arial"/>
          <w:sz w:val="22"/>
          <w:szCs w:val="22"/>
        </w:rPr>
        <w:t>Relevant household members trained</w:t>
      </w:r>
    </w:p>
    <w:p w:rsidR="0071027C" w:rsidRPr="00A27F13"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A27F13">
        <w:rPr>
          <w:rFonts w:ascii="Arial" w:eastAsia="HelveticaNeueLTStd-Lt" w:hAnsi="Arial" w:cs="Arial"/>
          <w:sz w:val="22"/>
          <w:szCs w:val="22"/>
        </w:rPr>
        <w:t>Criteria for readiness to start are met</w:t>
      </w:r>
    </w:p>
    <w:p w:rsidR="0071027C" w:rsidRPr="00A27F13"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A27F13">
        <w:rPr>
          <w:rFonts w:ascii="Arial" w:eastAsia="HelveticaNeueLTStd-Lt" w:hAnsi="Arial" w:cs="Arial"/>
          <w:sz w:val="22"/>
          <w:szCs w:val="22"/>
        </w:rPr>
        <w:t>If caregiver is ready to start, ART may be initiated on the same clinic day</w:t>
      </w:r>
    </w:p>
    <w:p w:rsidR="0071027C" w:rsidRPr="00A27F13" w:rsidRDefault="0071027C" w:rsidP="0071027C">
      <w:pPr>
        <w:pStyle w:val="Heading3"/>
        <w:rPr>
          <w:rFonts w:ascii="Cambria" w:eastAsia="Times New Roman" w:hAnsi="Cambria" w:cs="Times New Roman"/>
          <w:color w:val="4F81BD"/>
        </w:rPr>
      </w:pPr>
      <w:bookmarkStart w:id="939" w:name="_Toc374512214"/>
      <w:bookmarkStart w:id="940" w:name="_Toc378258274"/>
      <w:bookmarkStart w:id="941" w:name="_Toc382214133"/>
      <w:r w:rsidRPr="00A27F13">
        <w:rPr>
          <w:rFonts w:ascii="Cambria" w:eastAsia="Times New Roman" w:hAnsi="Cambria" w:cs="Times New Roman"/>
          <w:color w:val="4F81BD"/>
        </w:rPr>
        <w:t>11.6.4 Strategies for Successful Adherence among children</w:t>
      </w:r>
      <w:bookmarkEnd w:id="939"/>
      <w:bookmarkEnd w:id="940"/>
      <w:bookmarkEnd w:id="941"/>
    </w:p>
    <w:p w:rsidR="0071027C" w:rsidRPr="00A27F13"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A27F13">
        <w:rPr>
          <w:rFonts w:ascii="Arial" w:eastAsia="HelveticaNeueLTStd-Lt" w:hAnsi="Arial" w:cs="Arial"/>
          <w:sz w:val="22"/>
          <w:szCs w:val="22"/>
        </w:rPr>
        <w:t>Before ANY medications are started, every patient must be assessed for treatment READINESS</w:t>
      </w:r>
      <w:r>
        <w:rPr>
          <w:rFonts w:ascii="Arial" w:eastAsia="HelveticaNeueLTStd-Lt" w:hAnsi="Arial" w:cs="Arial"/>
          <w:sz w:val="22"/>
          <w:szCs w:val="22"/>
        </w:rPr>
        <w:t xml:space="preserve"> </w:t>
      </w:r>
      <w:r w:rsidRPr="00A27F13">
        <w:rPr>
          <w:rFonts w:ascii="Arial" w:eastAsia="HelveticaNeueLTStd-Lt" w:hAnsi="Arial" w:cs="Arial"/>
          <w:sz w:val="22"/>
          <w:szCs w:val="22"/>
        </w:rPr>
        <w:t xml:space="preserve">with all potential barriers identified and addressed. </w:t>
      </w:r>
    </w:p>
    <w:p w:rsidR="0071027C" w:rsidRPr="00A27F13"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A27F13">
        <w:rPr>
          <w:rFonts w:ascii="Arial" w:eastAsia="HelveticaNeueLTStd-Lt" w:hAnsi="Arial" w:cs="Arial"/>
          <w:sz w:val="22"/>
          <w:szCs w:val="22"/>
        </w:rPr>
        <w:t xml:space="preserve">Strategies for adherence MUST be household or family oriented  </w:t>
      </w:r>
    </w:p>
    <w:p w:rsidR="0071027C" w:rsidRPr="00A27F13"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A27F13">
        <w:rPr>
          <w:rFonts w:ascii="Arial" w:eastAsia="HelveticaNeueLTStd-Lt" w:hAnsi="Arial" w:cs="Arial"/>
          <w:sz w:val="22"/>
          <w:szCs w:val="22"/>
        </w:rPr>
        <w:t>Adherence counseling is ongoing process and takes time and commitment.</w:t>
      </w:r>
    </w:p>
    <w:p w:rsidR="0071027C" w:rsidRPr="00A27F13"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A27F13">
        <w:rPr>
          <w:rFonts w:ascii="Arial" w:eastAsia="HelveticaNeueLTStd-Lt" w:hAnsi="Arial" w:cs="Arial"/>
          <w:sz w:val="22"/>
          <w:szCs w:val="22"/>
        </w:rPr>
        <w:t>Ensure use of  relevant  checklist and SOPs</w:t>
      </w:r>
    </w:p>
    <w:p w:rsidR="0071027C" w:rsidRPr="00A27F13"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A27F13">
        <w:rPr>
          <w:rFonts w:ascii="Arial" w:eastAsia="HelveticaNeueLTStd-Lt" w:hAnsi="Arial" w:cs="Arial"/>
          <w:sz w:val="22"/>
          <w:szCs w:val="22"/>
        </w:rPr>
        <w:t>Adherence must be addressed at EVERY patient visit.</w:t>
      </w:r>
    </w:p>
    <w:p w:rsidR="0071027C" w:rsidRPr="00A27F13"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A27F13">
        <w:rPr>
          <w:rFonts w:ascii="Arial" w:eastAsia="HelveticaNeueLTStd-Lt" w:hAnsi="Arial" w:cs="Arial"/>
          <w:sz w:val="22"/>
          <w:szCs w:val="22"/>
        </w:rPr>
        <w:t>Review strategies regularly: to meet the changing needs of the growing child.</w:t>
      </w:r>
    </w:p>
    <w:p w:rsidR="0071027C" w:rsidRPr="00A27F13"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A27F13">
        <w:rPr>
          <w:rFonts w:ascii="Arial" w:eastAsia="HelveticaNeueLTStd-Lt" w:hAnsi="Arial" w:cs="Arial"/>
          <w:sz w:val="22"/>
          <w:szCs w:val="22"/>
        </w:rPr>
        <w:t>Work as a team – doctors, nurses, pharmacists, counselors all reinforce adherence.</w:t>
      </w:r>
    </w:p>
    <w:p w:rsidR="0071027C" w:rsidRPr="00A27F13"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A27F13">
        <w:rPr>
          <w:rFonts w:ascii="Arial" w:eastAsia="HelveticaNeueLTStd-Lt" w:hAnsi="Arial" w:cs="Arial"/>
          <w:sz w:val="22"/>
          <w:szCs w:val="22"/>
        </w:rPr>
        <w:t>Identify one household caregiver who gives medication to child and should attend clinic as well</w:t>
      </w:r>
    </w:p>
    <w:p w:rsidR="0071027C" w:rsidRPr="00A27F13" w:rsidRDefault="0071027C" w:rsidP="0071027C">
      <w:pPr>
        <w:pStyle w:val="Heading3"/>
        <w:rPr>
          <w:rFonts w:ascii="Cambria" w:eastAsia="Times New Roman" w:hAnsi="Cambria" w:cs="Times New Roman"/>
          <w:color w:val="4F81BD"/>
          <w:szCs w:val="24"/>
        </w:rPr>
      </w:pPr>
      <w:bookmarkStart w:id="942" w:name="_Toc374512215"/>
      <w:bookmarkStart w:id="943" w:name="_Toc378258275"/>
      <w:bookmarkStart w:id="944" w:name="_Toc382214134"/>
      <w:r w:rsidRPr="00A27F13">
        <w:rPr>
          <w:rFonts w:ascii="Cambria" w:eastAsia="Times New Roman" w:hAnsi="Cambria" w:cs="Times New Roman"/>
          <w:color w:val="4F81BD"/>
          <w:szCs w:val="24"/>
        </w:rPr>
        <w:t>11.6.5 Common challenges and strategies to improve adherence in children</w:t>
      </w:r>
      <w:bookmarkEnd w:id="942"/>
      <w:bookmarkEnd w:id="943"/>
      <w:bookmarkEnd w:id="944"/>
    </w:p>
    <w:p w:rsidR="0071027C" w:rsidRPr="00561534" w:rsidRDefault="0071027C" w:rsidP="0071027C">
      <w:pPr>
        <w:autoSpaceDE w:val="0"/>
        <w:autoSpaceDN w:val="0"/>
        <w:adjustRightInd w:val="0"/>
        <w:spacing w:before="120" w:after="120" w:line="240" w:lineRule="auto"/>
        <w:jc w:val="both"/>
        <w:rPr>
          <w:rFonts w:ascii="Arial" w:eastAsia="Calibri" w:hAnsi="Arial" w:cs="Arial"/>
          <w:b/>
          <w:bCs/>
        </w:rPr>
      </w:pPr>
      <w:r w:rsidRPr="00561534">
        <w:rPr>
          <w:rFonts w:ascii="Arial" w:eastAsia="Calibri" w:hAnsi="Arial" w:cs="Arial"/>
          <w:b/>
          <w:bCs/>
        </w:rPr>
        <w:tab/>
      </w:r>
      <w:r w:rsidRPr="00561534">
        <w:rPr>
          <w:rFonts w:ascii="Arial" w:eastAsia="Calibri" w:hAnsi="Arial" w:cs="Arial"/>
          <w:b/>
          <w:bCs/>
        </w:rPr>
        <w:tab/>
      </w:r>
      <w:r w:rsidRPr="00561534">
        <w:rPr>
          <w:rFonts w:ascii="Arial" w:eastAsia="Calibri" w:hAnsi="Arial" w:cs="Arial"/>
          <w:b/>
          <w:bCs/>
        </w:rPr>
        <w:tab/>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6300"/>
      </w:tblGrid>
      <w:tr w:rsidR="0071027C" w:rsidRPr="00561534" w:rsidTr="0071027C">
        <w:trPr>
          <w:trHeight w:val="431"/>
        </w:trPr>
        <w:tc>
          <w:tcPr>
            <w:tcW w:w="3168" w:type="dxa"/>
            <w:tcBorders>
              <w:right w:val="single" w:sz="4" w:space="0" w:color="FFFFFF"/>
            </w:tcBorders>
            <w:shd w:val="clear" w:color="auto" w:fill="000000"/>
            <w:hideMark/>
          </w:tcPr>
          <w:p w:rsidR="0071027C" w:rsidRPr="00561534" w:rsidRDefault="0071027C" w:rsidP="0071027C">
            <w:pPr>
              <w:spacing w:before="120" w:after="120" w:line="240" w:lineRule="auto"/>
              <w:jc w:val="both"/>
              <w:textAlignment w:val="baseline"/>
              <w:rPr>
                <w:rFonts w:ascii="Arial" w:eastAsia="MS PGothic" w:hAnsi="Arial" w:cs="Arial"/>
                <w:kern w:val="24"/>
                <w:position w:val="1"/>
              </w:rPr>
            </w:pPr>
            <w:r w:rsidRPr="00561534">
              <w:rPr>
                <w:rFonts w:ascii="Arial" w:eastAsia="Calibri" w:hAnsi="Arial" w:cs="Arial"/>
                <w:b/>
                <w:bCs/>
              </w:rPr>
              <w:t>CHALLENGE</w:t>
            </w:r>
          </w:p>
        </w:tc>
        <w:tc>
          <w:tcPr>
            <w:tcW w:w="6300" w:type="dxa"/>
            <w:tcBorders>
              <w:left w:val="single" w:sz="4" w:space="0" w:color="FFFFFF"/>
            </w:tcBorders>
            <w:shd w:val="clear" w:color="auto" w:fill="000000"/>
            <w:hideMark/>
          </w:tcPr>
          <w:p w:rsidR="0071027C" w:rsidRPr="00561534" w:rsidRDefault="0071027C" w:rsidP="0071027C">
            <w:pPr>
              <w:spacing w:before="120" w:after="120" w:line="240" w:lineRule="auto"/>
              <w:contextualSpacing/>
              <w:jc w:val="both"/>
              <w:textAlignment w:val="baseline"/>
              <w:rPr>
                <w:rFonts w:ascii="Arial" w:eastAsia="MS PGothic" w:hAnsi="Arial" w:cs="Arial"/>
                <w:kern w:val="24"/>
                <w:position w:val="1"/>
              </w:rPr>
            </w:pPr>
            <w:r w:rsidRPr="00561534">
              <w:rPr>
                <w:rFonts w:ascii="Arial" w:eastAsia="Calibri" w:hAnsi="Arial" w:cs="Arial"/>
                <w:b/>
                <w:bCs/>
              </w:rPr>
              <w:t>STRATEGIES</w:t>
            </w:r>
          </w:p>
        </w:tc>
      </w:tr>
      <w:tr w:rsidR="0071027C" w:rsidRPr="00561534" w:rsidTr="0071027C">
        <w:trPr>
          <w:trHeight w:val="1349"/>
        </w:trPr>
        <w:tc>
          <w:tcPr>
            <w:tcW w:w="3168" w:type="dxa"/>
            <w:shd w:val="clear" w:color="auto" w:fill="D9D9D9"/>
            <w:hideMark/>
          </w:tcPr>
          <w:p w:rsidR="0071027C" w:rsidRPr="00561534" w:rsidRDefault="0071027C" w:rsidP="00274941">
            <w:pPr>
              <w:widowControl/>
              <w:numPr>
                <w:ilvl w:val="0"/>
                <w:numId w:val="109"/>
              </w:numPr>
              <w:autoSpaceDE w:val="0"/>
              <w:autoSpaceDN w:val="0"/>
              <w:adjustRightInd w:val="0"/>
              <w:spacing w:before="120" w:after="120" w:line="240" w:lineRule="auto"/>
              <w:ind w:left="270" w:hanging="270"/>
              <w:jc w:val="both"/>
              <w:rPr>
                <w:rFonts w:ascii="Arial" w:eastAsia="Calibri" w:hAnsi="Arial" w:cs="Arial"/>
                <w:b/>
                <w:bCs/>
              </w:rPr>
            </w:pPr>
            <w:r w:rsidRPr="00561534">
              <w:rPr>
                <w:rFonts w:ascii="Arial" w:eastAsia="Calibri" w:hAnsi="Arial" w:cs="Arial"/>
                <w:b/>
                <w:bCs/>
              </w:rPr>
              <w:t>Child not taking medications</w:t>
            </w:r>
          </w:p>
          <w:p w:rsidR="0071027C" w:rsidRPr="00561534" w:rsidRDefault="0071027C" w:rsidP="0071027C">
            <w:pPr>
              <w:spacing w:before="120" w:after="120" w:line="240" w:lineRule="auto"/>
              <w:jc w:val="both"/>
              <w:textAlignment w:val="baseline"/>
              <w:rPr>
                <w:rFonts w:ascii="Arial" w:eastAsia="Times New Roman" w:hAnsi="Arial" w:cs="Arial"/>
              </w:rPr>
            </w:pPr>
            <w:r w:rsidRPr="00561534">
              <w:rPr>
                <w:rFonts w:ascii="Arial" w:eastAsia="MS PGothic" w:hAnsi="Arial" w:cs="Arial"/>
                <w:kern w:val="24"/>
                <w:position w:val="1"/>
              </w:rPr>
              <w:t>Parents/caregiver reports that the child not taking his/her medications.</w:t>
            </w:r>
          </w:p>
        </w:tc>
        <w:tc>
          <w:tcPr>
            <w:tcW w:w="6300" w:type="dxa"/>
            <w:shd w:val="clear" w:color="auto" w:fill="D9D9D9"/>
            <w:hideMark/>
          </w:tcPr>
          <w:p w:rsidR="0071027C" w:rsidRPr="00561534" w:rsidRDefault="0071027C" w:rsidP="00274941">
            <w:pPr>
              <w:widowControl/>
              <w:numPr>
                <w:ilvl w:val="0"/>
                <w:numId w:val="110"/>
              </w:numPr>
              <w:spacing w:before="120" w:after="120" w:line="240" w:lineRule="auto"/>
              <w:contextualSpacing/>
              <w:jc w:val="both"/>
              <w:textAlignment w:val="baseline"/>
              <w:rPr>
                <w:rFonts w:ascii="Arial" w:eastAsia="Times New Roman" w:hAnsi="Arial" w:cs="Arial"/>
              </w:rPr>
            </w:pPr>
            <w:r w:rsidRPr="00561534">
              <w:rPr>
                <w:rFonts w:ascii="Arial" w:eastAsia="MS PGothic" w:hAnsi="Arial" w:cs="Arial"/>
                <w:kern w:val="24"/>
                <w:position w:val="1"/>
              </w:rPr>
              <w:t>Obtain a detailed history aimed at identification of the specific causes of his/her broad complaint</w:t>
            </w:r>
          </w:p>
          <w:p w:rsidR="0071027C" w:rsidRPr="00561534" w:rsidRDefault="0071027C" w:rsidP="00274941">
            <w:pPr>
              <w:widowControl/>
              <w:numPr>
                <w:ilvl w:val="0"/>
                <w:numId w:val="110"/>
              </w:numPr>
              <w:spacing w:before="120" w:after="120" w:line="240" w:lineRule="auto"/>
              <w:contextualSpacing/>
              <w:jc w:val="both"/>
              <w:textAlignment w:val="baseline"/>
              <w:rPr>
                <w:rFonts w:ascii="Arial" w:eastAsia="Times New Roman" w:hAnsi="Arial" w:cs="Arial"/>
              </w:rPr>
            </w:pPr>
            <w:r w:rsidRPr="00561534">
              <w:rPr>
                <w:rFonts w:ascii="Arial" w:eastAsia="MS PGothic" w:hAnsi="Arial" w:cs="Arial"/>
                <w:kern w:val="24"/>
                <w:position w:val="1"/>
              </w:rPr>
              <w:t>Explore with the parent/caregiver on ways to convince the child to take the medications</w:t>
            </w:r>
          </w:p>
          <w:p w:rsidR="0071027C" w:rsidRPr="00561534" w:rsidRDefault="0071027C" w:rsidP="00274941">
            <w:pPr>
              <w:widowControl/>
              <w:numPr>
                <w:ilvl w:val="0"/>
                <w:numId w:val="110"/>
              </w:numPr>
              <w:spacing w:before="120" w:after="120" w:line="240" w:lineRule="auto"/>
              <w:contextualSpacing/>
              <w:jc w:val="both"/>
              <w:textAlignment w:val="baseline"/>
              <w:rPr>
                <w:rFonts w:ascii="Arial" w:eastAsia="Times New Roman" w:hAnsi="Arial" w:cs="Arial"/>
              </w:rPr>
            </w:pPr>
            <w:r w:rsidRPr="00561534">
              <w:rPr>
                <w:rFonts w:ascii="Arial" w:eastAsia="MS PGothic" w:hAnsi="Arial" w:cs="Arial"/>
                <w:kern w:val="24"/>
                <w:position w:val="1"/>
              </w:rPr>
              <w:t>Teach the parent/caregiver the importance of adherence for the child’s survival</w:t>
            </w:r>
          </w:p>
          <w:p w:rsidR="0071027C" w:rsidRPr="00561534" w:rsidRDefault="0071027C" w:rsidP="00274941">
            <w:pPr>
              <w:widowControl/>
              <w:numPr>
                <w:ilvl w:val="0"/>
                <w:numId w:val="110"/>
              </w:numPr>
              <w:spacing w:before="120" w:after="120" w:line="240" w:lineRule="auto"/>
              <w:contextualSpacing/>
              <w:jc w:val="both"/>
              <w:textAlignment w:val="baseline"/>
              <w:rPr>
                <w:rFonts w:ascii="Arial" w:eastAsia="Times New Roman" w:hAnsi="Arial" w:cs="Arial"/>
              </w:rPr>
            </w:pPr>
            <w:r w:rsidRPr="00561534">
              <w:rPr>
                <w:rFonts w:ascii="Arial" w:eastAsia="MS PGothic" w:hAnsi="Arial" w:cs="Arial"/>
                <w:kern w:val="24"/>
                <w:position w:val="1"/>
              </w:rPr>
              <w:t xml:space="preserve">Simplify adherence information to ensure parent/caregiver understands the treatment regimen </w:t>
            </w:r>
          </w:p>
        </w:tc>
      </w:tr>
      <w:tr w:rsidR="0071027C" w:rsidRPr="00561534" w:rsidTr="0071027C">
        <w:trPr>
          <w:trHeight w:val="2420"/>
        </w:trPr>
        <w:tc>
          <w:tcPr>
            <w:tcW w:w="3168" w:type="dxa"/>
            <w:hideMark/>
          </w:tcPr>
          <w:p w:rsidR="0071027C" w:rsidRPr="00561534" w:rsidRDefault="0071027C" w:rsidP="0071027C">
            <w:pPr>
              <w:autoSpaceDE w:val="0"/>
              <w:autoSpaceDN w:val="0"/>
              <w:adjustRightInd w:val="0"/>
              <w:spacing w:before="120" w:after="120" w:line="240" w:lineRule="auto"/>
              <w:jc w:val="both"/>
              <w:rPr>
                <w:rFonts w:ascii="Arial" w:eastAsia="Calibri" w:hAnsi="Arial" w:cs="Arial"/>
                <w:b/>
                <w:bCs/>
              </w:rPr>
            </w:pPr>
            <w:r w:rsidRPr="00561534">
              <w:rPr>
                <w:rFonts w:ascii="Arial" w:eastAsia="Calibri" w:hAnsi="Arial" w:cs="Arial"/>
                <w:b/>
                <w:bCs/>
              </w:rPr>
              <w:t>2. Medicines make child sick</w:t>
            </w:r>
          </w:p>
          <w:p w:rsidR="0071027C" w:rsidRPr="00561534" w:rsidRDefault="0071027C" w:rsidP="0071027C">
            <w:pPr>
              <w:spacing w:before="120" w:after="120" w:line="240" w:lineRule="auto"/>
              <w:jc w:val="both"/>
              <w:textAlignment w:val="baseline"/>
              <w:rPr>
                <w:rFonts w:ascii="Arial" w:eastAsia="Times New Roman" w:hAnsi="Arial" w:cs="Arial"/>
              </w:rPr>
            </w:pPr>
            <w:r w:rsidRPr="00561534">
              <w:rPr>
                <w:rFonts w:ascii="Arial" w:eastAsia="MS PGothic" w:hAnsi="Arial" w:cs="Arial"/>
                <w:kern w:val="24"/>
              </w:rPr>
              <w:t>Caregiver/parent reports the child becoming nauseous and vomiting after taking medications</w:t>
            </w:r>
          </w:p>
        </w:tc>
        <w:tc>
          <w:tcPr>
            <w:tcW w:w="6300" w:type="dxa"/>
            <w:hideMark/>
          </w:tcPr>
          <w:p w:rsidR="0071027C" w:rsidRPr="00561534" w:rsidRDefault="0071027C" w:rsidP="00274941">
            <w:pPr>
              <w:widowControl/>
              <w:numPr>
                <w:ilvl w:val="0"/>
                <w:numId w:val="110"/>
              </w:numPr>
              <w:tabs>
                <w:tab w:val="left" w:pos="308"/>
              </w:tabs>
              <w:spacing w:before="120" w:after="120" w:line="240" w:lineRule="auto"/>
              <w:contextualSpacing/>
              <w:jc w:val="both"/>
              <w:textAlignment w:val="baseline"/>
              <w:rPr>
                <w:rFonts w:ascii="Arial" w:eastAsia="Times New Roman" w:hAnsi="Arial" w:cs="Arial"/>
              </w:rPr>
            </w:pPr>
            <w:r w:rsidRPr="00561534">
              <w:rPr>
                <w:rFonts w:ascii="Arial" w:eastAsia="MS PGothic" w:hAnsi="Arial" w:cs="Arial"/>
                <w:kern w:val="24"/>
              </w:rPr>
              <w:t xml:space="preserve">Administer medications with food </w:t>
            </w:r>
          </w:p>
          <w:p w:rsidR="0071027C" w:rsidRPr="00561534" w:rsidRDefault="0071027C" w:rsidP="00274941">
            <w:pPr>
              <w:widowControl/>
              <w:numPr>
                <w:ilvl w:val="0"/>
                <w:numId w:val="110"/>
              </w:numPr>
              <w:tabs>
                <w:tab w:val="left" w:pos="308"/>
              </w:tabs>
              <w:spacing w:before="120" w:after="120" w:line="240" w:lineRule="auto"/>
              <w:contextualSpacing/>
              <w:jc w:val="both"/>
              <w:textAlignment w:val="baseline"/>
              <w:rPr>
                <w:rFonts w:ascii="Arial" w:eastAsia="Times New Roman" w:hAnsi="Arial" w:cs="Arial"/>
              </w:rPr>
            </w:pPr>
            <w:r w:rsidRPr="00561534">
              <w:rPr>
                <w:rFonts w:ascii="Arial" w:eastAsia="MS PGothic" w:hAnsi="Arial" w:cs="Arial"/>
                <w:kern w:val="24"/>
              </w:rPr>
              <w:t>Administer medications with liquid to help reduce gastric irritation</w:t>
            </w:r>
          </w:p>
          <w:p w:rsidR="0071027C" w:rsidRPr="00561534" w:rsidRDefault="0071027C" w:rsidP="00274941">
            <w:pPr>
              <w:widowControl/>
              <w:numPr>
                <w:ilvl w:val="0"/>
                <w:numId w:val="110"/>
              </w:numPr>
              <w:tabs>
                <w:tab w:val="left" w:pos="308"/>
              </w:tabs>
              <w:spacing w:before="120" w:after="120" w:line="240" w:lineRule="auto"/>
              <w:contextualSpacing/>
              <w:jc w:val="both"/>
              <w:textAlignment w:val="baseline"/>
              <w:rPr>
                <w:rFonts w:ascii="Arial" w:eastAsia="Times New Roman" w:hAnsi="Arial" w:cs="Arial"/>
              </w:rPr>
            </w:pPr>
            <w:r w:rsidRPr="00561534">
              <w:rPr>
                <w:rFonts w:ascii="Arial" w:eastAsia="MS PGothic" w:hAnsi="Arial" w:cs="Arial"/>
                <w:kern w:val="24"/>
              </w:rPr>
              <w:t>Reassure caregiver/parent that most nausea and vomiting will resolve</w:t>
            </w:r>
          </w:p>
          <w:p w:rsidR="0071027C" w:rsidRPr="00561534" w:rsidRDefault="0071027C" w:rsidP="00274941">
            <w:pPr>
              <w:widowControl/>
              <w:numPr>
                <w:ilvl w:val="0"/>
                <w:numId w:val="110"/>
              </w:numPr>
              <w:tabs>
                <w:tab w:val="left" w:pos="308"/>
              </w:tabs>
              <w:spacing w:before="120" w:after="120" w:line="240" w:lineRule="auto"/>
              <w:contextualSpacing/>
              <w:jc w:val="both"/>
              <w:textAlignment w:val="baseline"/>
              <w:rPr>
                <w:rFonts w:ascii="Arial" w:eastAsia="Times New Roman" w:hAnsi="Arial" w:cs="Arial"/>
              </w:rPr>
            </w:pPr>
            <w:r w:rsidRPr="00561534">
              <w:rPr>
                <w:rFonts w:ascii="Arial" w:eastAsia="MS PGothic" w:hAnsi="Arial" w:cs="Arial"/>
                <w:kern w:val="24"/>
              </w:rPr>
              <w:t>If symptoms are severe, consider expert advice on regimen change and timing of medication</w:t>
            </w:r>
            <w:r>
              <w:rPr>
                <w:rFonts w:ascii="Arial" w:eastAsia="MS PGothic" w:hAnsi="Arial" w:cs="Arial"/>
                <w:kern w:val="24"/>
              </w:rPr>
              <w:t>.</w:t>
            </w:r>
          </w:p>
        </w:tc>
      </w:tr>
      <w:tr w:rsidR="0071027C" w:rsidRPr="00561534" w:rsidTr="0071027C">
        <w:trPr>
          <w:trHeight w:val="3140"/>
        </w:trPr>
        <w:tc>
          <w:tcPr>
            <w:tcW w:w="3168" w:type="dxa"/>
            <w:shd w:val="clear" w:color="auto" w:fill="D9D9D9"/>
            <w:hideMark/>
          </w:tcPr>
          <w:p w:rsidR="0071027C" w:rsidRPr="00561534" w:rsidRDefault="0071027C" w:rsidP="0071027C">
            <w:pPr>
              <w:autoSpaceDE w:val="0"/>
              <w:autoSpaceDN w:val="0"/>
              <w:adjustRightInd w:val="0"/>
              <w:spacing w:before="120" w:after="120" w:line="240" w:lineRule="auto"/>
              <w:jc w:val="both"/>
              <w:rPr>
                <w:rFonts w:ascii="Arial" w:eastAsia="Calibri" w:hAnsi="Arial" w:cs="Arial"/>
                <w:b/>
                <w:bCs/>
              </w:rPr>
            </w:pPr>
            <w:r w:rsidRPr="00561534">
              <w:rPr>
                <w:rFonts w:ascii="Arial" w:eastAsia="Calibri" w:hAnsi="Arial" w:cs="Arial"/>
                <w:b/>
                <w:bCs/>
              </w:rPr>
              <w:t>3.</w:t>
            </w:r>
            <w:r>
              <w:rPr>
                <w:rFonts w:ascii="Arial" w:eastAsia="Calibri" w:hAnsi="Arial" w:cs="Arial"/>
                <w:b/>
                <w:bCs/>
              </w:rPr>
              <w:t xml:space="preserve"> </w:t>
            </w:r>
            <w:r w:rsidRPr="00561534">
              <w:rPr>
                <w:rFonts w:ascii="Arial" w:eastAsia="Calibri" w:hAnsi="Arial" w:cs="Arial"/>
                <w:b/>
                <w:bCs/>
              </w:rPr>
              <w:t>Fear of medicines harming the child</w:t>
            </w:r>
          </w:p>
          <w:p w:rsidR="0071027C" w:rsidRPr="00561534" w:rsidRDefault="0071027C" w:rsidP="0071027C">
            <w:pPr>
              <w:spacing w:before="120" w:after="120" w:line="240" w:lineRule="auto"/>
              <w:jc w:val="both"/>
              <w:textAlignment w:val="baseline"/>
              <w:rPr>
                <w:rFonts w:ascii="Arial" w:eastAsia="Times New Roman" w:hAnsi="Arial" w:cs="Arial"/>
              </w:rPr>
            </w:pPr>
            <w:r w:rsidRPr="00561534">
              <w:rPr>
                <w:rFonts w:ascii="Arial" w:eastAsia="Times New Roman" w:hAnsi="Arial" w:cs="Arial"/>
                <w:kern w:val="24"/>
              </w:rPr>
              <w:t>A caregiver/parent reports the child is clinically deteriorating but that the child has good adherence. The caregiver/parent is worried that the antiretroviral medications will harm the child</w:t>
            </w:r>
          </w:p>
        </w:tc>
        <w:tc>
          <w:tcPr>
            <w:tcW w:w="6300" w:type="dxa"/>
            <w:shd w:val="clear" w:color="auto" w:fill="D9D9D9"/>
            <w:hideMark/>
          </w:tcPr>
          <w:p w:rsidR="0071027C" w:rsidRPr="00561534" w:rsidRDefault="0071027C" w:rsidP="00274941">
            <w:pPr>
              <w:widowControl/>
              <w:numPr>
                <w:ilvl w:val="0"/>
                <w:numId w:val="110"/>
              </w:numPr>
              <w:spacing w:before="120" w:after="120" w:line="240" w:lineRule="auto"/>
              <w:contextualSpacing/>
              <w:jc w:val="both"/>
              <w:textAlignment w:val="baseline"/>
              <w:rPr>
                <w:rFonts w:ascii="Arial" w:eastAsia="Times New Roman" w:hAnsi="Arial" w:cs="Arial"/>
              </w:rPr>
            </w:pPr>
            <w:r w:rsidRPr="00561534">
              <w:rPr>
                <w:rFonts w:ascii="Arial" w:eastAsia="Times New Roman" w:hAnsi="Arial" w:cs="Arial"/>
                <w:kern w:val="24"/>
              </w:rPr>
              <w:t>Ensure that the child is taking the correct dose</w:t>
            </w:r>
          </w:p>
          <w:p w:rsidR="0071027C" w:rsidRPr="00561534" w:rsidRDefault="0071027C" w:rsidP="00274941">
            <w:pPr>
              <w:widowControl/>
              <w:numPr>
                <w:ilvl w:val="0"/>
                <w:numId w:val="110"/>
              </w:numPr>
              <w:spacing w:before="120" w:after="120" w:line="240" w:lineRule="auto"/>
              <w:contextualSpacing/>
              <w:jc w:val="both"/>
              <w:textAlignment w:val="baseline"/>
              <w:rPr>
                <w:rFonts w:ascii="Arial" w:eastAsia="Times New Roman" w:hAnsi="Arial" w:cs="Arial"/>
              </w:rPr>
            </w:pPr>
            <w:r w:rsidRPr="00561534">
              <w:rPr>
                <w:rFonts w:ascii="Arial" w:eastAsia="Times New Roman" w:hAnsi="Arial" w:cs="Arial"/>
                <w:kern w:val="24"/>
              </w:rPr>
              <w:t>Evaluate the child for other opportunistic infections</w:t>
            </w:r>
          </w:p>
          <w:p w:rsidR="0071027C" w:rsidRPr="00561534" w:rsidRDefault="0071027C" w:rsidP="00274941">
            <w:pPr>
              <w:widowControl/>
              <w:numPr>
                <w:ilvl w:val="0"/>
                <w:numId w:val="110"/>
              </w:numPr>
              <w:spacing w:before="120" w:after="120" w:line="240" w:lineRule="auto"/>
              <w:contextualSpacing/>
              <w:jc w:val="both"/>
              <w:textAlignment w:val="baseline"/>
              <w:rPr>
                <w:rFonts w:ascii="Arial" w:eastAsia="Times New Roman" w:hAnsi="Arial" w:cs="Arial"/>
              </w:rPr>
            </w:pPr>
            <w:r w:rsidRPr="00561534">
              <w:rPr>
                <w:rFonts w:ascii="Arial" w:eastAsia="Times New Roman" w:hAnsi="Arial" w:cs="Arial"/>
                <w:kern w:val="24"/>
              </w:rPr>
              <w:t>Evaluate the child for side effects of the regimen</w:t>
            </w:r>
          </w:p>
          <w:p w:rsidR="0071027C" w:rsidRPr="00561534" w:rsidRDefault="0071027C" w:rsidP="00274941">
            <w:pPr>
              <w:widowControl/>
              <w:numPr>
                <w:ilvl w:val="0"/>
                <w:numId w:val="110"/>
              </w:numPr>
              <w:spacing w:before="120" w:after="120" w:line="240" w:lineRule="auto"/>
              <w:contextualSpacing/>
              <w:jc w:val="both"/>
              <w:textAlignment w:val="baseline"/>
              <w:rPr>
                <w:rFonts w:ascii="Arial" w:eastAsia="Times New Roman" w:hAnsi="Arial" w:cs="Arial"/>
              </w:rPr>
            </w:pPr>
            <w:r w:rsidRPr="00561534">
              <w:rPr>
                <w:rFonts w:ascii="Arial" w:eastAsia="Times New Roman" w:hAnsi="Arial" w:cs="Arial"/>
                <w:kern w:val="24"/>
              </w:rPr>
              <w:t>Encourage the caregiver/parent to continue the regimen unless the child has severe side effects, in which case ask for expert advice about changing the regimen</w:t>
            </w:r>
            <w:r>
              <w:rPr>
                <w:rFonts w:ascii="Arial" w:eastAsia="Times New Roman" w:hAnsi="Arial" w:cs="Arial"/>
                <w:kern w:val="24"/>
              </w:rPr>
              <w:t>.</w:t>
            </w:r>
          </w:p>
          <w:p w:rsidR="0071027C" w:rsidRPr="00561534" w:rsidRDefault="0071027C" w:rsidP="00274941">
            <w:pPr>
              <w:widowControl/>
              <w:numPr>
                <w:ilvl w:val="0"/>
                <w:numId w:val="110"/>
              </w:numPr>
              <w:spacing w:before="120" w:after="120" w:line="240" w:lineRule="auto"/>
              <w:contextualSpacing/>
              <w:jc w:val="both"/>
              <w:textAlignment w:val="baseline"/>
              <w:rPr>
                <w:rFonts w:ascii="Arial" w:eastAsia="Times New Roman" w:hAnsi="Arial" w:cs="Arial"/>
                <w:lang w:val="en-GB"/>
              </w:rPr>
            </w:pPr>
            <w:r w:rsidRPr="00561534">
              <w:rPr>
                <w:rFonts w:ascii="Arial" w:eastAsia="Times New Roman" w:hAnsi="Arial" w:cs="Arial"/>
                <w:kern w:val="24"/>
              </w:rPr>
              <w:t>Utilize visiting nurse/HBC provider services to assist with adherence assessments and follow up home visits</w:t>
            </w:r>
            <w:r>
              <w:rPr>
                <w:rFonts w:ascii="Arial" w:eastAsia="Times New Roman" w:hAnsi="Arial" w:cs="Arial"/>
                <w:kern w:val="24"/>
              </w:rPr>
              <w:t>.</w:t>
            </w:r>
          </w:p>
        </w:tc>
      </w:tr>
      <w:tr w:rsidR="0071027C" w:rsidRPr="00561534" w:rsidTr="0071027C">
        <w:trPr>
          <w:trHeight w:val="2555"/>
        </w:trPr>
        <w:tc>
          <w:tcPr>
            <w:tcW w:w="3168" w:type="dxa"/>
            <w:hideMark/>
          </w:tcPr>
          <w:p w:rsidR="0071027C" w:rsidRPr="00561534" w:rsidRDefault="0071027C" w:rsidP="0071027C">
            <w:pPr>
              <w:spacing w:before="120" w:after="120" w:line="240" w:lineRule="auto"/>
              <w:jc w:val="both"/>
              <w:textAlignment w:val="baseline"/>
              <w:rPr>
                <w:rFonts w:ascii="Arial" w:eastAsia="Times New Roman" w:hAnsi="Arial" w:cs="Arial"/>
                <w:kern w:val="24"/>
              </w:rPr>
            </w:pPr>
            <w:r w:rsidRPr="00561534">
              <w:rPr>
                <w:rFonts w:ascii="Arial" w:eastAsia="Calibri" w:hAnsi="Arial" w:cs="Arial"/>
                <w:b/>
                <w:bCs/>
              </w:rPr>
              <w:t>4. Regimen dosing confusion</w:t>
            </w:r>
          </w:p>
          <w:p w:rsidR="0071027C" w:rsidRPr="00561534" w:rsidRDefault="0071027C" w:rsidP="0071027C">
            <w:pPr>
              <w:spacing w:before="120" w:after="120" w:line="240" w:lineRule="auto"/>
              <w:jc w:val="both"/>
              <w:textAlignment w:val="baseline"/>
              <w:rPr>
                <w:rFonts w:ascii="Arial" w:eastAsia="Times New Roman" w:hAnsi="Arial" w:cs="Arial"/>
              </w:rPr>
            </w:pPr>
            <w:r w:rsidRPr="00561534">
              <w:rPr>
                <w:rFonts w:ascii="Arial" w:eastAsia="Times New Roman" w:hAnsi="Arial" w:cs="Arial"/>
                <w:kern w:val="24"/>
              </w:rPr>
              <w:t>A caregiver/parent becomes confused about the medication regimen</w:t>
            </w:r>
          </w:p>
        </w:tc>
        <w:tc>
          <w:tcPr>
            <w:tcW w:w="6300" w:type="dxa"/>
            <w:hideMark/>
          </w:tcPr>
          <w:p w:rsidR="0071027C" w:rsidRPr="00561534" w:rsidRDefault="0071027C" w:rsidP="00274941">
            <w:pPr>
              <w:widowControl/>
              <w:numPr>
                <w:ilvl w:val="0"/>
                <w:numId w:val="110"/>
              </w:numPr>
              <w:spacing w:before="120" w:after="120" w:line="240" w:lineRule="auto"/>
              <w:contextualSpacing/>
              <w:jc w:val="both"/>
              <w:textAlignment w:val="baseline"/>
              <w:rPr>
                <w:rFonts w:ascii="Arial" w:eastAsia="Times New Roman" w:hAnsi="Arial" w:cs="Arial"/>
              </w:rPr>
            </w:pPr>
            <w:r w:rsidRPr="00561534">
              <w:rPr>
                <w:rFonts w:ascii="Arial" w:eastAsia="Times New Roman" w:hAnsi="Arial" w:cs="Arial"/>
                <w:kern w:val="24"/>
              </w:rPr>
              <w:t>Provide caregiver/parent with a written schedule/ illustration of medications</w:t>
            </w:r>
          </w:p>
          <w:p w:rsidR="0071027C" w:rsidRPr="00561534" w:rsidRDefault="0071027C" w:rsidP="00274941">
            <w:pPr>
              <w:widowControl/>
              <w:numPr>
                <w:ilvl w:val="0"/>
                <w:numId w:val="110"/>
              </w:numPr>
              <w:spacing w:before="120" w:after="120" w:line="240" w:lineRule="auto"/>
              <w:contextualSpacing/>
              <w:jc w:val="both"/>
              <w:textAlignment w:val="baseline"/>
              <w:rPr>
                <w:rFonts w:ascii="Arial" w:eastAsia="Times New Roman" w:hAnsi="Arial" w:cs="Arial"/>
                <w:kern w:val="24"/>
              </w:rPr>
            </w:pPr>
            <w:r w:rsidRPr="00561534">
              <w:rPr>
                <w:rFonts w:ascii="Arial" w:eastAsia="Times New Roman" w:hAnsi="Arial" w:cs="Arial"/>
                <w:kern w:val="24"/>
              </w:rPr>
              <w:t>Written calendar could include symbols for the times of the day to aid with understanding, or utilize colour-coded labels to match with drug regimen colour- coded calendar</w:t>
            </w:r>
          </w:p>
          <w:p w:rsidR="0071027C" w:rsidRPr="00561534" w:rsidRDefault="0071027C" w:rsidP="00274941">
            <w:pPr>
              <w:widowControl/>
              <w:numPr>
                <w:ilvl w:val="0"/>
                <w:numId w:val="110"/>
              </w:numPr>
              <w:spacing w:before="120" w:after="120" w:line="240" w:lineRule="auto"/>
              <w:contextualSpacing/>
              <w:jc w:val="both"/>
              <w:textAlignment w:val="baseline"/>
              <w:rPr>
                <w:rFonts w:ascii="Arial" w:eastAsia="Times New Roman" w:hAnsi="Arial" w:cs="Arial"/>
                <w:kern w:val="24"/>
              </w:rPr>
            </w:pPr>
            <w:r w:rsidRPr="00561534">
              <w:rPr>
                <w:rFonts w:ascii="Arial" w:eastAsia="Times New Roman" w:hAnsi="Arial" w:cs="Arial"/>
                <w:kern w:val="24"/>
              </w:rPr>
              <w:t>Where possible elicit additional support from another family member or other community resource person</w:t>
            </w:r>
            <w:r>
              <w:rPr>
                <w:rFonts w:ascii="Arial" w:eastAsia="Times New Roman" w:hAnsi="Arial" w:cs="Arial"/>
                <w:kern w:val="24"/>
              </w:rPr>
              <w:t>.</w:t>
            </w:r>
          </w:p>
        </w:tc>
      </w:tr>
    </w:tbl>
    <w:p w:rsidR="0071027C" w:rsidRPr="00561534" w:rsidRDefault="0071027C" w:rsidP="0071027C">
      <w:pPr>
        <w:autoSpaceDE w:val="0"/>
        <w:autoSpaceDN w:val="0"/>
        <w:adjustRightInd w:val="0"/>
        <w:spacing w:before="120" w:after="120" w:line="240" w:lineRule="auto"/>
        <w:jc w:val="both"/>
        <w:rPr>
          <w:rFonts w:ascii="Arial" w:eastAsia="Times New Roman" w:hAnsi="Arial" w:cs="Arial"/>
          <w:b/>
          <w:bCs/>
          <w:kern w:val="24"/>
        </w:rPr>
      </w:pPr>
    </w:p>
    <w:p w:rsidR="0071027C" w:rsidRPr="00A27F13" w:rsidRDefault="0071027C" w:rsidP="0071027C">
      <w:pPr>
        <w:pStyle w:val="Heading3"/>
        <w:rPr>
          <w:rFonts w:ascii="Cambria" w:eastAsia="Times New Roman" w:hAnsi="Cambria" w:cs="Times New Roman"/>
          <w:color w:val="4F81BD"/>
          <w:szCs w:val="24"/>
        </w:rPr>
      </w:pPr>
      <w:bookmarkStart w:id="945" w:name="_Toc374512216"/>
      <w:bookmarkStart w:id="946" w:name="_Toc378258276"/>
      <w:bookmarkStart w:id="947" w:name="_Toc382214135"/>
      <w:r w:rsidRPr="00A27F13">
        <w:rPr>
          <w:rFonts w:ascii="Cambria" w:eastAsia="Times New Roman" w:hAnsi="Cambria" w:cs="Times New Roman"/>
          <w:color w:val="4F81BD"/>
          <w:szCs w:val="24"/>
        </w:rPr>
        <w:t>11.6.6 Consequences of poor adherence in children</w:t>
      </w:r>
      <w:bookmarkEnd w:id="945"/>
      <w:bookmarkEnd w:id="946"/>
      <w:bookmarkEnd w:id="947"/>
    </w:p>
    <w:p w:rsidR="0071027C" w:rsidRPr="00561534" w:rsidRDefault="0071027C" w:rsidP="0071027C">
      <w:pPr>
        <w:autoSpaceDE w:val="0"/>
        <w:autoSpaceDN w:val="0"/>
        <w:adjustRightInd w:val="0"/>
        <w:spacing w:before="120" w:after="120" w:line="240" w:lineRule="auto"/>
        <w:jc w:val="both"/>
        <w:rPr>
          <w:rFonts w:ascii="Arial" w:eastAsia="Calibri" w:hAnsi="Arial" w:cs="Arial"/>
          <w:bCs/>
        </w:rPr>
      </w:pPr>
      <w:r w:rsidRPr="00561534">
        <w:rPr>
          <w:rFonts w:ascii="Arial" w:eastAsia="Times New Roman" w:hAnsi="Arial" w:cs="Arial"/>
          <w:bCs/>
          <w:kern w:val="24"/>
        </w:rPr>
        <w:t xml:space="preserve">Consequences of poor ARV adherence in children include treatment failure, </w:t>
      </w:r>
      <w:r w:rsidRPr="00561534">
        <w:rPr>
          <w:rFonts w:ascii="Arial" w:eastAsia="Calibri" w:hAnsi="Arial" w:cs="Arial"/>
          <w:bCs/>
        </w:rPr>
        <w:t xml:space="preserve">growth and developmental faltering and risk of development of opportunistic infections. </w:t>
      </w:r>
    </w:p>
    <w:p w:rsidR="0071027C" w:rsidRPr="00A27F13" w:rsidRDefault="0071027C" w:rsidP="0071027C">
      <w:pPr>
        <w:pStyle w:val="Heading2"/>
        <w:rPr>
          <w:rFonts w:ascii="Cambria" w:eastAsia="Times New Roman" w:hAnsi="Cambria" w:cs="Times New Roman"/>
          <w:color w:val="4F81BD"/>
          <w:szCs w:val="24"/>
        </w:rPr>
      </w:pPr>
      <w:bookmarkStart w:id="948" w:name="_Toc374512217"/>
      <w:bookmarkStart w:id="949" w:name="_Toc378258277"/>
      <w:bookmarkStart w:id="950" w:name="_Toc382214136"/>
      <w:r w:rsidRPr="00A27F13">
        <w:rPr>
          <w:rFonts w:ascii="Cambria" w:eastAsia="Times New Roman" w:hAnsi="Cambria" w:cs="Times New Roman"/>
          <w:color w:val="4F81BD"/>
          <w:szCs w:val="24"/>
        </w:rPr>
        <w:t xml:space="preserve">11.7 </w:t>
      </w:r>
      <w:r>
        <w:rPr>
          <w:rFonts w:ascii="Cambria" w:eastAsia="Times New Roman" w:hAnsi="Cambria" w:cs="Times New Roman"/>
          <w:color w:val="4F81BD"/>
          <w:szCs w:val="24"/>
        </w:rPr>
        <w:t>What Happens t</w:t>
      </w:r>
      <w:r w:rsidRPr="00A27F13">
        <w:rPr>
          <w:rFonts w:ascii="Cambria" w:eastAsia="Times New Roman" w:hAnsi="Cambria" w:cs="Times New Roman"/>
          <w:color w:val="4F81BD"/>
          <w:szCs w:val="24"/>
        </w:rPr>
        <w:t>o Adherence Over Time?</w:t>
      </w:r>
      <w:bookmarkEnd w:id="948"/>
      <w:bookmarkEnd w:id="949"/>
      <w:bookmarkEnd w:id="950"/>
    </w:p>
    <w:p w:rsidR="0071027C" w:rsidRPr="00561534" w:rsidRDefault="0071027C" w:rsidP="0071027C">
      <w:pPr>
        <w:spacing w:before="120" w:after="120" w:line="240" w:lineRule="auto"/>
        <w:jc w:val="both"/>
        <w:rPr>
          <w:rFonts w:ascii="Arial" w:eastAsia="Calibri" w:hAnsi="Arial" w:cs="Arial"/>
        </w:rPr>
      </w:pPr>
      <w:r w:rsidRPr="00561534">
        <w:rPr>
          <w:rFonts w:ascii="Arial" w:eastAsia="Calibri" w:hAnsi="Arial" w:cs="Arial"/>
        </w:rPr>
        <w:t>Adherence declines over time, which is an important phenomenon of treatment fatigue. That is why the real challenge to treatment success is not initial adherence, rather long term adherence. In this regard, the regimen to be chosen should be one that patients can adhere to for life.</w:t>
      </w:r>
    </w:p>
    <w:p w:rsidR="0071027C" w:rsidRPr="00A27F13" w:rsidRDefault="0071027C" w:rsidP="0071027C">
      <w:pPr>
        <w:pStyle w:val="Heading2"/>
        <w:rPr>
          <w:rFonts w:ascii="Cambria" w:eastAsia="Times New Roman" w:hAnsi="Cambria" w:cs="Times New Roman"/>
          <w:color w:val="4F81BD"/>
          <w:szCs w:val="24"/>
        </w:rPr>
      </w:pPr>
      <w:bookmarkStart w:id="951" w:name="_Toc374512218"/>
      <w:bookmarkStart w:id="952" w:name="_Toc378258278"/>
      <w:bookmarkStart w:id="953" w:name="_Toc382214137"/>
      <w:r w:rsidRPr="00A27F13">
        <w:rPr>
          <w:rFonts w:ascii="Cambria" w:eastAsia="Times New Roman" w:hAnsi="Cambria" w:cs="Times New Roman"/>
          <w:color w:val="4F81BD"/>
          <w:szCs w:val="24"/>
        </w:rPr>
        <w:t xml:space="preserve">11.8 What Needs </w:t>
      </w:r>
      <w:r>
        <w:rPr>
          <w:rFonts w:ascii="Cambria" w:eastAsia="Times New Roman" w:hAnsi="Cambria" w:cs="Times New Roman"/>
          <w:color w:val="4F81BD"/>
          <w:szCs w:val="24"/>
        </w:rPr>
        <w:t>t</w:t>
      </w:r>
      <w:r w:rsidRPr="00A27F13">
        <w:rPr>
          <w:rFonts w:ascii="Cambria" w:eastAsia="Times New Roman" w:hAnsi="Cambria" w:cs="Times New Roman"/>
          <w:color w:val="4F81BD"/>
          <w:szCs w:val="24"/>
        </w:rPr>
        <w:t xml:space="preserve">o Happen </w:t>
      </w:r>
      <w:r>
        <w:rPr>
          <w:rFonts w:ascii="Cambria" w:eastAsia="Times New Roman" w:hAnsi="Cambria" w:cs="Times New Roman"/>
          <w:color w:val="4F81BD"/>
          <w:szCs w:val="24"/>
        </w:rPr>
        <w:t>t</w:t>
      </w:r>
      <w:r w:rsidRPr="00A27F13">
        <w:rPr>
          <w:rFonts w:ascii="Cambria" w:eastAsia="Times New Roman" w:hAnsi="Cambria" w:cs="Times New Roman"/>
          <w:color w:val="4F81BD"/>
          <w:szCs w:val="24"/>
        </w:rPr>
        <w:t xml:space="preserve">o Ensure ART </w:t>
      </w:r>
      <w:r>
        <w:rPr>
          <w:rFonts w:ascii="Cambria" w:eastAsia="Times New Roman" w:hAnsi="Cambria" w:cs="Times New Roman"/>
          <w:color w:val="4F81BD"/>
          <w:szCs w:val="24"/>
        </w:rPr>
        <w:t>S</w:t>
      </w:r>
      <w:r w:rsidRPr="00A27F13">
        <w:rPr>
          <w:rFonts w:ascii="Cambria" w:eastAsia="Times New Roman" w:hAnsi="Cambria" w:cs="Times New Roman"/>
          <w:color w:val="4F81BD"/>
          <w:szCs w:val="24"/>
        </w:rPr>
        <w:t>uccess?</w:t>
      </w:r>
      <w:bookmarkEnd w:id="951"/>
      <w:bookmarkEnd w:id="952"/>
      <w:bookmarkEnd w:id="953"/>
    </w:p>
    <w:p w:rsidR="0071027C" w:rsidRPr="00A27F13"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A27F13">
        <w:rPr>
          <w:rFonts w:ascii="Arial" w:eastAsia="HelveticaNeueLTStd-Lt" w:hAnsi="Arial" w:cs="Arial"/>
          <w:sz w:val="22"/>
          <w:szCs w:val="22"/>
        </w:rPr>
        <w:t>Continual adherence support to overcome adherence decline overtime</w:t>
      </w:r>
    </w:p>
    <w:p w:rsidR="0071027C" w:rsidRPr="00A27F13"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A27F13">
        <w:rPr>
          <w:rFonts w:ascii="Arial" w:eastAsia="HelveticaNeueLTStd-Lt" w:hAnsi="Arial" w:cs="Arial"/>
          <w:sz w:val="22"/>
          <w:szCs w:val="22"/>
        </w:rPr>
        <w:t>Proactive follow up of clients to reduce loss to follow up and increase retention rates.</w:t>
      </w:r>
    </w:p>
    <w:p w:rsidR="0071027C" w:rsidRPr="00A27F13" w:rsidRDefault="0071027C" w:rsidP="00274941">
      <w:pPr>
        <w:pStyle w:val="ListParagraph"/>
        <w:numPr>
          <w:ilvl w:val="0"/>
          <w:numId w:val="111"/>
        </w:numPr>
        <w:autoSpaceDE w:val="0"/>
        <w:autoSpaceDN w:val="0"/>
        <w:adjustRightInd w:val="0"/>
        <w:contextualSpacing w:val="0"/>
        <w:jc w:val="both"/>
        <w:rPr>
          <w:rFonts w:ascii="Arial" w:eastAsia="HelveticaNeueLTStd-Lt" w:hAnsi="Arial" w:cs="Arial"/>
          <w:sz w:val="22"/>
          <w:szCs w:val="22"/>
        </w:rPr>
      </w:pPr>
      <w:r w:rsidRPr="00A27F13">
        <w:rPr>
          <w:rFonts w:ascii="Arial" w:eastAsia="HelveticaNeueLTStd-Lt" w:hAnsi="Arial" w:cs="Arial"/>
          <w:sz w:val="22"/>
          <w:szCs w:val="22"/>
        </w:rPr>
        <w:t xml:space="preserve">Continual quality improvement of ART services. </w:t>
      </w:r>
    </w:p>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Pr="00A3639B" w:rsidRDefault="0071027C" w:rsidP="0071027C">
      <w:pPr>
        <w:pStyle w:val="Heading1"/>
      </w:pPr>
      <w:bookmarkStart w:id="954" w:name="_Toc374982000"/>
      <w:bookmarkStart w:id="955" w:name="_Toc378258279"/>
      <w:bookmarkStart w:id="956" w:name="_Toc382214138"/>
      <w:r w:rsidRPr="00A3639B">
        <w:t>CHAPTER 12: MANAGEMENT OF MENTAL HEALTH CONDITIONS/DISORDERS IN HIV AND AIDS</w:t>
      </w:r>
      <w:bookmarkEnd w:id="954"/>
      <w:bookmarkEnd w:id="955"/>
      <w:bookmarkEnd w:id="956"/>
    </w:p>
    <w:p w:rsidR="0071027C" w:rsidRPr="00A3639B" w:rsidRDefault="0071027C" w:rsidP="0071027C">
      <w:pPr>
        <w:pStyle w:val="Heading2"/>
      </w:pPr>
      <w:bookmarkStart w:id="957" w:name="_Toc374982001"/>
      <w:bookmarkStart w:id="958" w:name="_Toc378258280"/>
      <w:bookmarkStart w:id="959" w:name="_Toc382214139"/>
      <w:r w:rsidRPr="00A3639B">
        <w:t>12.1. Introduction</w:t>
      </w:r>
      <w:bookmarkEnd w:id="957"/>
      <w:bookmarkEnd w:id="958"/>
      <w:bookmarkEnd w:id="959"/>
    </w:p>
    <w:p w:rsidR="0071027C" w:rsidRPr="00A3639B" w:rsidRDefault="0071027C" w:rsidP="0071027C">
      <w:pPr>
        <w:pStyle w:val="PlainText"/>
        <w:spacing w:before="120" w:after="120"/>
        <w:jc w:val="both"/>
        <w:rPr>
          <w:rFonts w:ascii="Arial" w:hAnsi="Arial" w:cs="Arial"/>
          <w:sz w:val="22"/>
          <w:szCs w:val="22"/>
        </w:rPr>
      </w:pPr>
      <w:r w:rsidRPr="00A3639B">
        <w:rPr>
          <w:rFonts w:ascii="Arial" w:hAnsi="Arial" w:cs="Arial"/>
          <w:sz w:val="22"/>
          <w:szCs w:val="22"/>
        </w:rPr>
        <w:t>Mental disorders are more common in HIV infected than in non infected people. In some instances, this is due to mental conditions existing prior to the HIV infection (which increases the risk of infection) while in other instances HIV could result in mental health condition as psychological consequence of the infection or because presence of the HIV virus on the brain. There is a strong evidence of the relationship of substances use disorders and mental illness with HIV infection. [Chandra et al 2005] Therefore there are two groups of people who develop mental health conditions and HIV infection</w:t>
      </w:r>
    </w:p>
    <w:p w:rsidR="0071027C" w:rsidRPr="00A3639B" w:rsidRDefault="0071027C" w:rsidP="00274941">
      <w:pPr>
        <w:pStyle w:val="PlainText"/>
        <w:numPr>
          <w:ilvl w:val="0"/>
          <w:numId w:val="119"/>
        </w:numPr>
        <w:jc w:val="both"/>
        <w:rPr>
          <w:rFonts w:ascii="Arial" w:hAnsi="Arial" w:cs="Arial"/>
          <w:sz w:val="22"/>
          <w:szCs w:val="22"/>
        </w:rPr>
      </w:pPr>
      <w:r w:rsidRPr="00A3639B">
        <w:rPr>
          <w:rFonts w:ascii="Arial" w:hAnsi="Arial" w:cs="Arial"/>
          <w:sz w:val="22"/>
          <w:szCs w:val="22"/>
        </w:rPr>
        <w:t>Those with pre-existing mental illnesses who become secondarily infected with HIV</w:t>
      </w:r>
    </w:p>
    <w:p w:rsidR="0071027C" w:rsidRPr="00A3639B" w:rsidRDefault="0071027C" w:rsidP="00274941">
      <w:pPr>
        <w:pStyle w:val="PlainText"/>
        <w:numPr>
          <w:ilvl w:val="0"/>
          <w:numId w:val="119"/>
        </w:numPr>
        <w:jc w:val="both"/>
        <w:rPr>
          <w:rFonts w:ascii="Arial" w:hAnsi="Arial" w:cs="Arial"/>
          <w:sz w:val="22"/>
          <w:szCs w:val="22"/>
        </w:rPr>
      </w:pPr>
      <w:r w:rsidRPr="00A3639B">
        <w:rPr>
          <w:rFonts w:ascii="Arial" w:hAnsi="Arial" w:cs="Arial"/>
          <w:sz w:val="22"/>
          <w:szCs w:val="22"/>
        </w:rPr>
        <w:t>Those who are HIV positive and present with mental health conditions (either directly or indirectly)</w:t>
      </w:r>
    </w:p>
    <w:p w:rsidR="0071027C" w:rsidRPr="00A3639B" w:rsidRDefault="0071027C" w:rsidP="0071027C">
      <w:pPr>
        <w:pStyle w:val="PlainText"/>
        <w:spacing w:before="120" w:after="120"/>
        <w:jc w:val="both"/>
        <w:rPr>
          <w:rFonts w:ascii="Arial" w:hAnsi="Arial" w:cs="Arial"/>
          <w:sz w:val="22"/>
          <w:szCs w:val="22"/>
        </w:rPr>
      </w:pPr>
      <w:r w:rsidRPr="00A3639B">
        <w:rPr>
          <w:rFonts w:ascii="Arial" w:hAnsi="Arial" w:cs="Arial"/>
          <w:sz w:val="22"/>
          <w:szCs w:val="22"/>
        </w:rPr>
        <w:t xml:space="preserve">There are five common groups of mental health conditions among people with  HIV/ AIDS are: </w:t>
      </w:r>
    </w:p>
    <w:p w:rsidR="0071027C" w:rsidRPr="00A3639B" w:rsidRDefault="0071027C" w:rsidP="00274941">
      <w:pPr>
        <w:pStyle w:val="PlainText"/>
        <w:numPr>
          <w:ilvl w:val="0"/>
          <w:numId w:val="119"/>
        </w:numPr>
        <w:jc w:val="both"/>
        <w:rPr>
          <w:rFonts w:ascii="Arial" w:hAnsi="Arial" w:cs="Arial"/>
          <w:sz w:val="22"/>
          <w:szCs w:val="22"/>
        </w:rPr>
      </w:pPr>
      <w:r w:rsidRPr="00A3639B">
        <w:rPr>
          <w:rFonts w:ascii="Arial" w:hAnsi="Arial" w:cs="Arial"/>
          <w:sz w:val="22"/>
          <w:szCs w:val="22"/>
        </w:rPr>
        <w:t>Mood Disorders ( i.e</w:t>
      </w:r>
      <w:r>
        <w:rPr>
          <w:rFonts w:ascii="Arial" w:hAnsi="Arial" w:cs="Arial"/>
          <w:sz w:val="22"/>
          <w:szCs w:val="22"/>
        </w:rPr>
        <w:t>.</w:t>
      </w:r>
      <w:r w:rsidRPr="00A3639B">
        <w:rPr>
          <w:rFonts w:ascii="Arial" w:hAnsi="Arial" w:cs="Arial"/>
          <w:sz w:val="22"/>
          <w:szCs w:val="22"/>
        </w:rPr>
        <w:t xml:space="preserve"> Depression and Mania )mania, adjustment Disorders, post traumatic stress disorders,  </w:t>
      </w:r>
    </w:p>
    <w:p w:rsidR="0071027C" w:rsidRPr="00A3639B" w:rsidRDefault="0071027C" w:rsidP="00274941">
      <w:pPr>
        <w:pStyle w:val="PlainText"/>
        <w:numPr>
          <w:ilvl w:val="0"/>
          <w:numId w:val="119"/>
        </w:numPr>
        <w:jc w:val="both"/>
        <w:rPr>
          <w:rFonts w:ascii="Arial" w:hAnsi="Arial" w:cs="Arial"/>
          <w:sz w:val="22"/>
          <w:szCs w:val="22"/>
        </w:rPr>
      </w:pPr>
      <w:r w:rsidRPr="00A3639B">
        <w:rPr>
          <w:rFonts w:ascii="Arial" w:hAnsi="Arial" w:cs="Arial"/>
          <w:sz w:val="22"/>
          <w:szCs w:val="22"/>
        </w:rPr>
        <w:t xml:space="preserve">Organic Disorders ( Delirium and Dementia )  </w:t>
      </w:r>
    </w:p>
    <w:p w:rsidR="0071027C" w:rsidRPr="00A3639B" w:rsidRDefault="0071027C" w:rsidP="00274941">
      <w:pPr>
        <w:pStyle w:val="PlainText"/>
        <w:numPr>
          <w:ilvl w:val="0"/>
          <w:numId w:val="119"/>
        </w:numPr>
        <w:jc w:val="both"/>
        <w:rPr>
          <w:rFonts w:ascii="Arial" w:hAnsi="Arial" w:cs="Arial"/>
          <w:sz w:val="22"/>
          <w:szCs w:val="22"/>
        </w:rPr>
      </w:pPr>
      <w:r w:rsidRPr="00A3639B">
        <w:rPr>
          <w:rFonts w:ascii="Arial" w:hAnsi="Arial" w:cs="Arial"/>
          <w:sz w:val="22"/>
          <w:szCs w:val="22"/>
        </w:rPr>
        <w:t>Anxiety Disorders ( (i.e</w:t>
      </w:r>
      <w:r>
        <w:rPr>
          <w:rFonts w:ascii="Arial" w:hAnsi="Arial" w:cs="Arial"/>
          <w:sz w:val="22"/>
          <w:szCs w:val="22"/>
        </w:rPr>
        <w:t>.</w:t>
      </w:r>
      <w:r w:rsidRPr="00A3639B">
        <w:rPr>
          <w:rFonts w:ascii="Arial" w:hAnsi="Arial" w:cs="Arial"/>
          <w:sz w:val="22"/>
          <w:szCs w:val="22"/>
        </w:rPr>
        <w:t xml:space="preserve"> adjustment Disorders, panic disorders, generalized anxiety disorders, post traumatic stress disorders,</w:t>
      </w:r>
      <w:r>
        <w:rPr>
          <w:rFonts w:ascii="Arial" w:hAnsi="Arial" w:cs="Arial"/>
          <w:sz w:val="22"/>
          <w:szCs w:val="22"/>
        </w:rPr>
        <w:t xml:space="preserve"> </w:t>
      </w:r>
      <w:r w:rsidRPr="00A3639B">
        <w:rPr>
          <w:rFonts w:ascii="Arial" w:hAnsi="Arial" w:cs="Arial"/>
          <w:sz w:val="22"/>
          <w:szCs w:val="22"/>
        </w:rPr>
        <w:t>HIV/AIDS related phobia)</w:t>
      </w:r>
    </w:p>
    <w:p w:rsidR="0071027C" w:rsidRPr="00A3639B" w:rsidRDefault="0071027C" w:rsidP="00274941">
      <w:pPr>
        <w:pStyle w:val="PlainText"/>
        <w:numPr>
          <w:ilvl w:val="0"/>
          <w:numId w:val="119"/>
        </w:numPr>
        <w:jc w:val="both"/>
        <w:rPr>
          <w:rFonts w:ascii="Arial" w:hAnsi="Arial" w:cs="Arial"/>
          <w:sz w:val="22"/>
          <w:szCs w:val="22"/>
        </w:rPr>
      </w:pPr>
      <w:r w:rsidRPr="00A3639B">
        <w:rPr>
          <w:rFonts w:ascii="Arial" w:hAnsi="Arial" w:cs="Arial"/>
          <w:sz w:val="22"/>
          <w:szCs w:val="22"/>
        </w:rPr>
        <w:t>Psychotic Disorders ( i.e</w:t>
      </w:r>
      <w:r>
        <w:rPr>
          <w:rFonts w:ascii="Arial" w:hAnsi="Arial" w:cs="Arial"/>
          <w:sz w:val="22"/>
          <w:szCs w:val="22"/>
        </w:rPr>
        <w:t>.</w:t>
      </w:r>
      <w:r w:rsidRPr="00A3639B">
        <w:rPr>
          <w:rFonts w:ascii="Arial" w:hAnsi="Arial" w:cs="Arial"/>
          <w:sz w:val="22"/>
          <w:szCs w:val="22"/>
        </w:rPr>
        <w:t xml:space="preserve"> schizophrenia, schizoaffective disorders etc )</w:t>
      </w:r>
    </w:p>
    <w:p w:rsidR="0071027C" w:rsidRPr="00A3639B" w:rsidRDefault="0071027C" w:rsidP="00274941">
      <w:pPr>
        <w:pStyle w:val="PlainText"/>
        <w:numPr>
          <w:ilvl w:val="0"/>
          <w:numId w:val="119"/>
        </w:numPr>
        <w:jc w:val="both"/>
        <w:rPr>
          <w:rFonts w:ascii="Arial" w:hAnsi="Arial" w:cs="Arial"/>
          <w:sz w:val="22"/>
          <w:szCs w:val="22"/>
        </w:rPr>
      </w:pPr>
      <w:r w:rsidRPr="00A3639B">
        <w:rPr>
          <w:rFonts w:ascii="Arial" w:hAnsi="Arial" w:cs="Arial"/>
          <w:sz w:val="22"/>
          <w:szCs w:val="22"/>
        </w:rPr>
        <w:t>Alcohol and other substance use disorder (i.e</w:t>
      </w:r>
      <w:r>
        <w:rPr>
          <w:rFonts w:ascii="Arial" w:hAnsi="Arial" w:cs="Arial"/>
          <w:sz w:val="22"/>
          <w:szCs w:val="22"/>
        </w:rPr>
        <w:t>.</w:t>
      </w:r>
      <w:r w:rsidRPr="00A3639B">
        <w:rPr>
          <w:rFonts w:ascii="Arial" w:hAnsi="Arial" w:cs="Arial"/>
          <w:sz w:val="22"/>
          <w:szCs w:val="22"/>
        </w:rPr>
        <w:t xml:space="preserve"> cannabis , heroin and cocaine)</w:t>
      </w:r>
    </w:p>
    <w:p w:rsidR="0071027C" w:rsidRPr="00A3639B" w:rsidRDefault="0071027C" w:rsidP="00274941">
      <w:pPr>
        <w:pStyle w:val="PlainText"/>
        <w:numPr>
          <w:ilvl w:val="0"/>
          <w:numId w:val="119"/>
        </w:numPr>
        <w:jc w:val="both"/>
        <w:rPr>
          <w:rFonts w:ascii="Arial" w:hAnsi="Arial" w:cs="Arial"/>
          <w:sz w:val="22"/>
          <w:szCs w:val="22"/>
        </w:rPr>
      </w:pPr>
      <w:r w:rsidRPr="00A3639B">
        <w:rPr>
          <w:rFonts w:ascii="Arial" w:hAnsi="Arial" w:cs="Arial"/>
          <w:sz w:val="22"/>
          <w:szCs w:val="22"/>
        </w:rPr>
        <w:t>Social difficulties faced as a result of stigma and discrimination</w:t>
      </w:r>
    </w:p>
    <w:p w:rsidR="0071027C" w:rsidRPr="00A3639B" w:rsidRDefault="0071027C" w:rsidP="00274941">
      <w:pPr>
        <w:pStyle w:val="PlainText"/>
        <w:numPr>
          <w:ilvl w:val="0"/>
          <w:numId w:val="119"/>
        </w:numPr>
        <w:jc w:val="both"/>
        <w:rPr>
          <w:rFonts w:ascii="Arial" w:hAnsi="Arial" w:cs="Arial"/>
          <w:sz w:val="22"/>
          <w:szCs w:val="22"/>
        </w:rPr>
      </w:pPr>
      <w:r w:rsidRPr="00A3639B">
        <w:rPr>
          <w:rFonts w:ascii="Arial" w:hAnsi="Arial" w:cs="Arial"/>
          <w:sz w:val="22"/>
          <w:szCs w:val="22"/>
        </w:rPr>
        <w:t xml:space="preserve">Exacerbation of a pre-existing mental disorders Depression, mania anxiety disorders and substance abuse may be related to the stress of living with HIV and AIDS. Other mental disorders may be secondary to neurological complications of HIV, opportunistic infections or side effects of ARV drugs. They include delirium with or without focal neurological signs or with signs of meningial irritation and HIV associated dementia. Pre existing mental disorders are associated with increased risk of acquiring HIV infection. This group of patients often comes to ART services with special management needs. </w:t>
      </w:r>
    </w:p>
    <w:p w:rsidR="0071027C" w:rsidRPr="00A3639B" w:rsidRDefault="0071027C" w:rsidP="0071027C">
      <w:pPr>
        <w:pStyle w:val="Heading2"/>
      </w:pPr>
      <w:bookmarkStart w:id="960" w:name="_Toc374982002"/>
      <w:bookmarkStart w:id="961" w:name="_Toc378258281"/>
      <w:bookmarkStart w:id="962" w:name="_Toc382214140"/>
      <w:r w:rsidRPr="00A3639B">
        <w:t>12.2. Primary Neurological Complications that have Secondary Mental health Manifestations</w:t>
      </w:r>
      <w:bookmarkEnd w:id="960"/>
      <w:bookmarkEnd w:id="961"/>
      <w:bookmarkEnd w:id="962"/>
    </w:p>
    <w:p w:rsidR="0071027C" w:rsidRPr="00A3639B" w:rsidRDefault="0071027C" w:rsidP="0071027C">
      <w:pPr>
        <w:pStyle w:val="Heading3"/>
      </w:pPr>
      <w:bookmarkStart w:id="963" w:name="_Toc374982003"/>
      <w:bookmarkStart w:id="964" w:name="_Toc378258282"/>
      <w:bookmarkStart w:id="965" w:name="_Toc382214141"/>
      <w:r w:rsidRPr="00A3639B">
        <w:t>12.2.1 Delirium</w:t>
      </w:r>
      <w:bookmarkEnd w:id="963"/>
      <w:bookmarkEnd w:id="964"/>
      <w:bookmarkEnd w:id="965"/>
    </w:p>
    <w:p w:rsidR="0071027C" w:rsidRPr="00A3639B" w:rsidRDefault="0071027C" w:rsidP="00AA771C">
      <w:pPr>
        <w:pStyle w:val="PlainText"/>
        <w:spacing w:beforeLines="120" w:before="288" w:afterLines="120" w:after="288" w:line="276" w:lineRule="auto"/>
        <w:jc w:val="both"/>
        <w:rPr>
          <w:rFonts w:ascii="Arial" w:hAnsi="Arial" w:cs="Arial"/>
          <w:b/>
          <w:sz w:val="22"/>
          <w:szCs w:val="22"/>
        </w:rPr>
      </w:pPr>
      <w:r w:rsidRPr="00A3639B">
        <w:rPr>
          <w:rFonts w:ascii="Arial" w:hAnsi="Arial" w:cs="Arial"/>
          <w:b/>
          <w:sz w:val="22"/>
          <w:szCs w:val="22"/>
        </w:rPr>
        <w:t xml:space="preserve">Definition </w:t>
      </w:r>
    </w:p>
    <w:p w:rsidR="0071027C" w:rsidRPr="00A3639B" w:rsidRDefault="0071027C" w:rsidP="0071027C">
      <w:pPr>
        <w:pStyle w:val="PlainText"/>
        <w:spacing w:before="120" w:after="120"/>
        <w:jc w:val="both"/>
        <w:rPr>
          <w:rFonts w:ascii="Arial" w:hAnsi="Arial" w:cs="Arial"/>
          <w:sz w:val="22"/>
          <w:szCs w:val="22"/>
        </w:rPr>
      </w:pPr>
      <w:r w:rsidRPr="00A3639B">
        <w:rPr>
          <w:rFonts w:ascii="Arial" w:hAnsi="Arial" w:cs="Arial"/>
          <w:sz w:val="22"/>
          <w:szCs w:val="22"/>
        </w:rPr>
        <w:t xml:space="preserve">Delirium is a state of altered consciousness marked by anxiety, incoherent or disorganized speech, disorientation and hallucinations. The distinguishing features include drowsiness, lethargy and a changing level of alertness. The person has difficulties with attention, focus and judgment, and there may be perceptual disturbance such as seeing things that are not there. Children and adolescents may present with disruptive or altered behaviours and may be less able to describe their experiences. All these symptoms usually develop over hours or days and the presentation fluctuates. Delirium is generally a direct physiologic consequence of a medical condition. </w:t>
      </w:r>
    </w:p>
    <w:p w:rsidR="0071027C" w:rsidRPr="00A3639B" w:rsidRDefault="0071027C" w:rsidP="00AA771C">
      <w:pPr>
        <w:pStyle w:val="PlainText"/>
        <w:spacing w:beforeLines="120" w:before="288" w:afterLines="120" w:after="288" w:line="276" w:lineRule="auto"/>
        <w:jc w:val="both"/>
        <w:rPr>
          <w:rFonts w:ascii="Arial" w:hAnsi="Arial" w:cs="Arial"/>
          <w:b/>
          <w:sz w:val="22"/>
          <w:szCs w:val="22"/>
        </w:rPr>
      </w:pPr>
      <w:r w:rsidRPr="00A3639B">
        <w:rPr>
          <w:rFonts w:ascii="Arial" w:hAnsi="Arial" w:cs="Arial"/>
          <w:b/>
          <w:sz w:val="22"/>
          <w:szCs w:val="22"/>
        </w:rPr>
        <w:t xml:space="preserve">Importance </w:t>
      </w:r>
    </w:p>
    <w:p w:rsidR="0071027C" w:rsidRPr="00A3639B" w:rsidRDefault="0071027C" w:rsidP="0071027C">
      <w:pPr>
        <w:pStyle w:val="PlainText"/>
        <w:spacing w:before="120" w:after="120"/>
        <w:jc w:val="both"/>
        <w:rPr>
          <w:rFonts w:ascii="Arial" w:hAnsi="Arial" w:cs="Arial"/>
          <w:sz w:val="22"/>
          <w:szCs w:val="22"/>
        </w:rPr>
      </w:pPr>
      <w:r w:rsidRPr="00A3639B">
        <w:rPr>
          <w:rFonts w:ascii="Arial" w:hAnsi="Arial" w:cs="Arial"/>
          <w:sz w:val="22"/>
          <w:szCs w:val="22"/>
        </w:rPr>
        <w:t xml:space="preserve">The diagnosis of delirium should be considered first when one meets with acute onset of disturbed consciousness. Delirium may be life threatening and requires immediate medical attention. It often occurs in patients with severe medical illness, pre existing dementia, substance intoxication/withdrawal and acute head injury. Delayed diagnosis and management of delirium can be fatal. When assessing children and adolescents, family members can be very helpful in alerting the clinical staff to the unusual nature of their child’s behaviours. </w:t>
      </w:r>
    </w:p>
    <w:p w:rsidR="0071027C" w:rsidRPr="00A3639B" w:rsidRDefault="0071027C" w:rsidP="00AA771C">
      <w:pPr>
        <w:pStyle w:val="PlainText"/>
        <w:spacing w:beforeLines="120" w:before="288" w:afterLines="120" w:after="288" w:line="276" w:lineRule="auto"/>
        <w:jc w:val="both"/>
        <w:rPr>
          <w:rFonts w:ascii="Arial" w:hAnsi="Arial" w:cs="Arial"/>
          <w:b/>
          <w:sz w:val="22"/>
          <w:szCs w:val="22"/>
        </w:rPr>
      </w:pPr>
      <w:r w:rsidRPr="00A3639B">
        <w:rPr>
          <w:rFonts w:ascii="Arial" w:hAnsi="Arial" w:cs="Arial"/>
          <w:b/>
          <w:sz w:val="22"/>
          <w:szCs w:val="22"/>
        </w:rPr>
        <w:t xml:space="preserve">Epidemiology </w:t>
      </w:r>
    </w:p>
    <w:p w:rsidR="0071027C" w:rsidRPr="00A3639B" w:rsidRDefault="0071027C" w:rsidP="0071027C">
      <w:pPr>
        <w:pStyle w:val="PlainText"/>
        <w:spacing w:before="120" w:after="120"/>
        <w:jc w:val="both"/>
        <w:rPr>
          <w:rFonts w:ascii="Arial" w:hAnsi="Arial" w:cs="Arial"/>
          <w:sz w:val="22"/>
          <w:szCs w:val="22"/>
        </w:rPr>
      </w:pPr>
      <w:r w:rsidRPr="00A3639B">
        <w:rPr>
          <w:rFonts w:ascii="Arial" w:hAnsi="Arial" w:cs="Arial"/>
          <w:sz w:val="22"/>
          <w:szCs w:val="22"/>
        </w:rPr>
        <w:t>As many as 30% to 40% of hospitalized AIDS patients develop delirium and up to 80% of patients with terminal illnesses including AIDS patients develop delirium near death</w:t>
      </w:r>
      <w:r>
        <w:rPr>
          <w:rFonts w:ascii="Arial" w:hAnsi="Arial" w:cs="Arial"/>
          <w:sz w:val="22"/>
          <w:szCs w:val="22"/>
        </w:rPr>
        <w:t xml:space="preserve"> </w:t>
      </w:r>
      <w:r w:rsidRPr="00A3639B">
        <w:rPr>
          <w:rFonts w:ascii="Arial" w:hAnsi="Arial" w:cs="Arial"/>
          <w:sz w:val="22"/>
          <w:szCs w:val="22"/>
          <w:highlight w:val="yellow"/>
        </w:rPr>
        <w:t>(citation).</w:t>
      </w:r>
      <w:r w:rsidRPr="00A3639B">
        <w:rPr>
          <w:rFonts w:ascii="Arial" w:hAnsi="Arial" w:cs="Arial"/>
          <w:sz w:val="22"/>
          <w:szCs w:val="22"/>
        </w:rPr>
        <w:t xml:space="preserve"> The rate is higher in elderly persons with AIDS. Most critically, the mortality rate of patients with delirium can be high. </w:t>
      </w:r>
    </w:p>
    <w:p w:rsidR="0071027C" w:rsidRPr="00A3639B" w:rsidRDefault="0071027C" w:rsidP="00AA771C">
      <w:pPr>
        <w:pStyle w:val="PlainText"/>
        <w:spacing w:beforeLines="120" w:before="288" w:afterLines="120" w:after="288" w:line="276" w:lineRule="auto"/>
        <w:jc w:val="both"/>
        <w:rPr>
          <w:rFonts w:ascii="Arial" w:hAnsi="Arial" w:cs="Arial"/>
          <w:b/>
          <w:sz w:val="22"/>
          <w:szCs w:val="22"/>
        </w:rPr>
      </w:pPr>
      <w:r w:rsidRPr="00A3639B">
        <w:rPr>
          <w:rFonts w:ascii="Arial" w:hAnsi="Arial" w:cs="Arial"/>
          <w:b/>
          <w:sz w:val="22"/>
          <w:szCs w:val="22"/>
        </w:rPr>
        <w:t xml:space="preserve">Risk Factors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Risk factors for developing delirium include: </w:t>
      </w:r>
    </w:p>
    <w:p w:rsidR="0071027C" w:rsidRPr="00574534" w:rsidRDefault="0071027C" w:rsidP="00274941">
      <w:pPr>
        <w:pStyle w:val="PlainText"/>
        <w:numPr>
          <w:ilvl w:val="0"/>
          <w:numId w:val="119"/>
        </w:numPr>
        <w:jc w:val="both"/>
        <w:rPr>
          <w:rFonts w:ascii="Arial" w:hAnsi="Arial" w:cs="Arial"/>
          <w:sz w:val="22"/>
          <w:szCs w:val="22"/>
        </w:rPr>
      </w:pPr>
      <w:r w:rsidRPr="00574534">
        <w:rPr>
          <w:rFonts w:ascii="Arial" w:hAnsi="Arial" w:cs="Arial"/>
          <w:sz w:val="22"/>
          <w:szCs w:val="22"/>
        </w:rPr>
        <w:t xml:space="preserve">Advanced stages of immune suppression </w:t>
      </w:r>
    </w:p>
    <w:p w:rsidR="0071027C" w:rsidRPr="00574534" w:rsidRDefault="0071027C" w:rsidP="00274941">
      <w:pPr>
        <w:pStyle w:val="PlainText"/>
        <w:numPr>
          <w:ilvl w:val="0"/>
          <w:numId w:val="119"/>
        </w:numPr>
        <w:jc w:val="both"/>
        <w:rPr>
          <w:rFonts w:ascii="Arial" w:hAnsi="Arial" w:cs="Arial"/>
          <w:sz w:val="22"/>
          <w:szCs w:val="22"/>
        </w:rPr>
      </w:pPr>
      <w:r w:rsidRPr="00574534">
        <w:rPr>
          <w:rFonts w:ascii="Arial" w:hAnsi="Arial" w:cs="Arial"/>
          <w:sz w:val="22"/>
          <w:szCs w:val="22"/>
        </w:rPr>
        <w:t xml:space="preserve">Substance use/intoxication </w:t>
      </w:r>
    </w:p>
    <w:p w:rsidR="0071027C" w:rsidRPr="00574534" w:rsidRDefault="0071027C" w:rsidP="00274941">
      <w:pPr>
        <w:pStyle w:val="PlainText"/>
        <w:numPr>
          <w:ilvl w:val="0"/>
          <w:numId w:val="119"/>
        </w:numPr>
        <w:jc w:val="both"/>
        <w:rPr>
          <w:rFonts w:ascii="Arial" w:hAnsi="Arial" w:cs="Arial"/>
          <w:sz w:val="22"/>
          <w:szCs w:val="22"/>
        </w:rPr>
      </w:pPr>
      <w:r w:rsidRPr="00574534">
        <w:rPr>
          <w:rFonts w:ascii="Arial" w:hAnsi="Arial" w:cs="Arial"/>
          <w:sz w:val="22"/>
          <w:szCs w:val="22"/>
        </w:rPr>
        <w:t xml:space="preserve">Head/brain injuries </w:t>
      </w:r>
    </w:p>
    <w:p w:rsidR="0071027C" w:rsidRPr="00574534" w:rsidRDefault="0071027C" w:rsidP="00274941">
      <w:pPr>
        <w:pStyle w:val="PlainText"/>
        <w:numPr>
          <w:ilvl w:val="0"/>
          <w:numId w:val="119"/>
        </w:numPr>
        <w:jc w:val="both"/>
        <w:rPr>
          <w:rFonts w:ascii="Arial" w:hAnsi="Arial" w:cs="Arial"/>
          <w:sz w:val="22"/>
          <w:szCs w:val="22"/>
        </w:rPr>
      </w:pPr>
      <w:r w:rsidRPr="00574534">
        <w:rPr>
          <w:rFonts w:ascii="Arial" w:hAnsi="Arial" w:cs="Arial"/>
          <w:sz w:val="22"/>
          <w:szCs w:val="22"/>
        </w:rPr>
        <w:t xml:space="preserve">Previous episodes of delirium </w:t>
      </w:r>
    </w:p>
    <w:p w:rsidR="0071027C" w:rsidRPr="00574534" w:rsidRDefault="0071027C" w:rsidP="00274941">
      <w:pPr>
        <w:pStyle w:val="PlainText"/>
        <w:numPr>
          <w:ilvl w:val="0"/>
          <w:numId w:val="119"/>
        </w:numPr>
        <w:jc w:val="both"/>
        <w:rPr>
          <w:rFonts w:ascii="Arial" w:hAnsi="Arial" w:cs="Arial"/>
          <w:sz w:val="22"/>
          <w:szCs w:val="22"/>
        </w:rPr>
      </w:pPr>
      <w:r w:rsidRPr="00574534">
        <w:rPr>
          <w:rFonts w:ascii="Arial" w:hAnsi="Arial" w:cs="Arial"/>
          <w:sz w:val="22"/>
          <w:szCs w:val="22"/>
        </w:rPr>
        <w:t xml:space="preserve">HIV-associated dementia or infections and malignancies of the CNS </w:t>
      </w:r>
    </w:p>
    <w:p w:rsidR="0071027C" w:rsidRPr="00574534" w:rsidRDefault="0071027C" w:rsidP="00274941">
      <w:pPr>
        <w:pStyle w:val="PlainText"/>
        <w:numPr>
          <w:ilvl w:val="0"/>
          <w:numId w:val="119"/>
        </w:numPr>
        <w:jc w:val="both"/>
        <w:rPr>
          <w:rFonts w:ascii="Arial" w:hAnsi="Arial" w:cs="Arial"/>
          <w:sz w:val="22"/>
          <w:szCs w:val="22"/>
        </w:rPr>
      </w:pPr>
      <w:r w:rsidRPr="00574534">
        <w:rPr>
          <w:rFonts w:ascii="Arial" w:hAnsi="Arial" w:cs="Arial"/>
          <w:sz w:val="22"/>
          <w:szCs w:val="22"/>
        </w:rPr>
        <w:t>Drug interactions in AIDS patients taking multiple medications</w:t>
      </w:r>
    </w:p>
    <w:p w:rsidR="0071027C" w:rsidRPr="00574534" w:rsidRDefault="0071027C" w:rsidP="00274941">
      <w:pPr>
        <w:pStyle w:val="PlainText"/>
        <w:numPr>
          <w:ilvl w:val="0"/>
          <w:numId w:val="119"/>
        </w:numPr>
        <w:jc w:val="both"/>
        <w:rPr>
          <w:rFonts w:ascii="Arial" w:hAnsi="Arial" w:cs="Arial"/>
          <w:sz w:val="22"/>
          <w:szCs w:val="22"/>
        </w:rPr>
      </w:pPr>
      <w:r w:rsidRPr="00574534">
        <w:rPr>
          <w:rFonts w:ascii="Arial" w:hAnsi="Arial" w:cs="Arial"/>
          <w:sz w:val="22"/>
          <w:szCs w:val="22"/>
        </w:rPr>
        <w:t xml:space="preserve">Drug overdose (accidental or deliberate) </w:t>
      </w:r>
    </w:p>
    <w:p w:rsidR="0071027C" w:rsidRPr="00574534" w:rsidRDefault="0071027C" w:rsidP="00274941">
      <w:pPr>
        <w:pStyle w:val="PlainText"/>
        <w:numPr>
          <w:ilvl w:val="0"/>
          <w:numId w:val="119"/>
        </w:numPr>
        <w:jc w:val="both"/>
        <w:rPr>
          <w:rFonts w:ascii="Arial" w:hAnsi="Arial" w:cs="Arial"/>
          <w:sz w:val="22"/>
          <w:szCs w:val="22"/>
        </w:rPr>
      </w:pPr>
      <w:r w:rsidRPr="00574534">
        <w:rPr>
          <w:rFonts w:ascii="Arial" w:hAnsi="Arial" w:cs="Arial"/>
          <w:sz w:val="22"/>
          <w:szCs w:val="22"/>
        </w:rPr>
        <w:t xml:space="preserve">High fever from any cause </w:t>
      </w:r>
    </w:p>
    <w:p w:rsidR="0071027C" w:rsidRPr="00574534" w:rsidRDefault="0071027C" w:rsidP="00274941">
      <w:pPr>
        <w:pStyle w:val="PlainText"/>
        <w:numPr>
          <w:ilvl w:val="0"/>
          <w:numId w:val="119"/>
        </w:numPr>
        <w:jc w:val="both"/>
        <w:rPr>
          <w:rFonts w:ascii="Arial" w:hAnsi="Arial" w:cs="Arial"/>
          <w:sz w:val="22"/>
          <w:szCs w:val="22"/>
        </w:rPr>
      </w:pPr>
      <w:r w:rsidRPr="00574534">
        <w:rPr>
          <w:rFonts w:ascii="Arial" w:hAnsi="Arial" w:cs="Arial"/>
          <w:sz w:val="22"/>
          <w:szCs w:val="22"/>
        </w:rPr>
        <w:t xml:space="preserve">Intoxication from any cause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Among children and adolescents, delirium caused by medications may be more common, especially when there is a lack of pediatric formulations of medications. </w:t>
      </w:r>
    </w:p>
    <w:p w:rsidR="0071027C" w:rsidRPr="00574534" w:rsidRDefault="0071027C" w:rsidP="00AA771C">
      <w:pPr>
        <w:pStyle w:val="PlainText"/>
        <w:spacing w:beforeLines="120" w:before="288" w:afterLines="120" w:after="288" w:line="276" w:lineRule="auto"/>
        <w:jc w:val="both"/>
        <w:rPr>
          <w:rFonts w:ascii="Arial" w:hAnsi="Arial" w:cs="Arial"/>
          <w:b/>
          <w:sz w:val="22"/>
          <w:szCs w:val="22"/>
        </w:rPr>
      </w:pPr>
      <w:r w:rsidRPr="00574534">
        <w:rPr>
          <w:rFonts w:ascii="Arial" w:hAnsi="Arial" w:cs="Arial"/>
          <w:b/>
          <w:sz w:val="22"/>
          <w:szCs w:val="22"/>
        </w:rPr>
        <w:t xml:space="preserve">Diagnostic Features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Onset is usually acute, over hours or days. The patient appears disoriented and struggles to understand surroundings because of clouded thinking and diminished awareness. The disturbance tends to fluctuate during the course of the day. Delirium in HIV infected patients can present with a spectrum that includes: labile affect; impairments of memory, attention, and orientation; difficulty with logical thinking; and impaired judgment. Thinking and language may be affected by decreased verbal fluency. Patients may also be over talkative. Characteristic perceptual disturbances are visual hallucinations and illusions (misinterpretation of visual cues, such as mistaking shadows for people). The HIV infected patient may present with impaired psychomotor functions, which may be in the form of decreased activity, increased activity or a mixture of both. The patient may show daytime lethargy and night time agitation with an altered sleep cycle. When delusions are present they are often paranoid and episodic. Neurological abnormalities that have been reported in these patients include tremors, ataxia, myoclonus, cranial nerve palsies, asterixis, cerebellar signs and nystagmus. </w:t>
      </w:r>
    </w:p>
    <w:p w:rsidR="0071027C" w:rsidRPr="00574534" w:rsidRDefault="0071027C" w:rsidP="00AA771C">
      <w:pPr>
        <w:pStyle w:val="PlainText"/>
        <w:spacing w:beforeLines="120" w:before="288" w:afterLines="120" w:after="288" w:line="276" w:lineRule="auto"/>
        <w:jc w:val="both"/>
        <w:rPr>
          <w:rFonts w:ascii="Arial" w:hAnsi="Arial" w:cs="Arial"/>
          <w:b/>
          <w:sz w:val="22"/>
          <w:szCs w:val="22"/>
        </w:rPr>
      </w:pPr>
      <w:r w:rsidRPr="00574534">
        <w:rPr>
          <w:rFonts w:ascii="Arial" w:hAnsi="Arial" w:cs="Arial"/>
          <w:b/>
          <w:sz w:val="22"/>
          <w:szCs w:val="22"/>
        </w:rPr>
        <w:t xml:space="preserve">Differential Diagnosis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Delirium is often misdiagnosed as a primary psychiatric disorder. When patients appear hypoactive, depression is a frequent misdiagnosis for delirium. Clinicians should maintain a high level of suspicion for delirium related to CNS infections, substance including alcohol use, and among HIV infected patients, multiple medication interactions and/or toxicity. </w:t>
      </w:r>
    </w:p>
    <w:p w:rsidR="0071027C" w:rsidRPr="00574534" w:rsidRDefault="0071027C" w:rsidP="00AA771C">
      <w:pPr>
        <w:pStyle w:val="PlainText"/>
        <w:spacing w:beforeLines="120" w:before="288" w:afterLines="120" w:after="288" w:line="276" w:lineRule="auto"/>
        <w:jc w:val="both"/>
        <w:rPr>
          <w:rFonts w:ascii="Arial" w:hAnsi="Arial" w:cs="Arial"/>
          <w:b/>
          <w:sz w:val="22"/>
          <w:szCs w:val="22"/>
        </w:rPr>
      </w:pPr>
      <w:r w:rsidRPr="00574534">
        <w:rPr>
          <w:rFonts w:ascii="Arial" w:hAnsi="Arial" w:cs="Arial"/>
          <w:b/>
          <w:sz w:val="22"/>
          <w:szCs w:val="22"/>
        </w:rPr>
        <w:t xml:space="preserve">Acute Management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The appropriate treatment of delirium involves interventions to search for and correct underlying causes of delirium, as well as relieve current symptoms. Joint and coordinated management of the patient with delirium by the doctor, medical assistants,</w:t>
      </w:r>
      <w:r>
        <w:rPr>
          <w:rFonts w:ascii="Arial" w:hAnsi="Arial" w:cs="Arial"/>
          <w:sz w:val="22"/>
          <w:szCs w:val="22"/>
        </w:rPr>
        <w:t xml:space="preserve"> </w:t>
      </w:r>
      <w:r w:rsidRPr="00574534">
        <w:rPr>
          <w:rFonts w:ascii="Arial" w:hAnsi="Arial" w:cs="Arial"/>
          <w:sz w:val="22"/>
          <w:szCs w:val="22"/>
        </w:rPr>
        <w:t xml:space="preserve">other primary care or specialty clinicians will frequently help ensure appropriate comprehensive evaluation and care. </w:t>
      </w:r>
    </w:p>
    <w:p w:rsidR="0071027C" w:rsidRPr="00574534" w:rsidRDefault="0071027C" w:rsidP="00AA771C">
      <w:pPr>
        <w:pStyle w:val="PlainText"/>
        <w:spacing w:beforeLines="120" w:before="288" w:afterLines="120" w:after="288" w:line="276" w:lineRule="auto"/>
        <w:jc w:val="both"/>
        <w:rPr>
          <w:rFonts w:ascii="Arial" w:hAnsi="Arial" w:cs="Arial"/>
          <w:b/>
          <w:sz w:val="22"/>
          <w:szCs w:val="22"/>
        </w:rPr>
      </w:pPr>
      <w:r w:rsidRPr="00574534">
        <w:rPr>
          <w:rFonts w:ascii="Arial" w:hAnsi="Arial" w:cs="Arial"/>
          <w:b/>
          <w:sz w:val="22"/>
          <w:szCs w:val="22"/>
        </w:rPr>
        <w:t>Identifying the Aetiology</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An essential principle in the management of delirium is the identification and correction of the aetiologic factors. Careful review of the patient’s medical history and interview of family members or others close to the patient may provide some direction.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Appropriate laboratory and radiological investigations may be necessary to determine the underlying cause(s) of delirium. The choice of specific tests to be undertaken will depend on the results of the clinical evaluation. Common differentials for new onset seizures include cryptococcal meningitis, toxoplasmosis, and a cerebral lymphoma. Central nervous system causes include space occupying lesions, cerebral tuberculosis, brain abscess, Cryptococcal infection, toxoplasmosis, bacterial and fungal meningitis. If excessive alcohol use with features suggestive of dependence on alcohol has been reported to be a problem, the possibility of alcohol withdrawal syndrome due to relative or total reduction in alcohol use should also be ruled out. </w:t>
      </w:r>
    </w:p>
    <w:p w:rsidR="0071027C" w:rsidRPr="00A3639B" w:rsidRDefault="0071027C" w:rsidP="0071027C">
      <w:pPr>
        <w:pStyle w:val="Heading3"/>
      </w:pPr>
      <w:bookmarkStart w:id="966" w:name="_Toc374982004"/>
      <w:bookmarkStart w:id="967" w:name="_Toc378258283"/>
      <w:bookmarkStart w:id="968" w:name="_Toc382214142"/>
      <w:r w:rsidRPr="00A3639B">
        <w:t>12.2.2. HIV Associated Dementia (HAD)</w:t>
      </w:r>
      <w:bookmarkEnd w:id="966"/>
      <w:bookmarkEnd w:id="967"/>
      <w:bookmarkEnd w:id="968"/>
    </w:p>
    <w:p w:rsidR="0071027C" w:rsidRPr="00574534" w:rsidRDefault="0071027C" w:rsidP="00AA771C">
      <w:pPr>
        <w:pStyle w:val="PlainText"/>
        <w:spacing w:beforeLines="120" w:before="288" w:afterLines="120" w:after="288" w:line="276" w:lineRule="auto"/>
        <w:jc w:val="both"/>
        <w:rPr>
          <w:rFonts w:ascii="Arial" w:hAnsi="Arial" w:cs="Arial"/>
          <w:b/>
          <w:sz w:val="22"/>
          <w:szCs w:val="22"/>
        </w:rPr>
      </w:pPr>
      <w:r w:rsidRPr="00574534">
        <w:rPr>
          <w:rFonts w:ascii="Arial" w:hAnsi="Arial" w:cs="Arial"/>
          <w:b/>
          <w:sz w:val="22"/>
          <w:szCs w:val="22"/>
        </w:rPr>
        <w:t xml:space="preserve">Definition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HAD is an acquired impairment of intellectual/cognitive abilities in a sufficient degree of severity to interfere with social or occupational functioning where memory impairment is a predominant feature. Other cognitive functions (such as attention, learning, information processing, language, reasoning, judgment) are also often affected with behavioral and personality changes that significantly affect the individuals quality of life. There is no clouding of consciousness in HAD. </w:t>
      </w:r>
    </w:p>
    <w:p w:rsidR="0071027C" w:rsidRPr="00574534" w:rsidRDefault="0071027C" w:rsidP="00AA771C">
      <w:pPr>
        <w:pStyle w:val="PlainText"/>
        <w:spacing w:beforeLines="120" w:before="288" w:afterLines="120" w:after="288" w:line="276" w:lineRule="auto"/>
        <w:jc w:val="both"/>
        <w:rPr>
          <w:rFonts w:ascii="Arial" w:hAnsi="Arial" w:cs="Arial"/>
          <w:b/>
          <w:sz w:val="22"/>
          <w:szCs w:val="22"/>
        </w:rPr>
      </w:pPr>
      <w:r w:rsidRPr="00574534">
        <w:rPr>
          <w:rFonts w:ascii="Arial" w:hAnsi="Arial" w:cs="Arial"/>
          <w:b/>
          <w:sz w:val="22"/>
          <w:szCs w:val="22"/>
        </w:rPr>
        <w:t xml:space="preserve">Epidemiology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In the United States, before highly active antiretroviral therapy (HAART) came into existence, 40 to 60 percent of HIV infected people used to develop HAD. Now, it is estimated that only 27% of people infected with HIV develop HAD. However, cognitive impairment is still the most common CNS complication of HIV infection. Contrary to earlier beliefs, recent reports indicate that HAART does not seem to decrease the prevalence of HAD, however when viral suppression occurs, cognitive performance improves. HAD is also said to be more serious in people above 60 years of age and takes a more fluctuating course in older people than in younger age groups. </w:t>
      </w:r>
    </w:p>
    <w:p w:rsidR="0071027C" w:rsidRPr="00574534" w:rsidRDefault="0071027C" w:rsidP="00AA771C">
      <w:pPr>
        <w:pStyle w:val="PlainText"/>
        <w:spacing w:beforeLines="120" w:before="288" w:afterLines="120" w:after="288" w:line="276" w:lineRule="auto"/>
        <w:jc w:val="both"/>
        <w:rPr>
          <w:rFonts w:ascii="Arial" w:hAnsi="Arial" w:cs="Arial"/>
          <w:b/>
          <w:sz w:val="22"/>
          <w:szCs w:val="22"/>
        </w:rPr>
      </w:pPr>
      <w:r w:rsidRPr="00574534">
        <w:rPr>
          <w:rFonts w:ascii="Arial" w:hAnsi="Arial" w:cs="Arial"/>
          <w:b/>
          <w:sz w:val="22"/>
          <w:szCs w:val="22"/>
        </w:rPr>
        <w:t xml:space="preserve">Risk Factors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It is well known that not all patients infected with HIV develop HAD. Older age and increased level of immunodeficiency are known risk factors for the development of HAD. In the pre HAART era, HAD almost always occurred in cases whose CD4 count was less than 200 cells/µl, w</w:t>
      </w:r>
      <w:r>
        <w:rPr>
          <w:rFonts w:ascii="Arial" w:hAnsi="Arial" w:cs="Arial"/>
          <w:sz w:val="22"/>
          <w:szCs w:val="22"/>
        </w:rPr>
        <w:t>here</w:t>
      </w:r>
      <w:r w:rsidRPr="00574534">
        <w:rPr>
          <w:rFonts w:ascii="Arial" w:hAnsi="Arial" w:cs="Arial"/>
          <w:sz w:val="22"/>
          <w:szCs w:val="22"/>
        </w:rPr>
        <w:t xml:space="preserve"> viral load was significantly elevated. However, recent observations indicate that cases with low CD4 count and very low viral load also develop HAD. There seems to be growing evidence that HAART does not prevent neuropsychological impairment but may alter the type of impairment experienced and delay the onset of dementia. </w:t>
      </w:r>
    </w:p>
    <w:p w:rsidR="0071027C" w:rsidRPr="00574534" w:rsidRDefault="0071027C" w:rsidP="00AA771C">
      <w:pPr>
        <w:pStyle w:val="PlainText"/>
        <w:spacing w:beforeLines="120" w:before="288" w:afterLines="120" w:after="288" w:line="276" w:lineRule="auto"/>
        <w:jc w:val="both"/>
        <w:rPr>
          <w:rFonts w:ascii="Arial" w:hAnsi="Arial" w:cs="Arial"/>
          <w:b/>
          <w:sz w:val="22"/>
          <w:szCs w:val="22"/>
        </w:rPr>
      </w:pPr>
      <w:r w:rsidRPr="00574534">
        <w:rPr>
          <w:rFonts w:ascii="Arial" w:hAnsi="Arial" w:cs="Arial"/>
          <w:b/>
          <w:sz w:val="22"/>
          <w:szCs w:val="22"/>
        </w:rPr>
        <w:t xml:space="preserve">Diagnosis of HAD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HAD can produce different combinations of progressive cognitive decline, motor dysfunction, affective changes and behavioral abnormalities. Generally, cognitive and motor symptoms occur early and include word finding difficulty, forgetfulness, psychomotor slowing and diminished writing or visual/motor skills. But, HAD shows a highly variable clinical course and spectrum of signs and symptoms, ranging from subtle cognitive, affective behavioral and motor impairments to profound dementia. Seizures, global cognitive deterioration, mutism, incontinence, and severe confusion are other common clinical features of late stage HAD. </w:t>
      </w:r>
    </w:p>
    <w:p w:rsidR="0071027C" w:rsidRPr="00574534" w:rsidRDefault="0071027C" w:rsidP="00AA771C">
      <w:pPr>
        <w:pStyle w:val="PlainText"/>
        <w:spacing w:beforeLines="120" w:before="288" w:afterLines="120" w:after="288" w:line="276" w:lineRule="auto"/>
        <w:jc w:val="both"/>
        <w:rPr>
          <w:rFonts w:ascii="Arial" w:hAnsi="Arial" w:cs="Arial"/>
          <w:b/>
          <w:sz w:val="22"/>
          <w:szCs w:val="22"/>
        </w:rPr>
      </w:pPr>
      <w:r w:rsidRPr="00574534">
        <w:rPr>
          <w:rFonts w:ascii="Arial" w:hAnsi="Arial" w:cs="Arial"/>
          <w:b/>
          <w:sz w:val="22"/>
          <w:szCs w:val="22"/>
        </w:rPr>
        <w:t xml:space="preserve">Clinical Manifestations of HIV-associated Dementia (HAD)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Affective impairment is usually in the form of apathy, irritability and sometimes manic symptoms (new onset psychosis). Behavioural changes include psychomotor retardation (slowed speech and response time), personality change and social withdrawal. Common cognitive changes include lack of visual spatial memory (misplacing things), poor visual- motor coordination, and difficulty with complex sequencing (difficulty in performing previously learned complex tasks), impaired verbal memory (word finding ability), impaired concentration and attention. Patients will often show motor changes such as unsteady steps, loss of balance due to leg weakness, dropping things, tremors, poor handwriting and decline in motor skills. </w:t>
      </w:r>
    </w:p>
    <w:p w:rsidR="0071027C" w:rsidRPr="00574534" w:rsidRDefault="0071027C" w:rsidP="00AA771C">
      <w:pPr>
        <w:pStyle w:val="PlainText"/>
        <w:spacing w:beforeLines="120" w:before="288" w:afterLines="120" w:after="288" w:line="276" w:lineRule="auto"/>
        <w:jc w:val="both"/>
        <w:rPr>
          <w:rFonts w:ascii="Arial" w:hAnsi="Arial" w:cs="Arial"/>
          <w:b/>
          <w:sz w:val="22"/>
          <w:szCs w:val="22"/>
        </w:rPr>
      </w:pPr>
      <w:r w:rsidRPr="00574534">
        <w:rPr>
          <w:rFonts w:ascii="Arial" w:hAnsi="Arial" w:cs="Arial"/>
          <w:b/>
          <w:sz w:val="22"/>
          <w:szCs w:val="22"/>
        </w:rPr>
        <w:t xml:space="preserve">Differential Diagnosis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The early stage of HAD may be subtle in its presentation causing difficulty to distinguish it from other primary psychiatric disorders including substance use disorders, intoxication and alcohol withdrawal. In contrast to Alzheimer’s disease, which is a cortical dementia, HAD is a sub cortical dementia. Clinicians should exclude other treatable, reversible causes of change in mental status such as CNS opportunistic infections and malignancies before a diagnosis of HAD can be made. Cognitive impairment may occur as an accompanying feature of a depressive episode. The term pseudo dementia is used to describe this clinical presentation, which resolves with appropriate treatment of the depressive disorder. </w:t>
      </w:r>
    </w:p>
    <w:p w:rsidR="0071027C" w:rsidRPr="00C203F3" w:rsidRDefault="0071027C" w:rsidP="00AA771C">
      <w:pPr>
        <w:pStyle w:val="PlainText"/>
        <w:spacing w:beforeLines="120" w:before="288" w:afterLines="120" w:after="288" w:line="276" w:lineRule="auto"/>
        <w:jc w:val="both"/>
        <w:rPr>
          <w:rFonts w:ascii="Arial Narrow" w:hAnsi="Arial Narrow"/>
          <w:sz w:val="24"/>
          <w:szCs w:val="24"/>
        </w:rPr>
      </w:pPr>
    </w:p>
    <w:p w:rsidR="0071027C" w:rsidRPr="00574534" w:rsidRDefault="0071027C" w:rsidP="00AA771C">
      <w:pPr>
        <w:pStyle w:val="PlainText"/>
        <w:spacing w:beforeLines="120" w:before="288" w:afterLines="120" w:after="288" w:line="276" w:lineRule="auto"/>
        <w:jc w:val="both"/>
        <w:rPr>
          <w:rFonts w:ascii="Arial" w:hAnsi="Arial" w:cs="Arial"/>
          <w:b/>
          <w:sz w:val="22"/>
          <w:szCs w:val="22"/>
        </w:rPr>
      </w:pPr>
      <w:r w:rsidRPr="00574534">
        <w:rPr>
          <w:rFonts w:ascii="Arial" w:hAnsi="Arial" w:cs="Arial"/>
          <w:b/>
          <w:sz w:val="22"/>
          <w:szCs w:val="22"/>
        </w:rPr>
        <w:t xml:space="preserve">Investigations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Take a thorough history, inquiring about medications, time of onset and course of symptoms, drug and alcohol use, opportunistic infection symptoms, HIV history, including duration, opportunistic infections, and CD4 levels. Physical/neurological examination should include checking temperature and other vital signs, thorough physical and neurological examination to determine potential reversible causes such as opportunistic infections. MRI/CT scans can exclude other CNS disorders (where available). </w:t>
      </w:r>
    </w:p>
    <w:p w:rsidR="0071027C" w:rsidRPr="00574534" w:rsidRDefault="0071027C" w:rsidP="00AA771C">
      <w:pPr>
        <w:pStyle w:val="PlainText"/>
        <w:spacing w:beforeLines="120" w:before="288" w:afterLines="120" w:after="288" w:line="276" w:lineRule="auto"/>
        <w:jc w:val="both"/>
        <w:rPr>
          <w:rFonts w:ascii="Arial" w:hAnsi="Arial" w:cs="Arial"/>
          <w:b/>
          <w:sz w:val="22"/>
          <w:szCs w:val="22"/>
        </w:rPr>
      </w:pPr>
      <w:r w:rsidRPr="00574534">
        <w:rPr>
          <w:rFonts w:ascii="Arial" w:hAnsi="Arial" w:cs="Arial"/>
          <w:b/>
          <w:sz w:val="22"/>
          <w:szCs w:val="22"/>
        </w:rPr>
        <w:t xml:space="preserve">Diagnostic Tests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Commonly requested tests are: FBC with differential, serum analysis, serological tests for syphilis, serum B12 and folate (where available), and CD4 count. A lumbar puncture may be necessary to rule out acute infection, such as bacterial meningitis, Cryptococcal meningitis, and toxoplasmosis. </w:t>
      </w:r>
    </w:p>
    <w:p w:rsidR="0071027C" w:rsidRPr="00574534" w:rsidRDefault="0071027C" w:rsidP="00AA771C">
      <w:pPr>
        <w:pStyle w:val="PlainText"/>
        <w:spacing w:beforeLines="120" w:before="288" w:afterLines="120" w:after="288" w:line="276" w:lineRule="auto"/>
        <w:jc w:val="both"/>
        <w:rPr>
          <w:rFonts w:ascii="Arial" w:hAnsi="Arial" w:cs="Arial"/>
          <w:b/>
          <w:sz w:val="22"/>
          <w:szCs w:val="22"/>
        </w:rPr>
      </w:pPr>
      <w:r w:rsidRPr="00574534">
        <w:rPr>
          <w:rFonts w:ascii="Arial" w:hAnsi="Arial" w:cs="Arial"/>
          <w:b/>
          <w:sz w:val="22"/>
          <w:szCs w:val="22"/>
        </w:rPr>
        <w:t xml:space="preserve">Acute Treatment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ARV medication should be continued. In addition to treatment of the existing opportunistic infections, use antipsychotic medications to treat agitation and hallucinations. Because patients with HAD are sensitive to anticholinergic side effects and extrapyramidal symptoms, antipsychotic medications should be given in low dose and increased slowly while carefully monitoring side effects and treatment response. Giving haloperidol 1.5 mg per day with slow increase in the dosage depending on the response would control agitation and some delusional beliefs. If available, atypical antipsychotic agents such as olanzapine and respiridone can be used starting with low doses. For patients on PIs like ritonavir and NNRTIs, use with caution as increased or decreased levels of Psychotropics may occur because they are metabolized by the same enzyme in the liver. Avoid benzodiazepines, which tend to increase confusion and decrease concentration. </w:t>
      </w:r>
    </w:p>
    <w:p w:rsidR="0071027C" w:rsidRPr="00574534" w:rsidRDefault="0071027C" w:rsidP="00AA771C">
      <w:pPr>
        <w:pStyle w:val="PlainText"/>
        <w:spacing w:beforeLines="120" w:before="288" w:afterLines="120" w:after="288" w:line="276" w:lineRule="auto"/>
        <w:jc w:val="both"/>
        <w:rPr>
          <w:rFonts w:ascii="Arial" w:hAnsi="Arial" w:cs="Arial"/>
          <w:b/>
          <w:sz w:val="22"/>
          <w:szCs w:val="22"/>
        </w:rPr>
      </w:pPr>
      <w:r w:rsidRPr="00574534">
        <w:rPr>
          <w:rFonts w:ascii="Arial" w:hAnsi="Arial" w:cs="Arial"/>
          <w:b/>
          <w:sz w:val="22"/>
          <w:szCs w:val="22"/>
        </w:rPr>
        <w:t xml:space="preserve">Long-term Treatment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Involve family members/treatment assistants in both medication management and attending clinics and educate them about HAD. Assess independent functioning in the home and refer to home based care when assistance in care is indicated. Advance attention should be paid to living wills, health care proxies and durable power of attorney to allow patients to make decisions about their treatment and lives before they become too ill to do so. </w:t>
      </w:r>
    </w:p>
    <w:p w:rsidR="0071027C" w:rsidRPr="00A3639B" w:rsidRDefault="0071027C" w:rsidP="0071027C">
      <w:pPr>
        <w:pStyle w:val="Heading3"/>
      </w:pPr>
      <w:bookmarkStart w:id="969" w:name="_Toc374982005"/>
      <w:bookmarkStart w:id="970" w:name="_Toc378258284"/>
      <w:bookmarkStart w:id="971" w:name="_Toc382214143"/>
      <w:r w:rsidRPr="00A3639B">
        <w:t>12.2.3. HIV-Related Mania</w:t>
      </w:r>
      <w:bookmarkEnd w:id="969"/>
      <w:bookmarkEnd w:id="970"/>
      <w:bookmarkEnd w:id="971"/>
    </w:p>
    <w:p w:rsidR="0071027C" w:rsidRPr="00574534" w:rsidRDefault="0071027C" w:rsidP="0071027C">
      <w:pPr>
        <w:pStyle w:val="PlainText"/>
        <w:spacing w:before="120" w:after="120"/>
        <w:jc w:val="both"/>
        <w:rPr>
          <w:rFonts w:ascii="Arial" w:hAnsi="Arial" w:cs="Arial"/>
          <w:b/>
          <w:sz w:val="22"/>
          <w:szCs w:val="22"/>
        </w:rPr>
      </w:pPr>
      <w:r w:rsidRPr="00574534">
        <w:rPr>
          <w:rFonts w:ascii="Arial" w:hAnsi="Arial" w:cs="Arial"/>
          <w:b/>
          <w:sz w:val="22"/>
          <w:szCs w:val="22"/>
        </w:rPr>
        <w:t xml:space="preserve">Definition and Characteristic Features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AIDS related mania is thought to be secondary to HIV CNS involvement and affects about 4% of clinic patients. It is characterized by loss of the ability to control mood, and presents with elated or irritable moods (either occurring acutely or sub acutely), increased activity and energy regardless of physical status, decreased need for sleep and an exaggerated sense of self importance. Behavioral changes centre on increased activity, perceived increased energy, intrusiveness and uninhibition. The condition occurs with more advanced immunosuppression and is often associated with HIV related cognitive impairments. </w:t>
      </w:r>
    </w:p>
    <w:p w:rsidR="0071027C" w:rsidRPr="00574534" w:rsidRDefault="0071027C" w:rsidP="0071027C">
      <w:pPr>
        <w:pStyle w:val="PlainText"/>
        <w:spacing w:before="120" w:after="120"/>
        <w:jc w:val="both"/>
        <w:rPr>
          <w:rFonts w:ascii="Arial" w:hAnsi="Arial" w:cs="Arial"/>
          <w:b/>
          <w:sz w:val="22"/>
          <w:szCs w:val="22"/>
        </w:rPr>
      </w:pPr>
      <w:r w:rsidRPr="00574534">
        <w:rPr>
          <w:rFonts w:ascii="Arial" w:hAnsi="Arial" w:cs="Arial"/>
          <w:b/>
          <w:sz w:val="22"/>
          <w:szCs w:val="22"/>
        </w:rPr>
        <w:t xml:space="preserve">Management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ART treatment relieves the symptoms of AIDS related mania. In the Tanzanian context, mood stabilizing drugs such as sodium valporate (used at doses for treatment of epilepsy) have been noted to be useful for the control of acute symptoms in patients that are on ARV. Other antiepileptic drugs such as carbamazepine and lamotrigine are also powerful mood stabilizers. When carbamazepine is prescribed, drug doses should</w:t>
      </w:r>
      <w:r>
        <w:rPr>
          <w:rFonts w:ascii="Arial" w:hAnsi="Arial" w:cs="Arial"/>
          <w:sz w:val="22"/>
          <w:szCs w:val="22"/>
        </w:rPr>
        <w:t xml:space="preserve"> </w:t>
      </w:r>
      <w:r w:rsidRPr="00574534">
        <w:rPr>
          <w:rFonts w:ascii="Arial" w:hAnsi="Arial" w:cs="Arial"/>
          <w:sz w:val="22"/>
          <w:szCs w:val="22"/>
        </w:rPr>
        <w:t xml:space="preserve">be adjusted within one-two weeks of treatment as carbamazepine induces liver enzymes and increases its own metabolism as well as that of other drugs metabolized in the liver such as ART drugs. If possible, they should be avoided in patients on ART. </w:t>
      </w:r>
    </w:p>
    <w:p w:rsidR="0071027C" w:rsidRPr="00574534" w:rsidRDefault="0071027C" w:rsidP="0071027C">
      <w:pPr>
        <w:pStyle w:val="PlainText"/>
        <w:spacing w:before="120" w:after="120"/>
        <w:jc w:val="both"/>
        <w:rPr>
          <w:rFonts w:ascii="Arial" w:hAnsi="Arial" w:cs="Arial"/>
          <w:b/>
          <w:sz w:val="22"/>
          <w:szCs w:val="22"/>
        </w:rPr>
      </w:pPr>
      <w:r w:rsidRPr="00574534">
        <w:rPr>
          <w:rFonts w:ascii="Arial" w:hAnsi="Arial" w:cs="Arial"/>
          <w:b/>
          <w:sz w:val="22"/>
          <w:szCs w:val="22"/>
        </w:rPr>
        <w:t xml:space="preserve">Primary Mental health Complications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In the absence of focal neurological deficits or meningitis, primary mental health complications should be considered when changes in mental status occur. The most common primary mental health complications that can occur at any CD4 level are adjustment disorder, depression, mixed depression and anxiety, and anxiety disorders. A syndromal diagnosis should be made for all these conditions. </w:t>
      </w:r>
    </w:p>
    <w:p w:rsidR="0071027C" w:rsidRPr="00574534" w:rsidRDefault="0071027C" w:rsidP="0071027C">
      <w:pPr>
        <w:pStyle w:val="PlainText"/>
        <w:spacing w:before="120" w:after="120"/>
        <w:jc w:val="both"/>
        <w:rPr>
          <w:rFonts w:ascii="Arial" w:hAnsi="Arial" w:cs="Arial"/>
          <w:b/>
          <w:sz w:val="22"/>
          <w:szCs w:val="22"/>
        </w:rPr>
      </w:pPr>
      <w:r w:rsidRPr="00574534">
        <w:rPr>
          <w:rFonts w:ascii="Arial" w:hAnsi="Arial" w:cs="Arial"/>
          <w:b/>
          <w:sz w:val="22"/>
          <w:szCs w:val="22"/>
        </w:rPr>
        <w:t xml:space="preserve">Adjustment Disorder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This condition occurs predominantly at the time of HIVD (HIV disease) diagnosis and the disorder includes acute and chronic adaptation responses to HIVD diagnosis. These responses include fear of discrimination and imminent death, guilt over infecting others, exacerbation of existing mental health conditions and acute suicidal ideation. With HIVD progression, patients also need to adapt to changes in their lives brought about by each new symptom and loss event such as death of an intimate partner or child as a result of an AIDS related condition. The nature of the adaptation response will influence the patient’s ability to</w:t>
      </w:r>
      <w:r>
        <w:rPr>
          <w:rFonts w:ascii="Arial" w:hAnsi="Arial" w:cs="Arial"/>
          <w:sz w:val="22"/>
          <w:szCs w:val="22"/>
        </w:rPr>
        <w:t>:</w:t>
      </w:r>
    </w:p>
    <w:p w:rsidR="0071027C" w:rsidRPr="00574534" w:rsidRDefault="0071027C" w:rsidP="00274941">
      <w:pPr>
        <w:pStyle w:val="PlainText"/>
        <w:numPr>
          <w:ilvl w:val="0"/>
          <w:numId w:val="118"/>
        </w:numPr>
        <w:jc w:val="both"/>
        <w:rPr>
          <w:rFonts w:ascii="Arial" w:hAnsi="Arial" w:cs="Arial"/>
          <w:sz w:val="22"/>
          <w:szCs w:val="22"/>
        </w:rPr>
      </w:pPr>
      <w:r w:rsidRPr="00574534">
        <w:rPr>
          <w:rFonts w:ascii="Arial" w:hAnsi="Arial" w:cs="Arial"/>
          <w:sz w:val="22"/>
          <w:szCs w:val="22"/>
        </w:rPr>
        <w:t xml:space="preserve">Disclose his or her sero-status to others. </w:t>
      </w:r>
    </w:p>
    <w:p w:rsidR="0071027C" w:rsidRPr="00574534" w:rsidRDefault="0071027C" w:rsidP="00274941">
      <w:pPr>
        <w:pStyle w:val="PlainText"/>
        <w:numPr>
          <w:ilvl w:val="0"/>
          <w:numId w:val="118"/>
        </w:numPr>
        <w:jc w:val="both"/>
        <w:rPr>
          <w:rFonts w:ascii="Arial" w:hAnsi="Arial" w:cs="Arial"/>
          <w:sz w:val="22"/>
          <w:szCs w:val="22"/>
        </w:rPr>
      </w:pPr>
      <w:r w:rsidRPr="00574534">
        <w:rPr>
          <w:rFonts w:ascii="Arial" w:hAnsi="Arial" w:cs="Arial"/>
          <w:sz w:val="22"/>
          <w:szCs w:val="22"/>
        </w:rPr>
        <w:t>HIV-related self stigmatization</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Adjustment disorder has been noted to be a major barrier to sharing test results and hence prohibiting access to social support that may protect patients from many other mental health consequences of HIVD.</w:t>
      </w:r>
    </w:p>
    <w:p w:rsidR="0071027C" w:rsidRPr="00574534" w:rsidRDefault="0071027C" w:rsidP="00274941">
      <w:pPr>
        <w:pStyle w:val="PlainText"/>
        <w:numPr>
          <w:ilvl w:val="0"/>
          <w:numId w:val="118"/>
        </w:numPr>
        <w:jc w:val="both"/>
        <w:rPr>
          <w:rFonts w:ascii="Arial" w:hAnsi="Arial" w:cs="Arial"/>
          <w:sz w:val="22"/>
          <w:szCs w:val="22"/>
        </w:rPr>
      </w:pPr>
      <w:r w:rsidRPr="00574534">
        <w:rPr>
          <w:rFonts w:ascii="Arial" w:hAnsi="Arial" w:cs="Arial"/>
          <w:sz w:val="22"/>
          <w:szCs w:val="22"/>
        </w:rPr>
        <w:t xml:space="preserve">Adopt safer sexual practices </w:t>
      </w:r>
    </w:p>
    <w:p w:rsidR="0071027C" w:rsidRPr="00574534" w:rsidRDefault="0071027C" w:rsidP="00274941">
      <w:pPr>
        <w:pStyle w:val="PlainText"/>
        <w:numPr>
          <w:ilvl w:val="0"/>
          <w:numId w:val="118"/>
        </w:numPr>
        <w:jc w:val="both"/>
        <w:rPr>
          <w:rFonts w:ascii="Arial" w:hAnsi="Arial" w:cs="Arial"/>
          <w:sz w:val="22"/>
          <w:szCs w:val="22"/>
        </w:rPr>
      </w:pPr>
      <w:r w:rsidRPr="00574534">
        <w:rPr>
          <w:rFonts w:ascii="Arial" w:hAnsi="Arial" w:cs="Arial"/>
          <w:sz w:val="22"/>
          <w:szCs w:val="22"/>
        </w:rPr>
        <w:t xml:space="preserve">Adopt safer infant feeding options for postnatal mothers                                                                   </w:t>
      </w:r>
    </w:p>
    <w:p w:rsidR="0071027C" w:rsidRPr="00574534" w:rsidRDefault="0071027C" w:rsidP="00274941">
      <w:pPr>
        <w:pStyle w:val="PlainText"/>
        <w:numPr>
          <w:ilvl w:val="0"/>
          <w:numId w:val="118"/>
        </w:numPr>
        <w:jc w:val="both"/>
        <w:rPr>
          <w:rFonts w:ascii="Arial" w:hAnsi="Arial" w:cs="Arial"/>
          <w:sz w:val="22"/>
          <w:szCs w:val="22"/>
        </w:rPr>
      </w:pPr>
      <w:r w:rsidRPr="00574534">
        <w:rPr>
          <w:rFonts w:ascii="Arial" w:hAnsi="Arial" w:cs="Arial"/>
          <w:sz w:val="22"/>
          <w:szCs w:val="22"/>
        </w:rPr>
        <w:t xml:space="preserve">Access medical and mental health care </w:t>
      </w:r>
    </w:p>
    <w:p w:rsidR="0071027C" w:rsidRPr="00574534" w:rsidRDefault="0071027C" w:rsidP="00274941">
      <w:pPr>
        <w:pStyle w:val="PlainText"/>
        <w:numPr>
          <w:ilvl w:val="0"/>
          <w:numId w:val="118"/>
        </w:numPr>
        <w:jc w:val="both"/>
        <w:rPr>
          <w:rFonts w:ascii="Arial" w:hAnsi="Arial" w:cs="Arial"/>
          <w:sz w:val="22"/>
          <w:szCs w:val="22"/>
        </w:rPr>
      </w:pPr>
      <w:r w:rsidRPr="00574534">
        <w:rPr>
          <w:rFonts w:ascii="Arial" w:hAnsi="Arial" w:cs="Arial"/>
          <w:sz w:val="22"/>
          <w:szCs w:val="22"/>
        </w:rPr>
        <w:t xml:space="preserve">Define those involved in his or her care. </w:t>
      </w:r>
    </w:p>
    <w:p w:rsidR="0071027C" w:rsidRPr="00574534" w:rsidRDefault="0071027C" w:rsidP="0071027C">
      <w:pPr>
        <w:pStyle w:val="PlainText"/>
        <w:spacing w:before="120" w:after="120"/>
        <w:jc w:val="both"/>
        <w:rPr>
          <w:rFonts w:ascii="Arial" w:hAnsi="Arial" w:cs="Arial"/>
          <w:b/>
          <w:sz w:val="22"/>
          <w:szCs w:val="22"/>
        </w:rPr>
      </w:pPr>
      <w:r w:rsidRPr="00574534">
        <w:rPr>
          <w:rFonts w:ascii="Arial" w:hAnsi="Arial" w:cs="Arial"/>
          <w:b/>
          <w:sz w:val="22"/>
          <w:szCs w:val="22"/>
        </w:rPr>
        <w:t xml:space="preserve">Management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Supportive medical/clinical counseling is the mainstay of more positive adaptive responses to HIVD diagnosis. Issues to consider during counseling following loss and crisis are noted below. </w:t>
      </w:r>
    </w:p>
    <w:p w:rsidR="0071027C" w:rsidRPr="00C203F3" w:rsidRDefault="0071027C" w:rsidP="0071027C">
      <w:pPr>
        <w:pStyle w:val="Heading2"/>
        <w:jc w:val="both"/>
        <w:rPr>
          <w:rFonts w:ascii="Arial Narrow" w:hAnsi="Arial Narrow"/>
          <w:sz w:val="24"/>
          <w:szCs w:val="24"/>
        </w:rPr>
      </w:pPr>
      <w:bookmarkStart w:id="972" w:name="_Toc374982006"/>
      <w:bookmarkStart w:id="973" w:name="_Toc378258285"/>
      <w:bookmarkStart w:id="974" w:name="_Toc382214144"/>
      <w:r w:rsidRPr="00C203F3">
        <w:rPr>
          <w:rFonts w:ascii="Arial Narrow" w:hAnsi="Arial Narrow"/>
          <w:sz w:val="24"/>
          <w:szCs w:val="24"/>
        </w:rPr>
        <w:t>12.3. Addressing Loss and Crisis amongst PLHIV</w:t>
      </w:r>
      <w:bookmarkEnd w:id="972"/>
      <w:bookmarkEnd w:id="973"/>
      <w:bookmarkEnd w:id="974"/>
    </w:p>
    <w:p w:rsidR="0071027C" w:rsidRPr="00574534" w:rsidRDefault="0071027C" w:rsidP="0071027C">
      <w:pPr>
        <w:pStyle w:val="PlainText"/>
        <w:spacing w:before="120" w:after="120"/>
        <w:jc w:val="both"/>
        <w:rPr>
          <w:rFonts w:ascii="Arial" w:hAnsi="Arial" w:cs="Arial"/>
          <w:b/>
          <w:sz w:val="22"/>
          <w:szCs w:val="22"/>
        </w:rPr>
      </w:pPr>
      <w:r w:rsidRPr="00574534">
        <w:rPr>
          <w:rFonts w:ascii="Arial" w:hAnsi="Arial" w:cs="Arial"/>
          <w:b/>
          <w:sz w:val="22"/>
          <w:szCs w:val="22"/>
        </w:rPr>
        <w:t xml:space="preserve">Definition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Bereavement is defined as the state of perceived loss that often results from knowing that one has HIV. Adjusting to the new status of living with HIV is often very stressful. </w:t>
      </w:r>
    </w:p>
    <w:p w:rsidR="0071027C" w:rsidRPr="00574534" w:rsidRDefault="0071027C" w:rsidP="0071027C">
      <w:pPr>
        <w:pStyle w:val="PlainText"/>
        <w:spacing w:before="120" w:after="120"/>
        <w:jc w:val="both"/>
        <w:rPr>
          <w:rFonts w:ascii="Arial" w:hAnsi="Arial" w:cs="Arial"/>
          <w:b/>
          <w:sz w:val="22"/>
          <w:szCs w:val="22"/>
        </w:rPr>
      </w:pPr>
      <w:r w:rsidRPr="00574534">
        <w:rPr>
          <w:rFonts w:ascii="Arial" w:hAnsi="Arial" w:cs="Arial"/>
          <w:b/>
          <w:sz w:val="22"/>
          <w:szCs w:val="22"/>
        </w:rPr>
        <w:t xml:space="preserve">Assessing for Loss, Bereavement and Crisis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This involves exploring the losses that the PLHIV has experienced. There are six stages of bereavement. These are: shock, denial, anger, bargaining, depression and acceptance. Among PLHIVs the spectrum of loss often begins with the knowledge of their HIV positive diagnosis and consequent loss of their health, certainty, future hopes, relationships, lifestyles, and loss of hopes for children. PLHIV are also more likely to experience the loss of loved ones such as partners and their own children from AIDS defining conditions.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A crisis may be generated by a person’s response to rapid disruption of personal affairs. Examples can include the breakup of an intimate relationship, the aftermath of an earthquake, rape or other forms of assault. A crisis situation is a critical situation in which a person is unable to use his/her normal problem solving techniques to resolve a problem. When a crisis occurs it is overwhelming for the individual both emotionally and cognitively, and in the case of HIV and AIDS, the triggers that lead to crisis might be death of another PLHIV, emergence of a new symptom, treatment failure or anything that is perceived by the patient as a severe life event. </w:t>
      </w:r>
    </w:p>
    <w:p w:rsidR="0071027C" w:rsidRPr="00574534" w:rsidRDefault="0071027C" w:rsidP="0071027C">
      <w:pPr>
        <w:pStyle w:val="PlainText"/>
        <w:spacing w:before="120" w:after="120"/>
        <w:jc w:val="both"/>
        <w:rPr>
          <w:rFonts w:ascii="Arial" w:hAnsi="Arial" w:cs="Arial"/>
          <w:b/>
          <w:sz w:val="22"/>
          <w:szCs w:val="22"/>
        </w:rPr>
      </w:pPr>
      <w:r w:rsidRPr="00574534">
        <w:rPr>
          <w:rFonts w:ascii="Arial" w:hAnsi="Arial" w:cs="Arial"/>
          <w:b/>
          <w:sz w:val="22"/>
          <w:szCs w:val="22"/>
        </w:rPr>
        <w:t xml:space="preserve">Management </w:t>
      </w:r>
    </w:p>
    <w:p w:rsidR="0071027C" w:rsidRPr="00574534" w:rsidRDefault="0071027C" w:rsidP="0071027C">
      <w:pPr>
        <w:pStyle w:val="PlainText"/>
        <w:spacing w:before="120" w:after="120"/>
        <w:jc w:val="both"/>
        <w:rPr>
          <w:rFonts w:ascii="Arial" w:hAnsi="Arial" w:cs="Arial"/>
          <w:b/>
          <w:sz w:val="22"/>
          <w:szCs w:val="22"/>
        </w:rPr>
      </w:pPr>
      <w:r w:rsidRPr="00574534">
        <w:rPr>
          <w:rFonts w:ascii="Arial" w:hAnsi="Arial" w:cs="Arial"/>
          <w:sz w:val="22"/>
          <w:szCs w:val="22"/>
        </w:rPr>
        <w:t>Management is through bereavement counseling. This is a form of supportive counseling with the objective of identifying with the patient, loss events and responses to these events as well as aiding the process of acceptance and constructive adaptation. A crisis situation takes the form of a blow, withdrawal and acceptance, and as with loss events, is best managed through counseling.</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Note: Health care workers are encouraged to refer to a manual on HIV and AIDS counseling for issues related to different aspects of counseling. </w:t>
      </w:r>
    </w:p>
    <w:p w:rsidR="0071027C" w:rsidRPr="00C203F3" w:rsidRDefault="0071027C" w:rsidP="0071027C">
      <w:pPr>
        <w:pStyle w:val="Heading2"/>
        <w:jc w:val="both"/>
        <w:rPr>
          <w:rFonts w:ascii="Arial Narrow" w:hAnsi="Arial Narrow"/>
          <w:sz w:val="24"/>
          <w:szCs w:val="24"/>
        </w:rPr>
      </w:pPr>
      <w:bookmarkStart w:id="975" w:name="_Toc374982007"/>
      <w:bookmarkStart w:id="976" w:name="_Toc378258286"/>
      <w:bookmarkStart w:id="977" w:name="_Toc382214145"/>
      <w:r w:rsidRPr="00C203F3">
        <w:rPr>
          <w:rFonts w:ascii="Arial Narrow" w:hAnsi="Arial Narrow"/>
          <w:sz w:val="24"/>
          <w:szCs w:val="24"/>
        </w:rPr>
        <w:t>12.4. Anxiety Disorders</w:t>
      </w:r>
      <w:bookmarkEnd w:id="975"/>
      <w:bookmarkEnd w:id="976"/>
      <w:bookmarkEnd w:id="977"/>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Patients with HIV infection may have any of the anxiety disorders, but generalized anxiety disorder, post traumatic stress disorder, and obsessive – compulsive disorder are particularly common. The initial fear accompanying an HIV diagnosis tends to subside and then persist at a lower level.  Symptoms of anxiety disorders are both psychological and physical due to physiological arousal. The wide range of physiological manifestations include: shortness of breath, chest pain, racing/pounding heart, dizziness and gastrointestinal disturbances, which may overlap with symptoms of other common medical disorders. In addition, patients present with fear, worry, insomnia, impaired concentration and memory, diminished appetite, compulsive rituals and avoidance of situations that make them anxious. </w:t>
      </w:r>
    </w:p>
    <w:p w:rsidR="0071027C" w:rsidRPr="00574534" w:rsidRDefault="0071027C" w:rsidP="0071027C">
      <w:pPr>
        <w:pStyle w:val="PlainText"/>
        <w:spacing w:before="120" w:after="120"/>
        <w:jc w:val="both"/>
        <w:rPr>
          <w:rFonts w:ascii="Arial" w:hAnsi="Arial" w:cs="Arial"/>
          <w:b/>
          <w:sz w:val="22"/>
          <w:szCs w:val="22"/>
        </w:rPr>
      </w:pPr>
      <w:r w:rsidRPr="00574534">
        <w:rPr>
          <w:rFonts w:ascii="Arial" w:hAnsi="Arial" w:cs="Arial"/>
          <w:b/>
          <w:sz w:val="22"/>
          <w:szCs w:val="22"/>
        </w:rPr>
        <w:t xml:space="preserve">Diagnosis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An anxiety disorder occurs when symptoms interfere with a patient’s daily functions, personal relationships and cause marked subjective distress. Even brief episodes of anxiety, such as those occurring during a panic attack may interfere markedly with a patient’s life and warrant diagnosis of an anxiety disorder. Other Anxiety disorders are differentiated from adjustment disorders by the lack of a clear precipitant, and from major depression by the absence of somatic features of depression. CNS pathologies, metabolic illnesses (e.g., hypoxia), endocrinopathies, and respiratory and cardiovascular conditions may also mimic (resemble) anxiety disorders and should be ruled out. </w:t>
      </w:r>
    </w:p>
    <w:p w:rsidR="0071027C" w:rsidRPr="00574534" w:rsidRDefault="0071027C" w:rsidP="0071027C">
      <w:pPr>
        <w:pStyle w:val="PlainText"/>
        <w:spacing w:before="120" w:after="120"/>
        <w:jc w:val="both"/>
        <w:rPr>
          <w:rFonts w:ascii="Arial" w:hAnsi="Arial" w:cs="Arial"/>
          <w:b/>
          <w:sz w:val="22"/>
          <w:szCs w:val="22"/>
        </w:rPr>
      </w:pPr>
      <w:r w:rsidRPr="00574534">
        <w:rPr>
          <w:rFonts w:ascii="Arial" w:hAnsi="Arial" w:cs="Arial"/>
          <w:b/>
          <w:sz w:val="22"/>
          <w:szCs w:val="22"/>
        </w:rPr>
        <w:t xml:space="preserve">Management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General measures that help in the treatment of persons with anxiety disorders include reassurance, psycho education and supportive counseling when the level of anxiety does not interfere significantly with social or occupational functioning.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Medications are used when anxiety interferes significantly with sleep or daily functioning. In such cases, the patient’s fears should be discussed in an empathic manner in subsequent sessions and the patient informed that medication will be provided for a short time to help decrease the intensity of symptoms until they can cope better. Patients are going to benefit with low doses of antidepressants like TCAs and SSRIs (e.g. Amitriptyline and fluoxetine respectively) e.g. low doses of Amitriptyline one may start with 12.5 mg daily may alleviate the symptoms. Short acting benzodiazepines can be used but there is a risk of dependence.</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Persons with anxiety disorders should be encouraged to join psychosocial support groups i.e., support groups where people with common concerns and needs can share their experiences and help each other through difficult periods and therefore achieve better health and well being. </w:t>
      </w:r>
    </w:p>
    <w:p w:rsidR="0071027C" w:rsidRPr="00C203F3" w:rsidRDefault="0071027C" w:rsidP="00AA771C">
      <w:pPr>
        <w:pStyle w:val="Heading2"/>
        <w:spacing w:beforeLines="120" w:before="288" w:afterLines="120" w:after="288"/>
        <w:jc w:val="both"/>
        <w:rPr>
          <w:rFonts w:ascii="Arial Narrow" w:hAnsi="Arial Narrow"/>
          <w:sz w:val="24"/>
          <w:szCs w:val="24"/>
        </w:rPr>
      </w:pPr>
      <w:bookmarkStart w:id="978" w:name="_Toc374982008"/>
      <w:bookmarkStart w:id="979" w:name="_Toc378258287"/>
      <w:bookmarkStart w:id="980" w:name="_Toc382214146"/>
      <w:r w:rsidRPr="00C203F3">
        <w:rPr>
          <w:rFonts w:ascii="Arial Narrow" w:hAnsi="Arial Narrow"/>
          <w:sz w:val="24"/>
          <w:szCs w:val="24"/>
        </w:rPr>
        <w:t>12.5. Major Depressive Disorder</w:t>
      </w:r>
      <w:bookmarkEnd w:id="978"/>
      <w:bookmarkEnd w:id="979"/>
      <w:bookmarkEnd w:id="980"/>
    </w:p>
    <w:p w:rsidR="0071027C" w:rsidRPr="00574534" w:rsidRDefault="0071027C" w:rsidP="0071027C">
      <w:pPr>
        <w:pStyle w:val="PlainText"/>
        <w:spacing w:before="120" w:after="120"/>
        <w:jc w:val="both"/>
        <w:rPr>
          <w:rFonts w:ascii="Arial" w:hAnsi="Arial" w:cs="Arial"/>
          <w:b/>
          <w:sz w:val="22"/>
          <w:szCs w:val="22"/>
        </w:rPr>
      </w:pPr>
      <w:r w:rsidRPr="00574534">
        <w:rPr>
          <w:rFonts w:ascii="Arial" w:hAnsi="Arial" w:cs="Arial"/>
          <w:b/>
          <w:sz w:val="22"/>
          <w:szCs w:val="22"/>
        </w:rPr>
        <w:t xml:space="preserve">Definition and Importance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Depression is a common mood disorder characterized by low or sad mood, loss of interest or pleasure, feelings of guilt, suicidal thoughts, disturbed sleep, appetite and weight changes, poor attention and concentration, changes in energy level/fatigue and psychomotor disturbances. Behavioral changes may alert a physician about possible depression including; change in treatment adherence, inability to make life/medical care choices, preoccupation with minor problems, change in functioning, social isolation, interpersonal problems, difficult behaviours in the medical setting, or initiation/return to substance use. Patients may be reluctant or unable to recognize their depressed mood that should be recognized by the attending health care provider and reflected back to the patient. </w:t>
      </w:r>
    </w:p>
    <w:p w:rsidR="0071027C" w:rsidRPr="00574534" w:rsidRDefault="0071027C" w:rsidP="0071027C">
      <w:pPr>
        <w:pStyle w:val="PlainText"/>
        <w:spacing w:before="120" w:after="120"/>
        <w:jc w:val="both"/>
        <w:rPr>
          <w:rFonts w:ascii="Arial" w:hAnsi="Arial" w:cs="Arial"/>
          <w:b/>
          <w:sz w:val="22"/>
          <w:szCs w:val="22"/>
        </w:rPr>
      </w:pPr>
      <w:r w:rsidRPr="00574534">
        <w:rPr>
          <w:rFonts w:ascii="Arial" w:hAnsi="Arial" w:cs="Arial"/>
          <w:b/>
          <w:sz w:val="22"/>
          <w:szCs w:val="22"/>
        </w:rPr>
        <w:t xml:space="preserve">Importance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Major depression is a mental disorder that affects the mind and body and therefore presents with both psychological and physical symptoms. If untreated depression undermines adherence to medical recommendations and physical survival. About 15% of people that are depressed for more than a year commit suicide. Suicide risk must be assessed and if moderate or high it should be addressed accordingly. </w:t>
      </w:r>
    </w:p>
    <w:p w:rsidR="0071027C" w:rsidRPr="00574534" w:rsidRDefault="0071027C" w:rsidP="0071027C">
      <w:pPr>
        <w:pStyle w:val="PlainText"/>
        <w:spacing w:before="120" w:after="120"/>
        <w:jc w:val="both"/>
        <w:rPr>
          <w:rFonts w:ascii="Arial" w:hAnsi="Arial" w:cs="Arial"/>
          <w:b/>
          <w:sz w:val="22"/>
          <w:szCs w:val="22"/>
        </w:rPr>
      </w:pPr>
      <w:r w:rsidRPr="00574534">
        <w:rPr>
          <w:rFonts w:ascii="Arial" w:hAnsi="Arial" w:cs="Arial"/>
          <w:b/>
          <w:sz w:val="22"/>
          <w:szCs w:val="22"/>
        </w:rPr>
        <w:t xml:space="preserve">Epidemiology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About 20% to 40% of PLHIVs accessing medical services suffer from depression. Prevalences for major depression among patients with HIV infection only and patients with AIDS have been estimated to be between 15% and 40%, far above the prevalence for the general population {Angelino et al )  PLHIVs have at least twice the rate of depression in the general population. Depression is associated with more rapid progression of HIV and AIDS disease and is generally more common among women compared to men. </w:t>
      </w:r>
    </w:p>
    <w:p w:rsidR="0071027C" w:rsidRPr="00574534" w:rsidRDefault="0071027C" w:rsidP="0071027C">
      <w:pPr>
        <w:pStyle w:val="PlainText"/>
        <w:spacing w:before="120" w:after="120"/>
        <w:jc w:val="both"/>
        <w:rPr>
          <w:rFonts w:ascii="Arial" w:hAnsi="Arial" w:cs="Arial"/>
          <w:b/>
          <w:sz w:val="22"/>
          <w:szCs w:val="22"/>
        </w:rPr>
      </w:pPr>
      <w:r w:rsidRPr="00574534">
        <w:rPr>
          <w:rFonts w:ascii="Arial" w:hAnsi="Arial" w:cs="Arial"/>
          <w:b/>
          <w:sz w:val="22"/>
          <w:szCs w:val="22"/>
        </w:rPr>
        <w:t xml:space="preserve">Risk Factors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Risk factors of depression include: </w:t>
      </w:r>
    </w:p>
    <w:p w:rsidR="0071027C" w:rsidRPr="00574534" w:rsidRDefault="0071027C" w:rsidP="00274941">
      <w:pPr>
        <w:pStyle w:val="PlainText"/>
        <w:numPr>
          <w:ilvl w:val="0"/>
          <w:numId w:val="118"/>
        </w:numPr>
        <w:spacing w:before="120" w:after="120"/>
        <w:jc w:val="both"/>
        <w:rPr>
          <w:rFonts w:ascii="Arial" w:hAnsi="Arial" w:cs="Arial"/>
          <w:sz w:val="22"/>
          <w:szCs w:val="22"/>
        </w:rPr>
      </w:pPr>
      <w:r w:rsidRPr="00574534">
        <w:rPr>
          <w:rFonts w:ascii="Arial" w:hAnsi="Arial" w:cs="Arial"/>
          <w:sz w:val="22"/>
          <w:szCs w:val="22"/>
        </w:rPr>
        <w:t xml:space="preserve">Past/Family history of depression </w:t>
      </w:r>
    </w:p>
    <w:p w:rsidR="0071027C" w:rsidRPr="00574534" w:rsidRDefault="0071027C" w:rsidP="00274941">
      <w:pPr>
        <w:pStyle w:val="PlainText"/>
        <w:numPr>
          <w:ilvl w:val="0"/>
          <w:numId w:val="118"/>
        </w:numPr>
        <w:spacing w:before="120" w:after="120"/>
        <w:jc w:val="both"/>
        <w:rPr>
          <w:rFonts w:ascii="Arial" w:hAnsi="Arial" w:cs="Arial"/>
          <w:sz w:val="22"/>
          <w:szCs w:val="22"/>
        </w:rPr>
      </w:pPr>
      <w:r w:rsidRPr="00574534">
        <w:rPr>
          <w:rFonts w:ascii="Arial" w:hAnsi="Arial" w:cs="Arial"/>
          <w:sz w:val="22"/>
          <w:szCs w:val="22"/>
        </w:rPr>
        <w:t xml:space="preserve">Female gender </w:t>
      </w:r>
    </w:p>
    <w:p w:rsidR="0071027C" w:rsidRPr="00574534" w:rsidRDefault="0071027C" w:rsidP="00274941">
      <w:pPr>
        <w:pStyle w:val="PlainText"/>
        <w:numPr>
          <w:ilvl w:val="0"/>
          <w:numId w:val="118"/>
        </w:numPr>
        <w:spacing w:before="120" w:after="120"/>
        <w:jc w:val="both"/>
        <w:rPr>
          <w:rFonts w:ascii="Arial" w:hAnsi="Arial" w:cs="Arial"/>
          <w:sz w:val="22"/>
          <w:szCs w:val="22"/>
        </w:rPr>
      </w:pPr>
      <w:r w:rsidRPr="00574534">
        <w:rPr>
          <w:rFonts w:ascii="Arial" w:hAnsi="Arial" w:cs="Arial"/>
          <w:sz w:val="22"/>
          <w:szCs w:val="22"/>
        </w:rPr>
        <w:t xml:space="preserve">Adverse life events </w:t>
      </w:r>
    </w:p>
    <w:p w:rsidR="0071027C" w:rsidRPr="00574534" w:rsidRDefault="0071027C" w:rsidP="00274941">
      <w:pPr>
        <w:pStyle w:val="PlainText"/>
        <w:numPr>
          <w:ilvl w:val="0"/>
          <w:numId w:val="118"/>
        </w:numPr>
        <w:spacing w:before="120" w:after="120"/>
        <w:jc w:val="both"/>
        <w:rPr>
          <w:rFonts w:ascii="Arial" w:hAnsi="Arial" w:cs="Arial"/>
          <w:sz w:val="22"/>
          <w:szCs w:val="22"/>
        </w:rPr>
      </w:pPr>
      <w:r w:rsidRPr="00574534">
        <w:rPr>
          <w:rFonts w:ascii="Arial" w:hAnsi="Arial" w:cs="Arial"/>
          <w:sz w:val="22"/>
          <w:szCs w:val="22"/>
        </w:rPr>
        <w:t xml:space="preserve">Chronic medical illness including HIV/AIDS </w:t>
      </w:r>
    </w:p>
    <w:p w:rsidR="0071027C" w:rsidRPr="00574534" w:rsidRDefault="0071027C" w:rsidP="00274941">
      <w:pPr>
        <w:pStyle w:val="PlainText"/>
        <w:numPr>
          <w:ilvl w:val="0"/>
          <w:numId w:val="118"/>
        </w:numPr>
        <w:spacing w:before="120" w:after="120"/>
        <w:jc w:val="both"/>
        <w:rPr>
          <w:rFonts w:ascii="Arial" w:hAnsi="Arial" w:cs="Arial"/>
          <w:sz w:val="22"/>
          <w:szCs w:val="22"/>
        </w:rPr>
      </w:pPr>
      <w:r w:rsidRPr="00574534">
        <w:rPr>
          <w:rFonts w:ascii="Arial" w:hAnsi="Arial" w:cs="Arial"/>
          <w:sz w:val="22"/>
          <w:szCs w:val="22"/>
        </w:rPr>
        <w:t xml:space="preserve">Lack of social support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b/>
          <w:sz w:val="22"/>
          <w:szCs w:val="22"/>
        </w:rPr>
        <w:t>Note</w:t>
      </w:r>
      <w:r w:rsidRPr="00574534">
        <w:rPr>
          <w:rFonts w:ascii="Arial" w:hAnsi="Arial" w:cs="Arial"/>
          <w:sz w:val="22"/>
          <w:szCs w:val="22"/>
        </w:rPr>
        <w:t xml:space="preserve">: An adverse social environment is damaging while positive social support is protective. </w:t>
      </w:r>
    </w:p>
    <w:p w:rsidR="0071027C" w:rsidRPr="00574534" w:rsidRDefault="0071027C" w:rsidP="0071027C">
      <w:pPr>
        <w:pStyle w:val="PlainText"/>
        <w:spacing w:before="120" w:after="120"/>
        <w:jc w:val="both"/>
        <w:rPr>
          <w:rFonts w:ascii="Arial" w:hAnsi="Arial" w:cs="Arial"/>
          <w:b/>
          <w:sz w:val="22"/>
          <w:szCs w:val="22"/>
        </w:rPr>
      </w:pPr>
      <w:r w:rsidRPr="00574534">
        <w:rPr>
          <w:rFonts w:ascii="Arial" w:hAnsi="Arial" w:cs="Arial"/>
          <w:b/>
          <w:sz w:val="22"/>
          <w:szCs w:val="22"/>
        </w:rPr>
        <w:t xml:space="preserve">Diagnosis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Depressed mood and/or loss of the ability to experience pleasure or interest in normal activities (anhedonia) must be present for more than two weeks and cause significant difficulties in normal functioning (inability to attend to schooling, work or household chores).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Any four of the following also need to be present for a diagnosis of depression: </w:t>
      </w:r>
    </w:p>
    <w:p w:rsidR="0071027C" w:rsidRPr="00574534" w:rsidRDefault="0071027C" w:rsidP="00274941">
      <w:pPr>
        <w:pStyle w:val="PlainText"/>
        <w:numPr>
          <w:ilvl w:val="0"/>
          <w:numId w:val="118"/>
        </w:numPr>
        <w:spacing w:before="120" w:after="120"/>
        <w:jc w:val="both"/>
        <w:rPr>
          <w:rFonts w:ascii="Arial" w:hAnsi="Arial" w:cs="Arial"/>
          <w:sz w:val="22"/>
          <w:szCs w:val="22"/>
        </w:rPr>
      </w:pPr>
      <w:r w:rsidRPr="00574534">
        <w:rPr>
          <w:rFonts w:ascii="Arial" w:hAnsi="Arial" w:cs="Arial"/>
          <w:sz w:val="22"/>
          <w:szCs w:val="22"/>
        </w:rPr>
        <w:t xml:space="preserve">Excessive worry, with or without physiological symptoms of anxiety </w:t>
      </w:r>
    </w:p>
    <w:p w:rsidR="0071027C" w:rsidRPr="00574534" w:rsidRDefault="0071027C" w:rsidP="00274941">
      <w:pPr>
        <w:pStyle w:val="PlainText"/>
        <w:numPr>
          <w:ilvl w:val="0"/>
          <w:numId w:val="118"/>
        </w:numPr>
        <w:spacing w:before="120" w:after="120"/>
        <w:jc w:val="both"/>
        <w:rPr>
          <w:rFonts w:ascii="Arial" w:hAnsi="Arial" w:cs="Arial"/>
          <w:sz w:val="22"/>
          <w:szCs w:val="22"/>
        </w:rPr>
      </w:pPr>
      <w:r w:rsidRPr="00574534">
        <w:rPr>
          <w:rFonts w:ascii="Arial" w:hAnsi="Arial" w:cs="Arial"/>
          <w:sz w:val="22"/>
          <w:szCs w:val="22"/>
        </w:rPr>
        <w:t xml:space="preserve">Fatigue or loss of energy experienced more on waking up n the morning; psychomotor retardation (taking a longer time than usual to accomplish tasks or make decisions) </w:t>
      </w:r>
    </w:p>
    <w:p w:rsidR="0071027C" w:rsidRPr="00574534" w:rsidRDefault="0071027C" w:rsidP="00274941">
      <w:pPr>
        <w:pStyle w:val="PlainText"/>
        <w:numPr>
          <w:ilvl w:val="0"/>
          <w:numId w:val="118"/>
        </w:numPr>
        <w:spacing w:before="120" w:after="120"/>
        <w:jc w:val="both"/>
        <w:rPr>
          <w:rFonts w:ascii="Arial" w:hAnsi="Arial" w:cs="Arial"/>
          <w:sz w:val="22"/>
          <w:szCs w:val="22"/>
        </w:rPr>
      </w:pPr>
      <w:r w:rsidRPr="00574534">
        <w:rPr>
          <w:rFonts w:ascii="Arial" w:hAnsi="Arial" w:cs="Arial"/>
          <w:sz w:val="22"/>
          <w:szCs w:val="22"/>
        </w:rPr>
        <w:t xml:space="preserve">Unexplained pain (headaches, backache, chest tightness or pain when swallowing, generalized body malaise/aches and pains often reported as “homa”) </w:t>
      </w:r>
    </w:p>
    <w:p w:rsidR="0071027C" w:rsidRPr="00574534" w:rsidRDefault="0071027C" w:rsidP="00274941">
      <w:pPr>
        <w:pStyle w:val="PlainText"/>
        <w:numPr>
          <w:ilvl w:val="0"/>
          <w:numId w:val="118"/>
        </w:numPr>
        <w:spacing w:before="120" w:after="120"/>
        <w:jc w:val="both"/>
        <w:rPr>
          <w:rFonts w:ascii="Arial" w:hAnsi="Arial" w:cs="Arial"/>
          <w:sz w:val="22"/>
          <w:szCs w:val="22"/>
        </w:rPr>
      </w:pPr>
      <w:r w:rsidRPr="00574534">
        <w:rPr>
          <w:rFonts w:ascii="Arial" w:hAnsi="Arial" w:cs="Arial"/>
          <w:sz w:val="22"/>
          <w:szCs w:val="22"/>
        </w:rPr>
        <w:t xml:space="preserve">Sleep disturbances characterized by being unable to maintain sleep or a terminal insomnia and/or disturbing dreams </w:t>
      </w:r>
    </w:p>
    <w:p w:rsidR="0071027C" w:rsidRPr="00574534" w:rsidRDefault="0071027C" w:rsidP="00274941">
      <w:pPr>
        <w:pStyle w:val="PlainText"/>
        <w:numPr>
          <w:ilvl w:val="0"/>
          <w:numId w:val="118"/>
        </w:numPr>
        <w:spacing w:before="120" w:after="120"/>
        <w:jc w:val="both"/>
        <w:rPr>
          <w:rFonts w:ascii="Arial" w:hAnsi="Arial" w:cs="Arial"/>
          <w:sz w:val="22"/>
          <w:szCs w:val="22"/>
        </w:rPr>
      </w:pPr>
      <w:r w:rsidRPr="00574534">
        <w:rPr>
          <w:rFonts w:ascii="Arial" w:hAnsi="Arial" w:cs="Arial"/>
          <w:sz w:val="22"/>
          <w:szCs w:val="22"/>
        </w:rPr>
        <w:t xml:space="preserve">Decrease in sexual desire </w:t>
      </w:r>
    </w:p>
    <w:p w:rsidR="0071027C" w:rsidRPr="00574534" w:rsidRDefault="0071027C" w:rsidP="00274941">
      <w:pPr>
        <w:pStyle w:val="PlainText"/>
        <w:numPr>
          <w:ilvl w:val="0"/>
          <w:numId w:val="118"/>
        </w:numPr>
        <w:spacing w:before="120" w:after="120"/>
        <w:jc w:val="both"/>
        <w:rPr>
          <w:rFonts w:ascii="Arial" w:hAnsi="Arial" w:cs="Arial"/>
          <w:sz w:val="22"/>
          <w:szCs w:val="22"/>
        </w:rPr>
      </w:pPr>
      <w:r w:rsidRPr="00574534">
        <w:rPr>
          <w:rFonts w:ascii="Arial" w:hAnsi="Arial" w:cs="Arial"/>
          <w:sz w:val="22"/>
          <w:szCs w:val="22"/>
        </w:rPr>
        <w:t xml:space="preserve">Decrease in attention and concentration </w:t>
      </w:r>
    </w:p>
    <w:p w:rsidR="0071027C" w:rsidRPr="00574534" w:rsidRDefault="0071027C" w:rsidP="00274941">
      <w:pPr>
        <w:pStyle w:val="PlainText"/>
        <w:numPr>
          <w:ilvl w:val="0"/>
          <w:numId w:val="118"/>
        </w:numPr>
        <w:spacing w:before="120" w:after="120"/>
        <w:jc w:val="both"/>
        <w:rPr>
          <w:rFonts w:ascii="Arial" w:hAnsi="Arial" w:cs="Arial"/>
          <w:sz w:val="22"/>
          <w:szCs w:val="22"/>
        </w:rPr>
      </w:pPr>
      <w:r w:rsidRPr="00574534">
        <w:rPr>
          <w:rFonts w:ascii="Arial" w:hAnsi="Arial" w:cs="Arial"/>
          <w:sz w:val="22"/>
          <w:szCs w:val="22"/>
        </w:rPr>
        <w:t xml:space="preserve">Constipation and decreased appetite and weight loss Psychotic symptoms (hallucinations and delusions) may occur with more severe forms of depression. </w:t>
      </w:r>
    </w:p>
    <w:p w:rsidR="0071027C" w:rsidRPr="00574534" w:rsidRDefault="0071027C" w:rsidP="0071027C">
      <w:pPr>
        <w:pStyle w:val="PlainText"/>
        <w:spacing w:before="120" w:after="120"/>
        <w:jc w:val="both"/>
        <w:rPr>
          <w:rFonts w:ascii="Arial" w:hAnsi="Arial" w:cs="Arial"/>
          <w:b/>
          <w:sz w:val="22"/>
          <w:szCs w:val="22"/>
        </w:rPr>
      </w:pPr>
      <w:r w:rsidRPr="00574534">
        <w:rPr>
          <w:rFonts w:ascii="Arial" w:hAnsi="Arial" w:cs="Arial"/>
          <w:b/>
          <w:sz w:val="22"/>
          <w:szCs w:val="22"/>
        </w:rPr>
        <w:t xml:space="preserve">Diagnostic Challenges </w:t>
      </w:r>
    </w:p>
    <w:p w:rsidR="0071027C" w:rsidRPr="00574534" w:rsidRDefault="0071027C" w:rsidP="00274941">
      <w:pPr>
        <w:pStyle w:val="PlainText"/>
        <w:numPr>
          <w:ilvl w:val="0"/>
          <w:numId w:val="118"/>
        </w:numPr>
        <w:spacing w:before="120" w:after="120"/>
        <w:jc w:val="both"/>
        <w:rPr>
          <w:rFonts w:ascii="Arial" w:hAnsi="Arial" w:cs="Arial"/>
          <w:sz w:val="22"/>
          <w:szCs w:val="22"/>
        </w:rPr>
      </w:pPr>
      <w:r w:rsidRPr="00574534">
        <w:rPr>
          <w:rFonts w:ascii="Arial" w:hAnsi="Arial" w:cs="Arial"/>
          <w:sz w:val="22"/>
          <w:szCs w:val="22"/>
        </w:rPr>
        <w:t xml:space="preserve">Misconception that depression in HIV is normal </w:t>
      </w:r>
    </w:p>
    <w:p w:rsidR="0071027C" w:rsidRPr="00574534" w:rsidRDefault="0071027C" w:rsidP="00274941">
      <w:pPr>
        <w:pStyle w:val="PlainText"/>
        <w:numPr>
          <w:ilvl w:val="0"/>
          <w:numId w:val="118"/>
        </w:numPr>
        <w:spacing w:before="120" w:after="120"/>
        <w:jc w:val="both"/>
        <w:rPr>
          <w:rFonts w:ascii="Arial" w:hAnsi="Arial" w:cs="Arial"/>
          <w:sz w:val="22"/>
          <w:szCs w:val="22"/>
        </w:rPr>
      </w:pPr>
      <w:r w:rsidRPr="00574534">
        <w:rPr>
          <w:rFonts w:ascii="Arial" w:hAnsi="Arial" w:cs="Arial"/>
          <w:sz w:val="22"/>
          <w:szCs w:val="22"/>
        </w:rPr>
        <w:t xml:space="preserve">Overlapping symptoms such as fatigue, weight loss and insomnia may be due to depression or physical illness, such as HIV </w:t>
      </w:r>
    </w:p>
    <w:p w:rsidR="0071027C" w:rsidRPr="00574534" w:rsidRDefault="0071027C" w:rsidP="00274941">
      <w:pPr>
        <w:pStyle w:val="PlainText"/>
        <w:numPr>
          <w:ilvl w:val="0"/>
          <w:numId w:val="118"/>
        </w:numPr>
        <w:spacing w:before="120" w:after="120"/>
        <w:jc w:val="both"/>
        <w:rPr>
          <w:rFonts w:ascii="Arial" w:hAnsi="Arial" w:cs="Arial"/>
          <w:sz w:val="22"/>
          <w:szCs w:val="22"/>
        </w:rPr>
      </w:pPr>
      <w:r w:rsidRPr="00574534">
        <w:rPr>
          <w:rFonts w:ascii="Arial" w:hAnsi="Arial" w:cs="Arial"/>
          <w:sz w:val="22"/>
          <w:szCs w:val="22"/>
        </w:rPr>
        <w:t xml:space="preserve">Chronic pain and chronic physical syndromes co-morbid with mood disorders </w:t>
      </w:r>
    </w:p>
    <w:p w:rsidR="0071027C" w:rsidRPr="00574534" w:rsidRDefault="0071027C" w:rsidP="00274941">
      <w:pPr>
        <w:pStyle w:val="PlainText"/>
        <w:numPr>
          <w:ilvl w:val="0"/>
          <w:numId w:val="118"/>
        </w:numPr>
        <w:spacing w:before="120" w:after="120"/>
        <w:jc w:val="both"/>
        <w:rPr>
          <w:rFonts w:ascii="Arial" w:hAnsi="Arial" w:cs="Arial"/>
          <w:sz w:val="22"/>
          <w:szCs w:val="22"/>
        </w:rPr>
      </w:pPr>
      <w:r w:rsidRPr="00574534">
        <w:rPr>
          <w:rFonts w:ascii="Arial" w:hAnsi="Arial" w:cs="Arial"/>
          <w:sz w:val="22"/>
          <w:szCs w:val="22"/>
        </w:rPr>
        <w:t xml:space="preserve">Medication related depression and anxiety </w:t>
      </w:r>
    </w:p>
    <w:p w:rsidR="0071027C" w:rsidRPr="00574534" w:rsidRDefault="0071027C" w:rsidP="00274941">
      <w:pPr>
        <w:pStyle w:val="PlainText"/>
        <w:numPr>
          <w:ilvl w:val="0"/>
          <w:numId w:val="118"/>
        </w:numPr>
        <w:spacing w:before="120" w:after="120"/>
        <w:jc w:val="both"/>
        <w:rPr>
          <w:rFonts w:ascii="Arial" w:hAnsi="Arial" w:cs="Arial"/>
          <w:sz w:val="22"/>
          <w:szCs w:val="22"/>
        </w:rPr>
      </w:pPr>
      <w:r w:rsidRPr="00574534">
        <w:rPr>
          <w:rFonts w:ascii="Arial" w:hAnsi="Arial" w:cs="Arial"/>
          <w:sz w:val="22"/>
          <w:szCs w:val="22"/>
        </w:rPr>
        <w:t xml:space="preserve">Substance abuse (may be associated with depression) </w:t>
      </w:r>
    </w:p>
    <w:p w:rsidR="0071027C" w:rsidRPr="00574534" w:rsidRDefault="0071027C" w:rsidP="0071027C">
      <w:pPr>
        <w:pStyle w:val="PlainText"/>
        <w:spacing w:before="120" w:after="120"/>
        <w:jc w:val="both"/>
        <w:rPr>
          <w:rFonts w:ascii="Arial" w:hAnsi="Arial" w:cs="Arial"/>
          <w:b/>
          <w:sz w:val="22"/>
          <w:szCs w:val="22"/>
        </w:rPr>
      </w:pPr>
      <w:r w:rsidRPr="00574534">
        <w:rPr>
          <w:rFonts w:ascii="Arial" w:hAnsi="Arial" w:cs="Arial"/>
          <w:b/>
          <w:sz w:val="22"/>
          <w:szCs w:val="22"/>
        </w:rPr>
        <w:t xml:space="preserve">Management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Antidepressants should be started in low doses, about 50% of dosage for healthy individual of similar profile. PLHIVs tend to be more sensitive to the side effects of psychotropic medicines.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Always initiate treatment with low doses to minimize risk of serious side effects. Tricyclic antidepressants (TCAs) like amitryptylline and imipramine can be used, but selective serotonin reuptake inhibitors (SSRIs) such as fluoxetine, fluvoxamine and escitalopramthat have fewer side effects are recommended. (PIs interact with SSRIs and TCAs).It is important to ensure adequate doses and for adequate duration (maintenance drug treatment provided at therapeutic dose for 6 months after resolution of symptoms), combined with supportive counseling. </w:t>
      </w:r>
    </w:p>
    <w:p w:rsidR="0071027C" w:rsidRPr="00574534" w:rsidRDefault="0071027C" w:rsidP="0071027C">
      <w:pPr>
        <w:pStyle w:val="PlainText"/>
        <w:spacing w:before="120" w:after="120"/>
        <w:jc w:val="both"/>
        <w:rPr>
          <w:rFonts w:ascii="Arial" w:hAnsi="Arial" w:cs="Arial"/>
          <w:sz w:val="22"/>
          <w:szCs w:val="22"/>
        </w:rPr>
      </w:pPr>
      <w:r w:rsidRPr="00574534">
        <w:rPr>
          <w:rFonts w:ascii="Arial" w:hAnsi="Arial" w:cs="Arial"/>
          <w:sz w:val="22"/>
          <w:szCs w:val="22"/>
        </w:rPr>
        <w:t xml:space="preserve">Referral to mental health services is advisable should depressive symptoms not resolve within four weeks of initiating drug treatment. Antidepressants do not treat psychotic symptoms and when present they should be treated with an antipsychotic drug. Care should be taken for possible interactions between antidepressants and ARVs as shown in the following table 12.1. </w:t>
      </w:r>
    </w:p>
    <w:p w:rsidR="0071027C" w:rsidRDefault="0071027C" w:rsidP="00AA771C">
      <w:pPr>
        <w:pStyle w:val="PlainText"/>
        <w:spacing w:beforeLines="120" w:before="288" w:afterLines="120" w:after="288" w:line="276" w:lineRule="auto"/>
        <w:jc w:val="both"/>
        <w:rPr>
          <w:rFonts w:ascii="Arial Narrow" w:hAnsi="Arial Narrow"/>
          <w:b/>
          <w:sz w:val="24"/>
          <w:szCs w:val="24"/>
        </w:rPr>
        <w:sectPr w:rsidR="0071027C" w:rsidSect="0027452F">
          <w:pgSz w:w="12240" w:h="15840"/>
          <w:pgMar w:top="1440" w:right="1440" w:bottom="1440" w:left="1440" w:header="720" w:footer="720" w:gutter="0"/>
          <w:cols w:space="720"/>
          <w:docGrid w:linePitch="360"/>
        </w:sectPr>
      </w:pPr>
    </w:p>
    <w:p w:rsidR="0071027C" w:rsidRPr="00574534" w:rsidRDefault="0071027C" w:rsidP="00AA771C">
      <w:pPr>
        <w:pStyle w:val="PlainText"/>
        <w:spacing w:beforeLines="120" w:before="288" w:afterLines="120" w:after="288" w:line="276" w:lineRule="auto"/>
        <w:jc w:val="both"/>
        <w:rPr>
          <w:rFonts w:ascii="Arial" w:hAnsi="Arial" w:cs="Arial"/>
          <w:b/>
          <w:sz w:val="22"/>
          <w:szCs w:val="22"/>
        </w:rPr>
      </w:pPr>
      <w:r w:rsidRPr="00574534">
        <w:rPr>
          <w:rFonts w:ascii="Arial" w:hAnsi="Arial" w:cs="Arial"/>
          <w:b/>
          <w:sz w:val="22"/>
          <w:szCs w:val="22"/>
        </w:rPr>
        <w:t>Table 12:1 Antidepressant dosage and possible ART interactions (there is need to incorporate more medications in drug interactions like antipsychotics, anxiolytics and mood stabilizer).</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2015"/>
        <w:gridCol w:w="1161"/>
        <w:gridCol w:w="3917"/>
      </w:tblGrid>
      <w:tr w:rsidR="0071027C" w:rsidRPr="00810A1B" w:rsidTr="0071027C">
        <w:trPr>
          <w:trHeight w:val="864"/>
        </w:trPr>
        <w:tc>
          <w:tcPr>
            <w:tcW w:w="2470" w:type="dxa"/>
            <w:tcBorders>
              <w:right w:val="single" w:sz="4" w:space="0" w:color="FFFFFF"/>
            </w:tcBorders>
            <w:shd w:val="clear" w:color="auto" w:fill="000000"/>
          </w:tcPr>
          <w:p w:rsidR="0071027C" w:rsidRPr="00810A1B" w:rsidRDefault="0071027C" w:rsidP="00AA771C">
            <w:pPr>
              <w:autoSpaceDE w:val="0"/>
              <w:autoSpaceDN w:val="0"/>
              <w:adjustRightInd w:val="0"/>
              <w:spacing w:beforeLines="120" w:before="288" w:afterLines="120" w:after="288" w:line="240" w:lineRule="auto"/>
              <w:jc w:val="center"/>
              <w:rPr>
                <w:rFonts w:ascii="Arial" w:hAnsi="Arial" w:cs="Arial"/>
                <w:b/>
                <w:bCs/>
              </w:rPr>
            </w:pPr>
            <w:r w:rsidRPr="00810A1B">
              <w:rPr>
                <w:rFonts w:ascii="Arial" w:hAnsi="Arial" w:cs="Arial"/>
                <w:b/>
                <w:bCs/>
              </w:rPr>
              <w:t>Drug groups of antidepressants</w:t>
            </w:r>
          </w:p>
          <w:p w:rsidR="0071027C" w:rsidRPr="00810A1B" w:rsidRDefault="0071027C" w:rsidP="00AA771C">
            <w:pPr>
              <w:pStyle w:val="PlainText"/>
              <w:spacing w:beforeLines="120" w:before="288" w:afterLines="120" w:after="288"/>
              <w:jc w:val="center"/>
              <w:rPr>
                <w:rFonts w:ascii="Arial" w:hAnsi="Arial" w:cs="Arial"/>
                <w:b/>
                <w:bCs/>
                <w:sz w:val="22"/>
                <w:szCs w:val="22"/>
              </w:rPr>
            </w:pPr>
            <w:r w:rsidRPr="00810A1B">
              <w:rPr>
                <w:rFonts w:ascii="Arial" w:hAnsi="Arial" w:cs="Arial"/>
                <w:b/>
                <w:bCs/>
                <w:sz w:val="22"/>
                <w:szCs w:val="22"/>
              </w:rPr>
              <w:t>(AD)</w:t>
            </w:r>
          </w:p>
        </w:tc>
        <w:tc>
          <w:tcPr>
            <w:tcW w:w="2022" w:type="dxa"/>
            <w:tcBorders>
              <w:left w:val="single" w:sz="4" w:space="0" w:color="FFFFFF"/>
              <w:right w:val="single" w:sz="4" w:space="0" w:color="FFFFFF"/>
            </w:tcBorders>
            <w:shd w:val="clear" w:color="auto" w:fill="000000"/>
          </w:tcPr>
          <w:p w:rsidR="0071027C" w:rsidRPr="00810A1B" w:rsidRDefault="0071027C" w:rsidP="00AA771C">
            <w:pPr>
              <w:autoSpaceDE w:val="0"/>
              <w:autoSpaceDN w:val="0"/>
              <w:adjustRightInd w:val="0"/>
              <w:spacing w:beforeLines="120" w:before="288" w:afterLines="120" w:after="288" w:line="240" w:lineRule="auto"/>
              <w:jc w:val="center"/>
              <w:rPr>
                <w:rFonts w:ascii="Arial" w:hAnsi="Arial" w:cs="Arial"/>
                <w:b/>
                <w:bCs/>
              </w:rPr>
            </w:pPr>
            <w:r w:rsidRPr="00810A1B">
              <w:rPr>
                <w:rFonts w:ascii="Arial" w:hAnsi="Arial" w:cs="Arial"/>
                <w:b/>
                <w:bCs/>
              </w:rPr>
              <w:t>Specific</w:t>
            </w:r>
          </w:p>
          <w:p w:rsidR="0071027C" w:rsidRPr="00810A1B" w:rsidRDefault="0071027C" w:rsidP="00AA771C">
            <w:pPr>
              <w:autoSpaceDE w:val="0"/>
              <w:autoSpaceDN w:val="0"/>
              <w:adjustRightInd w:val="0"/>
              <w:spacing w:beforeLines="120" w:before="288" w:afterLines="120" w:after="288" w:line="240" w:lineRule="auto"/>
              <w:jc w:val="center"/>
              <w:rPr>
                <w:rFonts w:ascii="Arial" w:hAnsi="Arial" w:cs="Arial"/>
                <w:b/>
                <w:bCs/>
              </w:rPr>
            </w:pPr>
            <w:r w:rsidRPr="00810A1B">
              <w:rPr>
                <w:rFonts w:ascii="Arial" w:hAnsi="Arial" w:cs="Arial"/>
                <w:b/>
                <w:bCs/>
              </w:rPr>
              <w:t>drugs/registered</w:t>
            </w:r>
          </w:p>
          <w:p w:rsidR="0071027C" w:rsidRPr="00810A1B" w:rsidRDefault="0071027C" w:rsidP="00AA771C">
            <w:pPr>
              <w:pStyle w:val="PlainText"/>
              <w:spacing w:beforeLines="120" w:before="288" w:afterLines="120" w:after="288"/>
              <w:jc w:val="center"/>
              <w:rPr>
                <w:rFonts w:ascii="Arial" w:hAnsi="Arial" w:cs="Arial"/>
                <w:b/>
                <w:bCs/>
                <w:sz w:val="22"/>
                <w:szCs w:val="22"/>
              </w:rPr>
            </w:pPr>
            <w:r w:rsidRPr="00810A1B">
              <w:rPr>
                <w:rFonts w:ascii="Arial" w:hAnsi="Arial" w:cs="Arial"/>
                <w:b/>
                <w:bCs/>
                <w:sz w:val="22"/>
                <w:szCs w:val="22"/>
              </w:rPr>
              <w:t>Tanzania</w:t>
            </w:r>
          </w:p>
        </w:tc>
        <w:tc>
          <w:tcPr>
            <w:tcW w:w="1195" w:type="dxa"/>
            <w:tcBorders>
              <w:left w:val="single" w:sz="4" w:space="0" w:color="FFFFFF"/>
              <w:right w:val="single" w:sz="4" w:space="0" w:color="FFFFFF"/>
            </w:tcBorders>
            <w:shd w:val="clear" w:color="auto" w:fill="000000"/>
          </w:tcPr>
          <w:p w:rsidR="0071027C" w:rsidRPr="00810A1B" w:rsidRDefault="0071027C" w:rsidP="00AA771C">
            <w:pPr>
              <w:autoSpaceDE w:val="0"/>
              <w:autoSpaceDN w:val="0"/>
              <w:adjustRightInd w:val="0"/>
              <w:spacing w:beforeLines="120" w:before="288" w:afterLines="120" w:after="288" w:line="240" w:lineRule="auto"/>
              <w:jc w:val="center"/>
              <w:rPr>
                <w:rFonts w:ascii="Arial" w:hAnsi="Arial" w:cs="Arial"/>
                <w:b/>
                <w:bCs/>
              </w:rPr>
            </w:pPr>
            <w:r w:rsidRPr="00810A1B">
              <w:rPr>
                <w:rFonts w:ascii="Arial" w:hAnsi="Arial" w:cs="Arial"/>
                <w:b/>
                <w:bCs/>
              </w:rPr>
              <w:t>Dose</w:t>
            </w:r>
          </w:p>
          <w:p w:rsidR="0071027C" w:rsidRPr="00810A1B" w:rsidRDefault="0071027C" w:rsidP="00AA771C">
            <w:pPr>
              <w:autoSpaceDE w:val="0"/>
              <w:autoSpaceDN w:val="0"/>
              <w:adjustRightInd w:val="0"/>
              <w:spacing w:beforeLines="120" w:before="288" w:afterLines="120" w:after="288" w:line="240" w:lineRule="auto"/>
              <w:jc w:val="center"/>
              <w:rPr>
                <w:rFonts w:ascii="Arial" w:hAnsi="Arial" w:cs="Arial"/>
                <w:b/>
                <w:bCs/>
              </w:rPr>
            </w:pPr>
            <w:r w:rsidRPr="00810A1B">
              <w:rPr>
                <w:rFonts w:ascii="Arial" w:hAnsi="Arial" w:cs="Arial"/>
                <w:b/>
                <w:bCs/>
              </w:rPr>
              <w:t>range</w:t>
            </w:r>
          </w:p>
          <w:p w:rsidR="0071027C" w:rsidRPr="00810A1B" w:rsidRDefault="0071027C" w:rsidP="00AA771C">
            <w:pPr>
              <w:pStyle w:val="PlainText"/>
              <w:spacing w:beforeLines="120" w:before="288" w:afterLines="120" w:after="288"/>
              <w:jc w:val="center"/>
              <w:rPr>
                <w:rFonts w:ascii="Arial" w:hAnsi="Arial" w:cs="Arial"/>
                <w:b/>
                <w:bCs/>
                <w:sz w:val="22"/>
                <w:szCs w:val="22"/>
              </w:rPr>
            </w:pPr>
            <w:r w:rsidRPr="00810A1B">
              <w:rPr>
                <w:rFonts w:ascii="Arial" w:hAnsi="Arial" w:cs="Arial"/>
                <w:b/>
                <w:bCs/>
                <w:sz w:val="22"/>
                <w:szCs w:val="22"/>
              </w:rPr>
              <w:t>(mg)</w:t>
            </w:r>
          </w:p>
        </w:tc>
        <w:tc>
          <w:tcPr>
            <w:tcW w:w="4141" w:type="dxa"/>
            <w:tcBorders>
              <w:left w:val="single" w:sz="4" w:space="0" w:color="FFFFFF"/>
            </w:tcBorders>
            <w:shd w:val="clear" w:color="auto" w:fill="000000"/>
          </w:tcPr>
          <w:p w:rsidR="0071027C" w:rsidRPr="00810A1B" w:rsidRDefault="0071027C" w:rsidP="00AA771C">
            <w:pPr>
              <w:autoSpaceDE w:val="0"/>
              <w:autoSpaceDN w:val="0"/>
              <w:adjustRightInd w:val="0"/>
              <w:spacing w:beforeLines="120" w:before="288" w:afterLines="120" w:after="288" w:line="240" w:lineRule="auto"/>
              <w:jc w:val="center"/>
              <w:rPr>
                <w:rFonts w:ascii="Arial" w:hAnsi="Arial" w:cs="Arial"/>
                <w:b/>
                <w:bCs/>
              </w:rPr>
            </w:pPr>
            <w:r w:rsidRPr="00810A1B">
              <w:rPr>
                <w:rFonts w:ascii="Arial" w:hAnsi="Arial" w:cs="Arial"/>
                <w:b/>
                <w:bCs/>
              </w:rPr>
              <w:t>Interactions with</w:t>
            </w:r>
          </w:p>
          <w:p w:rsidR="0071027C" w:rsidRPr="00810A1B" w:rsidRDefault="0071027C" w:rsidP="00AA771C">
            <w:pPr>
              <w:pStyle w:val="PlainText"/>
              <w:spacing w:beforeLines="120" w:before="288" w:afterLines="120" w:after="288"/>
              <w:jc w:val="center"/>
              <w:rPr>
                <w:rFonts w:ascii="Arial" w:hAnsi="Arial" w:cs="Arial"/>
                <w:b/>
                <w:bCs/>
                <w:sz w:val="22"/>
                <w:szCs w:val="22"/>
              </w:rPr>
            </w:pPr>
            <w:r w:rsidRPr="00810A1B">
              <w:rPr>
                <w:rFonts w:ascii="Arial" w:hAnsi="Arial" w:cs="Arial"/>
                <w:b/>
                <w:bCs/>
                <w:sz w:val="22"/>
                <w:szCs w:val="22"/>
              </w:rPr>
              <w:t>ARVs</w:t>
            </w:r>
          </w:p>
        </w:tc>
      </w:tr>
      <w:tr w:rsidR="0071027C" w:rsidRPr="00810A1B" w:rsidTr="0071027C">
        <w:trPr>
          <w:trHeight w:val="992"/>
        </w:trPr>
        <w:tc>
          <w:tcPr>
            <w:tcW w:w="2470" w:type="dxa"/>
          </w:tcPr>
          <w:p w:rsidR="0071027C" w:rsidRPr="00810A1B" w:rsidRDefault="0071027C" w:rsidP="00AA771C">
            <w:pPr>
              <w:pStyle w:val="PlainText"/>
              <w:spacing w:beforeLines="120" w:before="288" w:afterLines="120" w:after="288"/>
              <w:rPr>
                <w:rFonts w:ascii="Arial" w:hAnsi="Arial" w:cs="Arial"/>
                <w:b/>
                <w:bCs/>
                <w:sz w:val="22"/>
                <w:szCs w:val="22"/>
              </w:rPr>
            </w:pPr>
            <w:r w:rsidRPr="00810A1B">
              <w:rPr>
                <w:rFonts w:ascii="Arial" w:eastAsia="HelveticaNeueLTStd-Cn" w:hAnsi="Arial" w:cs="Arial"/>
                <w:bCs/>
                <w:sz w:val="22"/>
                <w:szCs w:val="22"/>
              </w:rPr>
              <w:t>1. Tricyclics</w:t>
            </w:r>
          </w:p>
        </w:tc>
        <w:tc>
          <w:tcPr>
            <w:tcW w:w="2022" w:type="dxa"/>
          </w:tcPr>
          <w:p w:rsidR="0071027C" w:rsidRPr="00810A1B" w:rsidRDefault="0071027C" w:rsidP="00AA771C">
            <w:pPr>
              <w:autoSpaceDE w:val="0"/>
              <w:autoSpaceDN w:val="0"/>
              <w:adjustRightInd w:val="0"/>
              <w:spacing w:beforeLines="120" w:before="288" w:afterLines="120" w:after="288" w:line="240" w:lineRule="auto"/>
              <w:rPr>
                <w:rFonts w:ascii="Arial" w:eastAsia="HelveticaNeueLTStd-Cn" w:hAnsi="Arial" w:cs="Arial"/>
              </w:rPr>
            </w:pPr>
            <w:r w:rsidRPr="00810A1B">
              <w:rPr>
                <w:rFonts w:ascii="Arial" w:eastAsia="HelveticaNeueLTStd-Cn" w:hAnsi="Arial" w:cs="Arial"/>
              </w:rPr>
              <w:t>Amitriptyline</w:t>
            </w:r>
          </w:p>
          <w:p w:rsidR="0071027C" w:rsidRPr="00810A1B" w:rsidRDefault="0071027C" w:rsidP="00AA771C">
            <w:pPr>
              <w:pStyle w:val="PlainText"/>
              <w:spacing w:beforeLines="120" w:before="288" w:afterLines="120" w:after="288"/>
              <w:rPr>
                <w:rFonts w:ascii="Arial" w:hAnsi="Arial" w:cs="Arial"/>
                <w:sz w:val="22"/>
                <w:szCs w:val="22"/>
              </w:rPr>
            </w:pPr>
            <w:r w:rsidRPr="00810A1B">
              <w:rPr>
                <w:rFonts w:ascii="Arial" w:eastAsia="HelveticaNeueLTStd-Cn" w:hAnsi="Arial" w:cs="Arial"/>
                <w:sz w:val="22"/>
                <w:szCs w:val="22"/>
              </w:rPr>
              <w:t>Imipramine</w:t>
            </w:r>
          </w:p>
        </w:tc>
        <w:tc>
          <w:tcPr>
            <w:tcW w:w="1195" w:type="dxa"/>
          </w:tcPr>
          <w:p w:rsidR="0071027C" w:rsidRPr="00810A1B" w:rsidRDefault="0071027C" w:rsidP="00AA771C">
            <w:pPr>
              <w:autoSpaceDE w:val="0"/>
              <w:autoSpaceDN w:val="0"/>
              <w:adjustRightInd w:val="0"/>
              <w:spacing w:beforeLines="120" w:before="288" w:afterLines="120" w:after="288" w:line="240" w:lineRule="auto"/>
              <w:rPr>
                <w:rFonts w:ascii="Arial" w:eastAsia="HelveticaNeueLTStd-Cn" w:hAnsi="Arial" w:cs="Arial"/>
              </w:rPr>
            </w:pPr>
            <w:r w:rsidRPr="00810A1B">
              <w:rPr>
                <w:rFonts w:ascii="Arial" w:eastAsia="HelveticaNeueLTStd-Cn" w:hAnsi="Arial" w:cs="Arial"/>
              </w:rPr>
              <w:t>25–75</w:t>
            </w:r>
          </w:p>
          <w:p w:rsidR="0071027C" w:rsidRPr="00810A1B" w:rsidRDefault="0071027C" w:rsidP="00AA771C">
            <w:pPr>
              <w:pStyle w:val="PlainText"/>
              <w:spacing w:beforeLines="120" w:before="288" w:afterLines="120" w:after="288"/>
              <w:rPr>
                <w:rFonts w:ascii="Arial" w:hAnsi="Arial" w:cs="Arial"/>
                <w:sz w:val="22"/>
                <w:szCs w:val="22"/>
              </w:rPr>
            </w:pPr>
            <w:r w:rsidRPr="00810A1B">
              <w:rPr>
                <w:rFonts w:ascii="Arial" w:eastAsia="HelveticaNeueLTStd-Cn" w:hAnsi="Arial" w:cs="Arial"/>
                <w:sz w:val="22"/>
                <w:szCs w:val="22"/>
              </w:rPr>
              <w:t>per day</w:t>
            </w:r>
          </w:p>
        </w:tc>
        <w:tc>
          <w:tcPr>
            <w:tcW w:w="4141" w:type="dxa"/>
          </w:tcPr>
          <w:p w:rsidR="0071027C" w:rsidRPr="00810A1B" w:rsidRDefault="0071027C" w:rsidP="00AA771C">
            <w:pPr>
              <w:autoSpaceDE w:val="0"/>
              <w:autoSpaceDN w:val="0"/>
              <w:adjustRightInd w:val="0"/>
              <w:spacing w:beforeLines="120" w:before="288" w:afterLines="120" w:after="288" w:line="240" w:lineRule="auto"/>
              <w:rPr>
                <w:rFonts w:ascii="Arial" w:eastAsia="HelveticaNeueLTStd-Cn" w:hAnsi="Arial" w:cs="Arial"/>
              </w:rPr>
            </w:pPr>
            <w:r w:rsidRPr="00810A1B">
              <w:rPr>
                <w:rFonts w:ascii="Arial" w:eastAsia="HelveticaNeueLTStd-Cn" w:hAnsi="Arial" w:cs="Arial"/>
              </w:rPr>
              <w:t>Lopinavir/r &amp; ritonavir increase antidepressant (AD) levels in serum</w:t>
            </w:r>
          </w:p>
        </w:tc>
      </w:tr>
      <w:tr w:rsidR="0071027C" w:rsidRPr="00810A1B" w:rsidTr="0071027C">
        <w:trPr>
          <w:trHeight w:val="992"/>
        </w:trPr>
        <w:tc>
          <w:tcPr>
            <w:tcW w:w="2470" w:type="dxa"/>
          </w:tcPr>
          <w:p w:rsidR="0071027C" w:rsidRPr="00810A1B" w:rsidRDefault="0071027C" w:rsidP="00AA771C">
            <w:pPr>
              <w:autoSpaceDE w:val="0"/>
              <w:autoSpaceDN w:val="0"/>
              <w:adjustRightInd w:val="0"/>
              <w:spacing w:beforeLines="120" w:before="288" w:afterLines="120" w:after="288" w:line="240" w:lineRule="auto"/>
              <w:rPr>
                <w:rFonts w:ascii="Arial" w:eastAsia="HelveticaNeueLTStd-Cn" w:hAnsi="Arial" w:cs="Arial"/>
                <w:b/>
                <w:bCs/>
              </w:rPr>
            </w:pPr>
            <w:r w:rsidRPr="00810A1B">
              <w:rPr>
                <w:rFonts w:ascii="Arial" w:eastAsia="HelveticaNeueLTStd-Cn" w:hAnsi="Arial" w:cs="Arial"/>
                <w:bCs/>
              </w:rPr>
              <w:t>2. SSRIs (serotonin specific re-uptake inhibitors)(Recommended in patients on ART)</w:t>
            </w:r>
          </w:p>
        </w:tc>
        <w:tc>
          <w:tcPr>
            <w:tcW w:w="2022" w:type="dxa"/>
          </w:tcPr>
          <w:p w:rsidR="0071027C" w:rsidRPr="00810A1B" w:rsidRDefault="0071027C" w:rsidP="00AA771C">
            <w:pPr>
              <w:pStyle w:val="PlainText"/>
              <w:spacing w:beforeLines="120" w:before="288" w:afterLines="120" w:after="288"/>
              <w:rPr>
                <w:rFonts w:ascii="Arial" w:hAnsi="Arial" w:cs="Arial"/>
                <w:sz w:val="22"/>
                <w:szCs w:val="22"/>
              </w:rPr>
            </w:pPr>
            <w:r w:rsidRPr="00810A1B">
              <w:rPr>
                <w:rFonts w:ascii="Arial" w:eastAsia="HelveticaNeueLTStd-Cn" w:hAnsi="Arial" w:cs="Arial"/>
                <w:sz w:val="22"/>
                <w:szCs w:val="22"/>
              </w:rPr>
              <w:t>Fluoxetine</w:t>
            </w:r>
          </w:p>
        </w:tc>
        <w:tc>
          <w:tcPr>
            <w:tcW w:w="1195" w:type="dxa"/>
          </w:tcPr>
          <w:p w:rsidR="0071027C" w:rsidRPr="00810A1B" w:rsidRDefault="0071027C" w:rsidP="00AA771C">
            <w:pPr>
              <w:autoSpaceDE w:val="0"/>
              <w:autoSpaceDN w:val="0"/>
              <w:adjustRightInd w:val="0"/>
              <w:spacing w:beforeLines="120" w:before="288" w:afterLines="120" w:after="288" w:line="240" w:lineRule="auto"/>
              <w:rPr>
                <w:rFonts w:ascii="Arial" w:eastAsia="HelveticaNeueLTStd-Cn" w:hAnsi="Arial" w:cs="Arial"/>
              </w:rPr>
            </w:pPr>
            <w:r w:rsidRPr="00810A1B">
              <w:rPr>
                <w:rFonts w:ascii="Arial" w:eastAsia="HelveticaNeueLTStd-Cn" w:hAnsi="Arial" w:cs="Arial"/>
              </w:rPr>
              <w:t>10–20</w:t>
            </w:r>
          </w:p>
          <w:p w:rsidR="0071027C" w:rsidRPr="00810A1B" w:rsidRDefault="0071027C" w:rsidP="00AA771C">
            <w:pPr>
              <w:pStyle w:val="PlainText"/>
              <w:spacing w:beforeLines="120" w:before="288" w:afterLines="120" w:after="288"/>
              <w:rPr>
                <w:rFonts w:ascii="Arial" w:hAnsi="Arial" w:cs="Arial"/>
                <w:sz w:val="22"/>
                <w:szCs w:val="22"/>
              </w:rPr>
            </w:pPr>
            <w:r w:rsidRPr="00810A1B">
              <w:rPr>
                <w:rFonts w:ascii="Arial" w:eastAsia="HelveticaNeueLTStd-Cn" w:hAnsi="Arial" w:cs="Arial"/>
                <w:sz w:val="22"/>
                <w:szCs w:val="22"/>
              </w:rPr>
              <w:t>per day</w:t>
            </w:r>
          </w:p>
        </w:tc>
        <w:tc>
          <w:tcPr>
            <w:tcW w:w="4141" w:type="dxa"/>
          </w:tcPr>
          <w:p w:rsidR="0071027C" w:rsidRPr="00810A1B" w:rsidRDefault="0071027C" w:rsidP="00AA771C">
            <w:pPr>
              <w:autoSpaceDE w:val="0"/>
              <w:autoSpaceDN w:val="0"/>
              <w:adjustRightInd w:val="0"/>
              <w:spacing w:beforeLines="120" w:before="288" w:afterLines="120" w:after="288" w:line="240" w:lineRule="auto"/>
              <w:rPr>
                <w:rFonts w:ascii="Arial" w:eastAsia="HelveticaNeueLTStd-Cn" w:hAnsi="Arial" w:cs="Arial"/>
              </w:rPr>
            </w:pPr>
            <w:r w:rsidRPr="00810A1B">
              <w:rPr>
                <w:rFonts w:ascii="Arial" w:eastAsia="HelveticaNeueLTStd-Cn" w:hAnsi="Arial" w:cs="Arial"/>
              </w:rPr>
              <w:t>Nevirapine decreases AD level; AD increases levels of Amprenavir, Delavidine, Efavirenz, Indinavir, LPV/r, Ritonavir, Saquinavir</w:t>
            </w:r>
          </w:p>
        </w:tc>
      </w:tr>
    </w:tbl>
    <w:p w:rsidR="0071027C" w:rsidRPr="00C203F3" w:rsidRDefault="0071027C" w:rsidP="0071027C">
      <w:pPr>
        <w:pStyle w:val="Heading2"/>
        <w:jc w:val="both"/>
        <w:rPr>
          <w:rFonts w:ascii="Arial Narrow" w:hAnsi="Arial Narrow"/>
          <w:sz w:val="24"/>
          <w:szCs w:val="24"/>
        </w:rPr>
      </w:pPr>
      <w:bookmarkStart w:id="981" w:name="_Toc374982009"/>
      <w:bookmarkStart w:id="982" w:name="_Toc378258288"/>
      <w:bookmarkStart w:id="983" w:name="_Toc382214147"/>
      <w:r w:rsidRPr="00C203F3">
        <w:rPr>
          <w:rFonts w:ascii="Arial Narrow" w:hAnsi="Arial Narrow"/>
          <w:sz w:val="24"/>
          <w:szCs w:val="24"/>
        </w:rPr>
        <w:t>12.6 .Alcohol and Substance Use Disorders</w:t>
      </w:r>
      <w:bookmarkEnd w:id="981"/>
      <w:bookmarkEnd w:id="982"/>
      <w:bookmarkEnd w:id="983"/>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Definition and Importance (</w:t>
      </w:r>
      <w:r w:rsidRPr="00810A1B">
        <w:rPr>
          <w:rFonts w:ascii="Arial" w:hAnsi="Arial" w:cs="Arial"/>
          <w:i/>
          <w:sz w:val="22"/>
          <w:szCs w:val="22"/>
        </w:rPr>
        <w:t>binge drinking, alcohol abuse, and dependence</w:t>
      </w:r>
      <w:r w:rsidRPr="00810A1B">
        <w:rPr>
          <w:rFonts w:ascii="Arial" w:hAnsi="Arial" w:cs="Arial"/>
          <w:sz w:val="22"/>
          <w:szCs w:val="22"/>
        </w:rPr>
        <w:t xml:space="preserve">) </w:t>
      </w: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The term “alcoholism” refers to a disease known as alcohol dependence syndrome, the most severe stage of a group of drinking problems which begins with social drinking, binge drinking and alcohol misuse (hazardous use). Alcohol problems occur at different levels of severity, from mild and annoying to life threatening. Although alcohol dependence (alcoholism) is the most severe stage, less severe drinking problems can also be dangerous.</w:t>
      </w: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 xml:space="preserve"> Social drinking refers to casual collateral drinking, usually without the intent to get drunk. It is variable depending on the social or cultural group in question. Binge drinking means having five or more drinks in one session for men and four or more for women, or simply drinking to get drunk. This turns into alcohol misuse when someone’s regular drinking begins to cause problems and the drinking becomes habitual. In spite of continued social, interpersonal or legal difficulties the person continues to drink. </w:t>
      </w:r>
    </w:p>
    <w:p w:rsidR="0071027C" w:rsidRPr="00810A1B" w:rsidRDefault="0071027C" w:rsidP="0071027C">
      <w:pPr>
        <w:pStyle w:val="Heading3"/>
      </w:pPr>
      <w:bookmarkStart w:id="984" w:name="_Toc382214148"/>
      <w:r>
        <w:t xml:space="preserve">12.6.1 </w:t>
      </w:r>
      <w:r w:rsidRPr="00810A1B">
        <w:t>Alcohol Dependence</w:t>
      </w:r>
      <w:bookmarkEnd w:id="984"/>
      <w:r w:rsidRPr="00810A1B">
        <w:t xml:space="preserve"> </w:t>
      </w: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 xml:space="preserve">Alcohol misuse becomes alcohol dependence when drinkers begin to experience a craving for alcohol, a loss of control of their drinking, an increased tolerance to alcohol so that they have to drink more to achieve the same effect and withdrawal symptoms when they are not drinking. Alcohol dependence is a chronic and often progressive disease that includes a strong need to drink despite repeated problems. </w:t>
      </w:r>
    </w:p>
    <w:p w:rsidR="0071027C" w:rsidRPr="00810A1B" w:rsidRDefault="0071027C" w:rsidP="0071027C">
      <w:pPr>
        <w:pStyle w:val="Heading3"/>
      </w:pPr>
      <w:bookmarkStart w:id="985" w:name="_Toc382214149"/>
      <w:r>
        <w:t xml:space="preserve">12.6.2 </w:t>
      </w:r>
      <w:r w:rsidRPr="00810A1B">
        <w:t>Alcohol</w:t>
      </w:r>
      <w:r>
        <w:t xml:space="preserve">, </w:t>
      </w:r>
      <w:r w:rsidRPr="00810A1B">
        <w:t>Substance Use and HIV</w:t>
      </w:r>
      <w:bookmarkEnd w:id="985"/>
      <w:r w:rsidRPr="00810A1B">
        <w:t xml:space="preserve"> </w:t>
      </w: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 xml:space="preserve">Drug abusers have special clinical needs which require mental health skills and sensitivity in terms of assessing patients’ risk behaviours and preparedness of HIV counseling and testing. </w:t>
      </w: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 xml:space="preserve">People who misuse alcohol or any other type of substance abuse are more likely to engage in HIV transmission sexual and drug use risk behaviours.  For example, rates of injection drug use are high among alcoholics in treatment, and increasing levels of alcohol use are associated with greater injection drug–related risk behaviours, including needle sharing and unsafe sexual practices. A history of heavy alcohol use has been correlated with a lifetime tendency toward high risk sexual behaviours, including multiple sex partners, unprotected intercourse, sex with high-risk partners (e.g., injection drug users, prostitutes), and exchanging sex for money to finance addiction. . Alcohol misuse and other substance use occur frequently among people whose lifestyle or personality predisposes them to high risk behaviours in general. </w:t>
      </w: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 xml:space="preserve">Studies show that decreasing alcohol use among HIV patients not only reduces the medical and psychiatric consequences associated with alcohol consumption but also decreases other drug use/abuse and HIV transmission. Thus, alcohol and other drug abuse treatment can also be considered primary HIV prevention. </w:t>
      </w:r>
    </w:p>
    <w:p w:rsidR="0071027C" w:rsidRPr="00CE2A94" w:rsidRDefault="0071027C" w:rsidP="0071027C">
      <w:pPr>
        <w:pStyle w:val="Heading4"/>
      </w:pPr>
      <w:r w:rsidRPr="00CE2A94">
        <w:t xml:space="preserve">12.6.2.1 Diagnosis </w:t>
      </w: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 xml:space="preserve">Look for signs of alcohol dependence (alcoholism or addiction). Does the patient’s pattern of alcohol use lead to distress to self? to others? Are there evidences of tolerance (reports of needing to use larger amounts to become intoxicated) to alcohol and/or avoidance of withdrawal symptoms by drinking in the mornings? If yes to two of any of these questions, establish signs of strong desire or compulsion to use alcohol and difficulty controlling alcohol use. </w:t>
      </w: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 xml:space="preserve">Do you see withdrawal features? There is a history of recently stopping or decreasing alcohol use after prolonged heavy drinking, with two or more of the following a few hours or days after stopping heavy use: tremor, sweating, increased pulse rate (&lt;100), insomnia, nausea and vomiting, anxiety, transient visual or auditory hallucinations, psychomotor agitation and grand mal seizures. </w:t>
      </w: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 xml:space="preserve">The above symptoms create distress and impair general functioning. Make sure the changes are not due to a physical illness or another mental disorder. </w:t>
      </w: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 xml:space="preserve">Do you see hazardous alcohol use patterns and complications? Hazardous alcohol use means repeated binge drinking or regular alcohol abuse that leads to physical, psychological and social complications. </w:t>
      </w:r>
    </w:p>
    <w:p w:rsidR="0071027C" w:rsidRPr="00810A1B" w:rsidRDefault="0071027C" w:rsidP="0071027C">
      <w:pPr>
        <w:pStyle w:val="Heading4"/>
      </w:pPr>
      <w:r>
        <w:t xml:space="preserve">12.6.2.2 </w:t>
      </w:r>
      <w:r w:rsidRPr="00810A1B">
        <w:t>Physical complications</w:t>
      </w: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 xml:space="preserve">They include peptic ulcer, gastritis, pancreatitis, liver disease, ascites, hypertension, cancer, skin changes, seizures, CNS degeneration, neuropathy, and malnutrition, proximal muscle wasting, impaired sexual functioning, and lowered immunity, thrombosis, anaemia and cardiac complications. Alcohol abusers are prone to accidents or injuries. Dangerous drinking during pregnancy can lead to foetal alcohol syndrome (babies are born with characteristic facial and brain abnormalities). </w:t>
      </w:r>
    </w:p>
    <w:p w:rsidR="0071027C" w:rsidRPr="00810A1B" w:rsidRDefault="0071027C" w:rsidP="0071027C">
      <w:pPr>
        <w:pStyle w:val="Heading4"/>
      </w:pPr>
      <w:r>
        <w:t xml:space="preserve">12.6.2.3 </w:t>
      </w:r>
      <w:r w:rsidRPr="00810A1B">
        <w:t xml:space="preserve">Psychological complications </w:t>
      </w: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 xml:space="preserve">Look for signs of blackouts (retrograde amnesia inability to recall actions that occurred when intoxicated), sleep fragmentation, personality change, poor memory or concentration, delirium, Wernicke-Korsakoff syndrome, evidence of self neglect (e.g., poor hygiene), failed treatment for depressed mood, nervousness and insomnia. Sometimes hazardous use of alcohol can lead to psychosis. Signs of alcohol withdrawal are often overshadowed by psychological symptoms such as sweating, tremors, and morning sickness coupled with intense agitation and hallucinations.   </w:t>
      </w:r>
    </w:p>
    <w:p w:rsidR="0071027C" w:rsidRPr="00810A1B" w:rsidRDefault="0071027C" w:rsidP="0071027C">
      <w:pPr>
        <w:pStyle w:val="Heading4"/>
      </w:pPr>
      <w:r>
        <w:t xml:space="preserve">12.6.2.4 </w:t>
      </w:r>
      <w:r w:rsidRPr="00810A1B">
        <w:t xml:space="preserve">Social complications </w:t>
      </w: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 xml:space="preserve">These include marital problems, domestic violence, child abuse or neglect, missed work, various forms of irresponsibility. </w:t>
      </w:r>
    </w:p>
    <w:p w:rsidR="0071027C" w:rsidRPr="00810A1B" w:rsidRDefault="0071027C" w:rsidP="0071027C">
      <w:pPr>
        <w:pStyle w:val="Heading4"/>
      </w:pPr>
      <w:r>
        <w:t xml:space="preserve">12.6.2.5. </w:t>
      </w:r>
      <w:r w:rsidRPr="00810A1B">
        <w:t xml:space="preserve">Differential Diagnosis </w:t>
      </w: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 xml:space="preserve">Symptoms of anxiety or depression may occur with heavy alcohol use. Re asses and manage symptoms of depression or anxiety if symptoms continue after patient stops drinking. This means the anxiety/depression could be a primary disorder. </w:t>
      </w: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 xml:space="preserve">Lowered immunity and other physical complications of HIV can be associated with alcohol use. Alcohol increases susceptibility to some infections that can occur as complications of AIDS. Infections associated with both alcohol and AIDS include tuberculosis; pneumonia caused by the bacterium Streptococcus pneumonia; and the viral disease Hepatitis C, a leading cause of death among people with HIV. Alcohol may also increase the severity of AIDS 0related brain damage, which is characterized in its severest form by profound dementia (see AIDS associated dementia). </w:t>
      </w:r>
    </w:p>
    <w:p w:rsidR="0071027C" w:rsidRPr="00810A1B" w:rsidRDefault="0071027C" w:rsidP="0071027C">
      <w:pPr>
        <w:pStyle w:val="Heading4"/>
      </w:pPr>
      <w:r>
        <w:t xml:space="preserve">12.6.2.6 </w:t>
      </w:r>
      <w:r w:rsidRPr="00810A1B">
        <w:t xml:space="preserve">Management </w:t>
      </w: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b/>
          <w:sz w:val="22"/>
          <w:szCs w:val="22"/>
        </w:rPr>
        <w:t>Information for patient and family</w:t>
      </w:r>
      <w:r w:rsidRPr="00810A1B">
        <w:rPr>
          <w:rFonts w:ascii="Arial" w:hAnsi="Arial" w:cs="Arial"/>
          <w:sz w:val="22"/>
          <w:szCs w:val="22"/>
        </w:rPr>
        <w:t>:</w:t>
      </w: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Alcohol dependence is an illness with serious consequences. It complicates the management of HIV and AIDS. In assessing readiness to start ARV drugs the risk of non adherence related to alcohol use has to be discussed with all patients. Stopping alcohol use will bring mental and physical benefits, and make one eligible for ART but since abrupt stopping when a patient is dependent can cause withdrawal symptoms, medical supervision is necessary. Despite this, patients with HIV disease must be discouraged from regular or heavy alcohol use and must be screened for alcohol use disorders. Regular consumption of low doses of alcohol uniquely affects HIV-infected patients by escalating the risk of liver disease progression in patients co</w:t>
      </w:r>
      <w:r>
        <w:rPr>
          <w:rFonts w:ascii="Arial" w:hAnsi="Arial" w:cs="Arial"/>
          <w:sz w:val="22"/>
          <w:szCs w:val="22"/>
        </w:rPr>
        <w:t>-</w:t>
      </w:r>
      <w:r w:rsidRPr="00810A1B">
        <w:rPr>
          <w:rFonts w:ascii="Arial" w:hAnsi="Arial" w:cs="Arial"/>
          <w:sz w:val="22"/>
          <w:szCs w:val="22"/>
        </w:rPr>
        <w:t>infected with hepatitis C and by decreasing adherence to medication in a temporal and dose-dependent fashion</w:t>
      </w: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b/>
          <w:sz w:val="22"/>
          <w:szCs w:val="22"/>
        </w:rPr>
        <w:t>Treatment of alcohol withdrawal symptoms and dependence</w:t>
      </w:r>
      <w:r w:rsidRPr="00810A1B">
        <w:rPr>
          <w:rFonts w:ascii="Arial" w:hAnsi="Arial" w:cs="Arial"/>
          <w:sz w:val="22"/>
          <w:szCs w:val="22"/>
        </w:rPr>
        <w:t xml:space="preserve">: </w:t>
      </w: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Thiamine (150 mg per day in divided doses) should be given, if available, orally for one month. Use diazepam for three days (day one 20mg, day two 10 mg, day three 5 mg) in case of severe withdrawal symptoms.</w:t>
      </w: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 xml:space="preserve">When stable </w:t>
      </w:r>
    </w:p>
    <w:p w:rsidR="0071027C" w:rsidRPr="002A3552" w:rsidRDefault="0071027C" w:rsidP="00274941">
      <w:pPr>
        <w:pStyle w:val="PlainText"/>
        <w:numPr>
          <w:ilvl w:val="0"/>
          <w:numId w:val="120"/>
        </w:numPr>
        <w:spacing w:before="120" w:after="120"/>
        <w:jc w:val="both"/>
        <w:rPr>
          <w:rFonts w:ascii="Arial" w:hAnsi="Arial" w:cs="Arial"/>
          <w:sz w:val="22"/>
          <w:szCs w:val="22"/>
        </w:rPr>
      </w:pPr>
      <w:r w:rsidRPr="002A3552">
        <w:rPr>
          <w:rFonts w:ascii="Arial" w:hAnsi="Arial" w:cs="Arial"/>
          <w:sz w:val="22"/>
          <w:szCs w:val="22"/>
        </w:rPr>
        <w:t xml:space="preserve">Alcoholics Anonymous </w:t>
      </w:r>
    </w:p>
    <w:p w:rsidR="0071027C" w:rsidRPr="00810A1B" w:rsidRDefault="0071027C" w:rsidP="00274941">
      <w:pPr>
        <w:pStyle w:val="PlainText"/>
        <w:numPr>
          <w:ilvl w:val="0"/>
          <w:numId w:val="120"/>
        </w:numPr>
        <w:spacing w:before="120" w:after="120"/>
        <w:jc w:val="both"/>
        <w:rPr>
          <w:rFonts w:ascii="Arial" w:hAnsi="Arial" w:cs="Arial"/>
          <w:sz w:val="22"/>
          <w:szCs w:val="22"/>
        </w:rPr>
      </w:pPr>
      <w:r w:rsidRPr="00810A1B">
        <w:rPr>
          <w:rFonts w:ascii="Arial" w:hAnsi="Arial" w:cs="Arial"/>
          <w:sz w:val="22"/>
          <w:szCs w:val="22"/>
        </w:rPr>
        <w:t>Psychosocial intervention</w:t>
      </w:r>
    </w:p>
    <w:p w:rsidR="0071027C" w:rsidRPr="00810A1B" w:rsidRDefault="0071027C" w:rsidP="00274941">
      <w:pPr>
        <w:pStyle w:val="PlainText"/>
        <w:numPr>
          <w:ilvl w:val="0"/>
          <w:numId w:val="120"/>
        </w:numPr>
        <w:spacing w:before="120" w:after="120"/>
        <w:jc w:val="both"/>
        <w:rPr>
          <w:rFonts w:ascii="Arial" w:hAnsi="Arial" w:cs="Arial"/>
          <w:sz w:val="22"/>
          <w:szCs w:val="22"/>
        </w:rPr>
      </w:pPr>
      <w:r w:rsidRPr="00810A1B">
        <w:rPr>
          <w:rFonts w:ascii="Arial" w:hAnsi="Arial" w:cs="Arial"/>
          <w:sz w:val="22"/>
          <w:szCs w:val="22"/>
        </w:rPr>
        <w:t>Psycho</w:t>
      </w:r>
      <w:r>
        <w:rPr>
          <w:rFonts w:ascii="Arial" w:hAnsi="Arial" w:cs="Arial"/>
          <w:sz w:val="22"/>
          <w:szCs w:val="22"/>
        </w:rPr>
        <w:t>-</w:t>
      </w:r>
      <w:r w:rsidRPr="00810A1B">
        <w:rPr>
          <w:rFonts w:ascii="Arial" w:hAnsi="Arial" w:cs="Arial"/>
          <w:sz w:val="22"/>
          <w:szCs w:val="22"/>
        </w:rPr>
        <w:t>pharmacotherapy</w:t>
      </w:r>
    </w:p>
    <w:p w:rsidR="0071027C" w:rsidRPr="00810A1B" w:rsidRDefault="0071027C" w:rsidP="0071027C">
      <w:pPr>
        <w:pStyle w:val="PlainText"/>
        <w:spacing w:before="120" w:after="120"/>
        <w:jc w:val="both"/>
        <w:rPr>
          <w:rFonts w:ascii="Arial" w:hAnsi="Arial" w:cs="Arial"/>
          <w:b/>
          <w:sz w:val="22"/>
          <w:szCs w:val="22"/>
        </w:rPr>
      </w:pPr>
      <w:r w:rsidRPr="00810A1B">
        <w:rPr>
          <w:rFonts w:ascii="Arial" w:hAnsi="Arial" w:cs="Arial"/>
          <w:b/>
          <w:sz w:val="22"/>
          <w:szCs w:val="22"/>
        </w:rPr>
        <w:t xml:space="preserve">Other Drugs </w:t>
      </w:r>
    </w:p>
    <w:p w:rsidR="0071027C" w:rsidRDefault="0071027C" w:rsidP="0071027C">
      <w:pPr>
        <w:pStyle w:val="CommentText"/>
        <w:spacing w:before="120" w:after="120"/>
        <w:jc w:val="both"/>
        <w:rPr>
          <w:rFonts w:ascii="Arial" w:hAnsi="Arial" w:cs="Arial"/>
          <w:sz w:val="22"/>
          <w:szCs w:val="22"/>
        </w:rPr>
      </w:pPr>
      <w:r w:rsidRPr="00810A1B">
        <w:rPr>
          <w:rFonts w:ascii="Arial" w:hAnsi="Arial" w:cs="Arial"/>
          <w:sz w:val="22"/>
          <w:szCs w:val="22"/>
        </w:rPr>
        <w:t>Needs to start with commonly abused drugs and address them in re</w:t>
      </w:r>
      <w:r>
        <w:rPr>
          <w:rFonts w:ascii="Arial" w:hAnsi="Arial" w:cs="Arial"/>
          <w:sz w:val="22"/>
          <w:szCs w:val="22"/>
        </w:rPr>
        <w:t>lation to HIV/AIDS management .e</w:t>
      </w:r>
      <w:r w:rsidRPr="00810A1B">
        <w:rPr>
          <w:rFonts w:ascii="Arial" w:hAnsi="Arial" w:cs="Arial"/>
          <w:sz w:val="22"/>
          <w:szCs w:val="22"/>
        </w:rPr>
        <w:t>.g</w:t>
      </w:r>
      <w:r>
        <w:rPr>
          <w:rFonts w:ascii="Arial" w:hAnsi="Arial" w:cs="Arial"/>
          <w:sz w:val="22"/>
          <w:szCs w:val="22"/>
        </w:rPr>
        <w:t>.</w:t>
      </w:r>
      <w:r w:rsidRPr="00810A1B">
        <w:rPr>
          <w:rFonts w:ascii="Arial" w:hAnsi="Arial" w:cs="Arial"/>
          <w:sz w:val="22"/>
          <w:szCs w:val="22"/>
        </w:rPr>
        <w:t xml:space="preserve"> Reports from Zanzibar and Dar es Salaam show HIV rates of around 30% among injection drug users. Rates among cannabis and alcohol abusers are also above national average. Overall there are more male drug users than females (about 4:1 respectively). Even though this fact is less well appreciated, drug using behaviors may be a significant HIV transmission risk factor for many men who do not inject drugs. </w:t>
      </w:r>
    </w:p>
    <w:p w:rsidR="0071027C" w:rsidRDefault="0071027C" w:rsidP="0071027C">
      <w:pPr>
        <w:pStyle w:val="CommentText"/>
        <w:spacing w:before="120" w:after="120"/>
        <w:jc w:val="both"/>
        <w:rPr>
          <w:rFonts w:ascii="Arial" w:hAnsi="Arial" w:cs="Arial"/>
          <w:b/>
          <w:sz w:val="22"/>
          <w:szCs w:val="22"/>
        </w:rPr>
      </w:pPr>
      <w:r w:rsidRPr="00810A1B">
        <w:rPr>
          <w:rFonts w:ascii="Arial" w:hAnsi="Arial" w:cs="Arial"/>
          <w:sz w:val="22"/>
          <w:szCs w:val="22"/>
        </w:rPr>
        <w:t>A study of homosexual men revealed that up to 16% may have drug use as a risk factor for acquiring HIV. The</w:t>
      </w:r>
      <w:r>
        <w:rPr>
          <w:rFonts w:ascii="Arial" w:hAnsi="Arial" w:cs="Arial"/>
          <w:sz w:val="22"/>
          <w:szCs w:val="22"/>
        </w:rPr>
        <w:t>re is a</w:t>
      </w:r>
      <w:r w:rsidRPr="00810A1B">
        <w:rPr>
          <w:rFonts w:ascii="Arial" w:hAnsi="Arial" w:cs="Arial"/>
          <w:sz w:val="22"/>
          <w:szCs w:val="22"/>
        </w:rPr>
        <w:t xml:space="preserve"> high degree of association between drug use and HIV transmission where the prevalence of HIV among PWIDs ranges from 42% to 51.9% while that of PWUDs is 22.4%. Therefore it is important for the primary care providers’ being able to diagnose drug using behaviors. Diagnosing drug dependence or addiction is not an easy task</w:t>
      </w:r>
      <w:r w:rsidRPr="00810A1B">
        <w:rPr>
          <w:rFonts w:ascii="Arial" w:hAnsi="Arial" w:cs="Arial"/>
          <w:b/>
          <w:sz w:val="22"/>
          <w:szCs w:val="22"/>
        </w:rPr>
        <w:t xml:space="preserve">. </w:t>
      </w:r>
    </w:p>
    <w:p w:rsidR="0071027C" w:rsidRDefault="0071027C" w:rsidP="0071027C">
      <w:pPr>
        <w:pStyle w:val="CommentText"/>
        <w:spacing w:before="120" w:after="120"/>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71027C" w:rsidRPr="00AD3D9F" w:rsidTr="0071027C">
        <w:tc>
          <w:tcPr>
            <w:tcW w:w="9576" w:type="dxa"/>
            <w:tcBorders>
              <w:top w:val="nil"/>
              <w:left w:val="nil"/>
              <w:bottom w:val="single" w:sz="4" w:space="0" w:color="auto"/>
              <w:right w:val="nil"/>
            </w:tcBorders>
            <w:vAlign w:val="center"/>
          </w:tcPr>
          <w:p w:rsidR="0071027C" w:rsidRPr="00AD3D9F" w:rsidRDefault="0071027C" w:rsidP="0071027C">
            <w:pPr>
              <w:rPr>
                <w:rFonts w:ascii="Arial" w:hAnsi="Arial" w:cs="Arial"/>
                <w:b/>
              </w:rPr>
            </w:pPr>
            <w:r w:rsidRPr="00AD3D9F">
              <w:rPr>
                <w:rFonts w:ascii="Arial" w:hAnsi="Arial" w:cs="Arial"/>
                <w:b/>
              </w:rPr>
              <w:t>Table 12.</w:t>
            </w:r>
            <w:r>
              <w:rPr>
                <w:rFonts w:ascii="Arial" w:hAnsi="Arial" w:cs="Arial"/>
                <w:b/>
              </w:rPr>
              <w:t>2</w:t>
            </w:r>
            <w:r w:rsidRPr="00AD3D9F">
              <w:rPr>
                <w:rFonts w:ascii="Arial" w:hAnsi="Arial" w:cs="Arial"/>
                <w:b/>
              </w:rPr>
              <w:t xml:space="preserve">: Diagnosis Criteria for Drug Dependence and Drug Abuse </w:t>
            </w:r>
          </w:p>
        </w:tc>
      </w:tr>
      <w:tr w:rsidR="0071027C" w:rsidRPr="00AD3D9F" w:rsidTr="0071027C">
        <w:trPr>
          <w:trHeight w:val="476"/>
        </w:trPr>
        <w:tc>
          <w:tcPr>
            <w:tcW w:w="9576" w:type="dxa"/>
            <w:tcBorders>
              <w:top w:val="single" w:sz="4" w:space="0" w:color="auto"/>
            </w:tcBorders>
            <w:shd w:val="clear" w:color="auto" w:fill="D9D9D9"/>
            <w:vAlign w:val="center"/>
          </w:tcPr>
          <w:p w:rsidR="0071027C" w:rsidRPr="00AD3D9F" w:rsidRDefault="0071027C" w:rsidP="0071027C">
            <w:pPr>
              <w:spacing w:after="240"/>
              <w:rPr>
                <w:rFonts w:ascii="Arial" w:hAnsi="Arial" w:cs="Arial"/>
                <w:b/>
              </w:rPr>
            </w:pPr>
            <w:r w:rsidRPr="00AD3D9F">
              <w:rPr>
                <w:rFonts w:ascii="Arial" w:hAnsi="Arial" w:cs="Arial"/>
                <w:b/>
              </w:rPr>
              <w:t>DEPENDENCE (≥3 IN 12 MONTH PERIOD)</w:t>
            </w:r>
          </w:p>
        </w:tc>
      </w:tr>
      <w:tr w:rsidR="0071027C" w:rsidRPr="00AD3D9F" w:rsidTr="0071027C">
        <w:trPr>
          <w:trHeight w:val="2942"/>
        </w:trPr>
        <w:tc>
          <w:tcPr>
            <w:tcW w:w="9576" w:type="dxa"/>
            <w:vAlign w:val="center"/>
          </w:tcPr>
          <w:p w:rsidR="0071027C" w:rsidRPr="002A3552" w:rsidRDefault="0071027C" w:rsidP="00274941">
            <w:pPr>
              <w:pStyle w:val="ListParagraph"/>
              <w:numPr>
                <w:ilvl w:val="0"/>
                <w:numId w:val="121"/>
              </w:numPr>
              <w:rPr>
                <w:rFonts w:ascii="Arial" w:hAnsi="Arial" w:cs="Arial"/>
              </w:rPr>
            </w:pPr>
            <w:r w:rsidRPr="002A3552">
              <w:rPr>
                <w:rFonts w:ascii="Arial" w:hAnsi="Arial" w:cs="Arial"/>
              </w:rPr>
              <w:t xml:space="preserve">Tolerance </w:t>
            </w:r>
          </w:p>
          <w:p w:rsidR="0071027C" w:rsidRPr="002A3552" w:rsidRDefault="0071027C" w:rsidP="00274941">
            <w:pPr>
              <w:pStyle w:val="ListParagraph"/>
              <w:numPr>
                <w:ilvl w:val="0"/>
                <w:numId w:val="121"/>
              </w:numPr>
              <w:rPr>
                <w:rFonts w:ascii="Arial" w:hAnsi="Arial" w:cs="Arial"/>
              </w:rPr>
            </w:pPr>
            <w:r w:rsidRPr="002A3552">
              <w:rPr>
                <w:rFonts w:ascii="Arial" w:hAnsi="Arial" w:cs="Arial"/>
              </w:rPr>
              <w:t>Withdraw</w:t>
            </w:r>
          </w:p>
          <w:p w:rsidR="0071027C" w:rsidRPr="002A3552" w:rsidRDefault="0071027C" w:rsidP="00274941">
            <w:pPr>
              <w:pStyle w:val="ListParagraph"/>
              <w:numPr>
                <w:ilvl w:val="0"/>
                <w:numId w:val="121"/>
              </w:numPr>
              <w:rPr>
                <w:rFonts w:ascii="Arial" w:hAnsi="Arial" w:cs="Arial"/>
              </w:rPr>
            </w:pPr>
            <w:r w:rsidRPr="002A3552">
              <w:rPr>
                <w:rFonts w:ascii="Arial" w:hAnsi="Arial" w:cs="Arial"/>
              </w:rPr>
              <w:t>The substance is often in larger amounts for a longer period than intended</w:t>
            </w:r>
          </w:p>
          <w:p w:rsidR="0071027C" w:rsidRPr="002A3552" w:rsidRDefault="0071027C" w:rsidP="00274941">
            <w:pPr>
              <w:pStyle w:val="ListParagraph"/>
              <w:numPr>
                <w:ilvl w:val="0"/>
                <w:numId w:val="121"/>
              </w:numPr>
              <w:rPr>
                <w:rFonts w:ascii="Arial" w:hAnsi="Arial" w:cs="Arial"/>
              </w:rPr>
            </w:pPr>
            <w:r w:rsidRPr="002A3552">
              <w:rPr>
                <w:rFonts w:ascii="Arial" w:hAnsi="Arial" w:cs="Arial"/>
              </w:rPr>
              <w:t>Unsuccessful efforts or a persistent desire to cut down or to control substance use</w:t>
            </w:r>
          </w:p>
          <w:p w:rsidR="0071027C" w:rsidRPr="002A3552" w:rsidRDefault="0071027C" w:rsidP="00274941">
            <w:pPr>
              <w:pStyle w:val="ListParagraph"/>
              <w:numPr>
                <w:ilvl w:val="0"/>
                <w:numId w:val="121"/>
              </w:numPr>
              <w:rPr>
                <w:rFonts w:ascii="Arial" w:hAnsi="Arial" w:cs="Arial"/>
              </w:rPr>
            </w:pPr>
            <w:r w:rsidRPr="002A3552">
              <w:rPr>
                <w:rFonts w:ascii="Arial" w:hAnsi="Arial" w:cs="Arial"/>
              </w:rPr>
              <w:t>A great deal of time is spent in activities necessary to obtain the substance or to recover from its effects</w:t>
            </w:r>
          </w:p>
          <w:p w:rsidR="0071027C" w:rsidRPr="002A3552" w:rsidRDefault="0071027C" w:rsidP="00274941">
            <w:pPr>
              <w:pStyle w:val="ListParagraph"/>
              <w:numPr>
                <w:ilvl w:val="0"/>
                <w:numId w:val="121"/>
              </w:numPr>
              <w:rPr>
                <w:rFonts w:ascii="Arial" w:hAnsi="Arial" w:cs="Arial"/>
              </w:rPr>
            </w:pPr>
            <w:r w:rsidRPr="002A3552">
              <w:rPr>
                <w:rFonts w:ascii="Arial" w:hAnsi="Arial" w:cs="Arial"/>
              </w:rPr>
              <w:t>Important social, occupational, or recreational activities given up or reduced because of substance use.</w:t>
            </w:r>
          </w:p>
          <w:p w:rsidR="0071027C" w:rsidRPr="002A3552" w:rsidRDefault="0071027C" w:rsidP="00274941">
            <w:pPr>
              <w:pStyle w:val="ListParagraph"/>
              <w:numPr>
                <w:ilvl w:val="0"/>
                <w:numId w:val="121"/>
              </w:numPr>
              <w:rPr>
                <w:rFonts w:ascii="Arial" w:hAnsi="Arial" w:cs="Arial"/>
              </w:rPr>
            </w:pPr>
            <w:r w:rsidRPr="002A3552">
              <w:rPr>
                <w:rFonts w:ascii="Arial" w:hAnsi="Arial" w:cs="Arial"/>
              </w:rPr>
              <w:t>Continued substance use despite knowledge of having has persistent or recurrent physical or psychological problems that are likely to be caused or exacerbated by the substance.</w:t>
            </w:r>
          </w:p>
        </w:tc>
      </w:tr>
      <w:tr w:rsidR="0071027C" w:rsidRPr="00AD3D9F" w:rsidTr="0071027C">
        <w:trPr>
          <w:trHeight w:val="440"/>
        </w:trPr>
        <w:tc>
          <w:tcPr>
            <w:tcW w:w="9576" w:type="dxa"/>
            <w:shd w:val="clear" w:color="auto" w:fill="D9D9D9"/>
            <w:vAlign w:val="center"/>
          </w:tcPr>
          <w:p w:rsidR="0071027C" w:rsidRPr="00AD3D9F" w:rsidRDefault="0071027C" w:rsidP="0071027C">
            <w:pPr>
              <w:spacing w:line="240" w:lineRule="auto"/>
              <w:rPr>
                <w:rFonts w:ascii="Arial" w:hAnsi="Arial" w:cs="Arial"/>
                <w:b/>
              </w:rPr>
            </w:pPr>
            <w:r w:rsidRPr="00AD3D9F">
              <w:rPr>
                <w:rFonts w:ascii="Arial" w:hAnsi="Arial" w:cs="Arial"/>
                <w:b/>
              </w:rPr>
              <w:t>ABUSE (≥1 IN A 12-MONTH PERIOD)</w:t>
            </w:r>
          </w:p>
        </w:tc>
      </w:tr>
      <w:tr w:rsidR="0071027C" w:rsidRPr="00AD3D9F" w:rsidTr="0071027C">
        <w:tc>
          <w:tcPr>
            <w:tcW w:w="9576" w:type="dxa"/>
            <w:vAlign w:val="center"/>
          </w:tcPr>
          <w:p w:rsidR="0071027C" w:rsidRPr="002A3552" w:rsidRDefault="0071027C" w:rsidP="00274941">
            <w:pPr>
              <w:pStyle w:val="ListParagraph"/>
              <w:numPr>
                <w:ilvl w:val="0"/>
                <w:numId w:val="122"/>
              </w:numPr>
              <w:rPr>
                <w:rFonts w:ascii="Arial" w:hAnsi="Arial" w:cs="Arial"/>
              </w:rPr>
            </w:pPr>
            <w:r w:rsidRPr="002A3552">
              <w:rPr>
                <w:rFonts w:ascii="Arial" w:hAnsi="Arial" w:cs="Arial"/>
              </w:rPr>
              <w:t>Recurrent substance use resulting in failure to fulfill major role obligations at work, school, or home</w:t>
            </w:r>
          </w:p>
          <w:p w:rsidR="0071027C" w:rsidRPr="002A3552" w:rsidRDefault="0071027C" w:rsidP="00274941">
            <w:pPr>
              <w:pStyle w:val="ListParagraph"/>
              <w:numPr>
                <w:ilvl w:val="0"/>
                <w:numId w:val="122"/>
              </w:numPr>
              <w:rPr>
                <w:rFonts w:ascii="Arial" w:hAnsi="Arial" w:cs="Arial"/>
              </w:rPr>
            </w:pPr>
            <w:r w:rsidRPr="002A3552">
              <w:rPr>
                <w:rFonts w:ascii="Arial" w:hAnsi="Arial" w:cs="Arial"/>
              </w:rPr>
              <w:t>Recurrent substance use in situations in which it is physically hazardous</w:t>
            </w:r>
          </w:p>
          <w:p w:rsidR="0071027C" w:rsidRPr="002A3552" w:rsidRDefault="0071027C" w:rsidP="00274941">
            <w:pPr>
              <w:pStyle w:val="ListParagraph"/>
              <w:numPr>
                <w:ilvl w:val="0"/>
                <w:numId w:val="122"/>
              </w:numPr>
              <w:rPr>
                <w:rFonts w:ascii="Arial" w:hAnsi="Arial" w:cs="Arial"/>
              </w:rPr>
            </w:pPr>
            <w:r w:rsidRPr="002A3552">
              <w:rPr>
                <w:rFonts w:ascii="Arial" w:hAnsi="Arial" w:cs="Arial"/>
              </w:rPr>
              <w:t>Recurrent substance-related legal problems</w:t>
            </w:r>
          </w:p>
          <w:p w:rsidR="0071027C" w:rsidRPr="002A3552" w:rsidRDefault="0071027C" w:rsidP="00274941">
            <w:pPr>
              <w:pStyle w:val="ListParagraph"/>
              <w:numPr>
                <w:ilvl w:val="0"/>
                <w:numId w:val="122"/>
              </w:numPr>
              <w:rPr>
                <w:rFonts w:ascii="Arial" w:hAnsi="Arial" w:cs="Arial"/>
              </w:rPr>
            </w:pPr>
            <w:r w:rsidRPr="002A3552">
              <w:rPr>
                <w:rFonts w:ascii="Arial" w:hAnsi="Arial" w:cs="Arial"/>
              </w:rPr>
              <w:t>Continued substance use despite having persistent or recurrent social or interpersonal problems caused or exacerbated by the effects of the substance</w:t>
            </w:r>
          </w:p>
          <w:p w:rsidR="0071027C" w:rsidRPr="002A3552" w:rsidRDefault="0071027C" w:rsidP="0071027C">
            <w:pPr>
              <w:pStyle w:val="ListParagraph"/>
              <w:rPr>
                <w:rFonts w:ascii="Arial" w:hAnsi="Arial" w:cs="Arial"/>
                <w:i/>
              </w:rPr>
            </w:pPr>
            <w:r w:rsidRPr="002A3552">
              <w:rPr>
                <w:rFonts w:ascii="Arial" w:hAnsi="Arial" w:cs="Arial"/>
                <w:i/>
              </w:rPr>
              <w:t>and</w:t>
            </w:r>
          </w:p>
          <w:p w:rsidR="0071027C" w:rsidRPr="002A3552" w:rsidRDefault="0071027C" w:rsidP="0071027C">
            <w:pPr>
              <w:pStyle w:val="ListParagraph"/>
              <w:rPr>
                <w:rFonts w:ascii="Arial" w:hAnsi="Arial" w:cs="Arial"/>
              </w:rPr>
            </w:pPr>
            <w:r w:rsidRPr="002A3552">
              <w:rPr>
                <w:rFonts w:ascii="Arial" w:hAnsi="Arial" w:cs="Arial"/>
              </w:rPr>
              <w:t>Never met criteria for dependence</w:t>
            </w:r>
          </w:p>
        </w:tc>
      </w:tr>
      <w:tr w:rsidR="0071027C" w:rsidRPr="00AD3D9F" w:rsidTr="0071027C">
        <w:tc>
          <w:tcPr>
            <w:tcW w:w="9576" w:type="dxa"/>
            <w:vAlign w:val="center"/>
          </w:tcPr>
          <w:p w:rsidR="0071027C" w:rsidRPr="00AD3D9F" w:rsidRDefault="0071027C" w:rsidP="0071027C">
            <w:pPr>
              <w:spacing w:before="100" w:beforeAutospacing="1" w:after="100" w:afterAutospacing="1"/>
              <w:outlineLvl w:val="0"/>
              <w:rPr>
                <w:rFonts w:ascii="Arial" w:hAnsi="Arial" w:cs="Arial"/>
              </w:rPr>
            </w:pPr>
            <w:bookmarkStart w:id="986" w:name="_Toc382214150"/>
            <w:r w:rsidRPr="00AD3D9F">
              <w:rPr>
                <w:rStyle w:val="HTMLCite"/>
                <w:rFonts w:ascii="Arial" w:hAnsi="Arial" w:cs="Arial"/>
              </w:rPr>
              <w:t>Adopted from American Psychiatric Association</w:t>
            </w:r>
            <w:r w:rsidRPr="00AD3D9F">
              <w:rPr>
                <w:rStyle w:val="HTMLCite"/>
                <w:rFonts w:ascii="Arial" w:hAnsi="Arial" w:cs="Arial"/>
                <w:i w:val="0"/>
              </w:rPr>
              <w:t>:</w:t>
            </w:r>
            <w:r w:rsidRPr="00AD3D9F">
              <w:rPr>
                <w:rFonts w:ascii="Arial" w:eastAsia="Times New Roman" w:hAnsi="Arial" w:cs="Arial"/>
                <w:i/>
                <w:kern w:val="36"/>
              </w:rPr>
              <w:t xml:space="preserve"> </w:t>
            </w:r>
            <w:r w:rsidRPr="000B3447">
              <w:rPr>
                <w:rFonts w:ascii="Arial" w:eastAsia="Times New Roman" w:hAnsi="Arial" w:cs="Arial"/>
                <w:i/>
                <w:kern w:val="36"/>
              </w:rPr>
              <w:t>Goldman’s Cecil Medicine</w:t>
            </w:r>
            <w:r w:rsidRPr="00AD3D9F">
              <w:rPr>
                <w:rFonts w:ascii="Arial" w:eastAsia="Times New Roman" w:hAnsi="Arial" w:cs="Arial"/>
                <w:i/>
                <w:kern w:val="36"/>
              </w:rPr>
              <w:t xml:space="preserve"> </w:t>
            </w:r>
            <w:r w:rsidRPr="000B3447">
              <w:rPr>
                <w:rFonts w:ascii="Arial" w:eastAsia="Times New Roman" w:hAnsi="Arial" w:cs="Arial"/>
                <w:bCs/>
                <w:i/>
              </w:rPr>
              <w:t>by Lee Goldman and Andrew I. Schafer</w:t>
            </w:r>
            <w:r w:rsidRPr="00AD3D9F">
              <w:rPr>
                <w:rFonts w:ascii="Arial" w:eastAsia="Times New Roman" w:hAnsi="Arial" w:cs="Arial"/>
                <w:bCs/>
                <w:i/>
              </w:rPr>
              <w:t xml:space="preserve"> </w:t>
            </w:r>
            <w:r w:rsidRPr="000B3447">
              <w:rPr>
                <w:rFonts w:ascii="Arial" w:eastAsia="Times New Roman" w:hAnsi="Arial" w:cs="Arial"/>
                <w:bCs/>
                <w:i/>
              </w:rPr>
              <w:t>24th edition published by Els</w:t>
            </w:r>
            <w:r w:rsidRPr="00AD3D9F">
              <w:rPr>
                <w:rFonts w:ascii="Arial" w:eastAsia="Times New Roman" w:hAnsi="Arial" w:cs="Arial"/>
                <w:bCs/>
                <w:i/>
              </w:rPr>
              <w:t>.</w:t>
            </w:r>
            <w:bookmarkEnd w:id="986"/>
          </w:p>
        </w:tc>
      </w:tr>
    </w:tbl>
    <w:p w:rsidR="0071027C" w:rsidRPr="00810A1B" w:rsidRDefault="0071027C" w:rsidP="0071027C">
      <w:pPr>
        <w:pStyle w:val="CommentText"/>
        <w:spacing w:before="120" w:after="120"/>
        <w:rPr>
          <w:rFonts w:ascii="Arial" w:hAnsi="Arial" w:cs="Arial"/>
          <w:sz w:val="22"/>
          <w:szCs w:val="22"/>
        </w:rPr>
      </w:pP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 xml:space="preserve">Many people who are addicted to drugs attempt to conceal or deny that they have an addiction. In addition, diagnostic tests for drug dependence and addiction lack specificity and sensitivity. </w:t>
      </w: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 xml:space="preserve">Although blood and urine tests are usually quite reliable at detecting recent drug use, individuals can be adept at avoiding being tested or at manipulating test results. </w:t>
      </w:r>
    </w:p>
    <w:p w:rsidR="0071027C" w:rsidRDefault="0071027C" w:rsidP="0071027C">
      <w:pPr>
        <w:pStyle w:val="CommentText"/>
        <w:spacing w:before="120" w:after="120"/>
        <w:rPr>
          <w:rFonts w:ascii="Arial" w:hAnsi="Arial" w:cs="Arial"/>
          <w:b/>
          <w:sz w:val="22"/>
          <w:szCs w:val="22"/>
        </w:rPr>
      </w:pPr>
    </w:p>
    <w:p w:rsidR="0071027C" w:rsidRDefault="0071027C" w:rsidP="0071027C">
      <w:pPr>
        <w:pStyle w:val="CommentText"/>
        <w:spacing w:before="120" w:after="120"/>
        <w:rPr>
          <w:rFonts w:ascii="Arial" w:hAnsi="Arial" w:cs="Arial"/>
          <w:b/>
          <w:sz w:val="22"/>
          <w:szCs w:val="22"/>
        </w:rPr>
        <w:sectPr w:rsidR="0071027C" w:rsidSect="0027452F">
          <w:pgSz w:w="12240" w:h="15840"/>
          <w:pgMar w:top="1440" w:right="1440" w:bottom="1440" w:left="1440" w:header="720" w:footer="720" w:gutter="0"/>
          <w:cols w:space="720"/>
          <w:docGrid w:linePitch="360"/>
        </w:sectPr>
      </w:pPr>
    </w:p>
    <w:p w:rsidR="0071027C" w:rsidRPr="00CE2A94" w:rsidRDefault="0071027C" w:rsidP="0071027C">
      <w:pPr>
        <w:pStyle w:val="CommentText"/>
        <w:spacing w:before="120" w:after="120"/>
        <w:rPr>
          <w:rFonts w:ascii="Arial" w:hAnsi="Arial" w:cs="Arial"/>
          <w:b/>
          <w:sz w:val="22"/>
          <w:szCs w:val="22"/>
        </w:rPr>
      </w:pPr>
      <w:r w:rsidRPr="00CE2A94">
        <w:rPr>
          <w:rFonts w:ascii="Arial" w:hAnsi="Arial" w:cs="Arial"/>
          <w:b/>
          <w:sz w:val="22"/>
          <w:szCs w:val="22"/>
        </w:rPr>
        <w:t>Medically Assisted Treatment (MAT)</w:t>
      </w:r>
    </w:p>
    <w:p w:rsidR="0071027C" w:rsidRPr="00CE2A94" w:rsidRDefault="0071027C" w:rsidP="0071027C">
      <w:pPr>
        <w:widowControl/>
        <w:autoSpaceDE w:val="0"/>
        <w:autoSpaceDN w:val="0"/>
        <w:adjustRightInd w:val="0"/>
        <w:spacing w:after="0" w:line="240" w:lineRule="auto"/>
        <w:jc w:val="both"/>
        <w:rPr>
          <w:rFonts w:ascii="Arial" w:hAnsi="Arial" w:cs="Arial"/>
        </w:rPr>
      </w:pPr>
      <w:r w:rsidRPr="00CE2A94">
        <w:rPr>
          <w:rFonts w:ascii="Arial" w:hAnsi="Arial" w:cs="Arial"/>
        </w:rPr>
        <w:t>Medically Assisted Treatment (MAT) is the most useful</w:t>
      </w:r>
      <w:r>
        <w:rPr>
          <w:rFonts w:ascii="Arial" w:hAnsi="Arial" w:cs="Arial"/>
        </w:rPr>
        <w:t xml:space="preserve"> </w:t>
      </w:r>
      <w:r w:rsidRPr="00CE2A94">
        <w:rPr>
          <w:rFonts w:ascii="Arial" w:hAnsi="Arial" w:cs="Arial"/>
        </w:rPr>
        <w:t>and cost-effec</w:t>
      </w:r>
      <w:r>
        <w:rPr>
          <w:rFonts w:ascii="Arial" w:hAnsi="Arial" w:cs="Arial"/>
        </w:rPr>
        <w:t>tive intervention for managing o</w:t>
      </w:r>
      <w:r w:rsidRPr="00CE2A94">
        <w:rPr>
          <w:rFonts w:ascii="Arial" w:hAnsi="Arial" w:cs="Arial"/>
        </w:rPr>
        <w:t>pioid dependence and reducing the</w:t>
      </w:r>
      <w:r>
        <w:rPr>
          <w:rFonts w:ascii="Arial" w:hAnsi="Arial" w:cs="Arial"/>
        </w:rPr>
        <w:t xml:space="preserve"> </w:t>
      </w:r>
      <w:r w:rsidRPr="00CE2A94">
        <w:rPr>
          <w:rFonts w:ascii="Arial" w:hAnsi="Arial" w:cs="Arial"/>
        </w:rPr>
        <w:t>harms associated with it. MAT has proven to be effec</w:t>
      </w:r>
      <w:r>
        <w:rPr>
          <w:rFonts w:ascii="Arial" w:hAnsi="Arial" w:cs="Arial"/>
        </w:rPr>
        <w:t>tive in the treatment of o</w:t>
      </w:r>
      <w:r w:rsidRPr="00CE2A94">
        <w:rPr>
          <w:rFonts w:ascii="Arial" w:hAnsi="Arial" w:cs="Arial"/>
        </w:rPr>
        <w:t>pioid</w:t>
      </w:r>
      <w:r>
        <w:rPr>
          <w:rFonts w:ascii="Arial" w:hAnsi="Arial" w:cs="Arial"/>
        </w:rPr>
        <w:t xml:space="preserve"> </w:t>
      </w:r>
      <w:r w:rsidRPr="00CE2A94">
        <w:rPr>
          <w:rFonts w:ascii="Arial" w:hAnsi="Arial" w:cs="Arial"/>
        </w:rPr>
        <w:t>dependence and improves retention in treatment programmes. It is also effective in</w:t>
      </w:r>
      <w:r>
        <w:rPr>
          <w:rFonts w:ascii="Arial" w:hAnsi="Arial" w:cs="Arial"/>
        </w:rPr>
        <w:t xml:space="preserve"> </w:t>
      </w:r>
      <w:r w:rsidRPr="00CE2A94">
        <w:rPr>
          <w:rFonts w:ascii="Arial" w:hAnsi="Arial" w:cs="Arial"/>
        </w:rPr>
        <w:t>improving treatment with antiretroviral therapy (ART) and the reduction in illicit</w:t>
      </w:r>
      <w:r>
        <w:rPr>
          <w:rFonts w:ascii="Arial" w:hAnsi="Arial" w:cs="Arial"/>
        </w:rPr>
        <w:t xml:space="preserve"> </w:t>
      </w:r>
      <w:r w:rsidRPr="00CE2A94">
        <w:rPr>
          <w:rFonts w:ascii="Arial" w:hAnsi="Arial" w:cs="Arial"/>
        </w:rPr>
        <w:t>opioid use, criminal activities, deaths due to overdose, and behaviours at high risk</w:t>
      </w:r>
      <w:r>
        <w:rPr>
          <w:rFonts w:ascii="Arial" w:hAnsi="Arial" w:cs="Arial"/>
        </w:rPr>
        <w:t xml:space="preserve"> </w:t>
      </w:r>
      <w:r w:rsidRPr="00CE2A94">
        <w:rPr>
          <w:rFonts w:ascii="Arial" w:hAnsi="Arial" w:cs="Arial"/>
        </w:rPr>
        <w:t>of HIV transmission and other infectious diseases such as Hepatitis B and C. MAT</w:t>
      </w:r>
      <w:r>
        <w:rPr>
          <w:rFonts w:ascii="Arial" w:hAnsi="Arial" w:cs="Arial"/>
        </w:rPr>
        <w:t xml:space="preserve"> </w:t>
      </w:r>
      <w:r w:rsidRPr="00CE2A94">
        <w:rPr>
          <w:rFonts w:ascii="Arial" w:hAnsi="Arial" w:cs="Arial"/>
        </w:rPr>
        <w:t>medications prevent withdrawal symptoms from heroin and other short acting</w:t>
      </w:r>
      <w:r>
        <w:rPr>
          <w:rFonts w:ascii="Arial" w:hAnsi="Arial" w:cs="Arial"/>
        </w:rPr>
        <w:t xml:space="preserve"> </w:t>
      </w:r>
      <w:r w:rsidRPr="00CE2A94">
        <w:rPr>
          <w:rFonts w:ascii="Arial" w:hAnsi="Arial" w:cs="Arial"/>
        </w:rPr>
        <w:t>opioids, without causing euphoria or sedation. This means that with once daily</w:t>
      </w:r>
      <w:r>
        <w:rPr>
          <w:rFonts w:ascii="Arial" w:hAnsi="Arial" w:cs="Arial"/>
        </w:rPr>
        <w:t xml:space="preserve"> </w:t>
      </w:r>
      <w:r w:rsidRPr="00CE2A94">
        <w:rPr>
          <w:rFonts w:ascii="Arial" w:hAnsi="Arial" w:cs="Arial"/>
        </w:rPr>
        <w:t>dosing a client c</w:t>
      </w:r>
      <w:r>
        <w:rPr>
          <w:rFonts w:ascii="Arial" w:hAnsi="Arial" w:cs="Arial"/>
        </w:rPr>
        <w:t>an be free from the constant fl</w:t>
      </w:r>
      <w:r w:rsidRPr="00CE2A94">
        <w:rPr>
          <w:rFonts w:ascii="Arial" w:hAnsi="Arial" w:cs="Arial"/>
        </w:rPr>
        <w:t>uctuations between intoxication and</w:t>
      </w:r>
      <w:r>
        <w:rPr>
          <w:rFonts w:ascii="Arial" w:hAnsi="Arial" w:cs="Arial"/>
        </w:rPr>
        <w:t xml:space="preserve"> </w:t>
      </w:r>
      <w:r w:rsidRPr="00CE2A94">
        <w:rPr>
          <w:rFonts w:ascii="Arial" w:hAnsi="Arial" w:cs="Arial"/>
        </w:rPr>
        <w:t>withdrawal and can make moves towards normalizing and stabilizing their lives.</w:t>
      </w:r>
    </w:p>
    <w:p w:rsidR="0071027C" w:rsidRPr="00810A1B" w:rsidRDefault="0071027C" w:rsidP="0071027C">
      <w:pPr>
        <w:pStyle w:val="Heading2"/>
      </w:pPr>
      <w:bookmarkStart w:id="987" w:name="_Toc382214151"/>
      <w:r>
        <w:t xml:space="preserve">12.7 </w:t>
      </w:r>
      <w:r w:rsidRPr="00810A1B">
        <w:t>Primary Psychosis</w:t>
      </w:r>
      <w:bookmarkEnd w:id="987"/>
      <w:r w:rsidRPr="00810A1B">
        <w:t xml:space="preserve"> </w:t>
      </w: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 xml:space="preserve">Psychosis can be a manifestation of delirium, affective disorders, or schizophrenia, but it can occur in the absence of these conditions. Estimates of the prevalence of new onset psychosis in patients with HIV range from 0.5% 15%, which is higher than in the general population. New onset psychosis may also be a manifestation of HIV associated encephalopathy and a history of substance abuse is also more common among patients with psychosis. </w:t>
      </w:r>
    </w:p>
    <w:p w:rsidR="0071027C"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 xml:space="preserve">Treatment for HIV infected patients with psychosis follows the same basic principles as for any other patient with schizophrenia, namely, control of symptoms with medications and psychosocial support and rehabilitation. Quite often, patients require long-term treatment and require various antipsychotic medications to control the delusions, hallucinations, and overall level of disorganization. Because of the high sensitivity to antipsychotic side effects, always start with low doses and if possible maintain patients on half the required dosage for age and weight. </w:t>
      </w:r>
    </w:p>
    <w:p w:rsidR="0071027C"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 xml:space="preserve">Counseling for HIV testing should be avoided when persons with mental illness are acutely ill and too disorganized to take in what they are being told. Given the importance of the partnership required for risk reduction and other preventive interventions in persons with HIVD, issues related to screening for HIV and AIDS should be postponed until the person is mentally stable. For persons with previous mental illness that are currently in remission of acute symptoms, as with other clients seen at clinics, risk reduction counseling strategies should be addressed at each counseling session. Monitoring drug treatments for schizophrenia and bipolar disorder should prevent or decrease relapse of episodes. When episodes do occur they should be treated. Working with HIV-infected patients brings you in contact with individuals vulnerable to psychiatric illness. </w:t>
      </w:r>
    </w:p>
    <w:p w:rsidR="0071027C" w:rsidRPr="00810A1B" w:rsidRDefault="0071027C" w:rsidP="0071027C">
      <w:pPr>
        <w:pStyle w:val="PlainText"/>
        <w:spacing w:before="120" w:after="120"/>
        <w:jc w:val="both"/>
        <w:rPr>
          <w:rFonts w:ascii="Arial" w:hAnsi="Arial" w:cs="Arial"/>
          <w:sz w:val="22"/>
          <w:szCs w:val="22"/>
        </w:rPr>
      </w:pPr>
      <w:r w:rsidRPr="00810A1B">
        <w:rPr>
          <w:rFonts w:ascii="Arial" w:hAnsi="Arial" w:cs="Arial"/>
          <w:sz w:val="22"/>
          <w:szCs w:val="22"/>
        </w:rPr>
        <w:t>The education and treatment of mentally ill patients is needed to lower their risk of HIV infection. Likewise, the effective treatment of patients with HIV infection often requires the educated use of psychotropics. Although the potential for drug interactions is present when combining psychotropics and antiretrovirals, the possibility of an improved quality of life and better HAART adherence makes the risk worthwhile (Refer to Management of Mental Health Conditions in Primary Care Settings (MEHATA publications) for treatment guidelines. Referral to mental health services at the district level should be made and a case management approach used with such services.</w:t>
      </w:r>
    </w:p>
    <w:p w:rsidR="0071027C" w:rsidRPr="00810A1B" w:rsidRDefault="0071027C" w:rsidP="0071027C">
      <w:pPr>
        <w:spacing w:before="120" w:after="120" w:line="240" w:lineRule="auto"/>
        <w:rPr>
          <w:rFonts w:ascii="Arial" w:hAnsi="Arial" w:cs="Arial"/>
        </w:rPr>
      </w:pPr>
    </w:p>
    <w:p w:rsidR="0071027C" w:rsidRDefault="0071027C"/>
    <w:p w:rsidR="0071027C" w:rsidRDefault="0071027C"/>
    <w:p w:rsidR="0071027C" w:rsidRPr="008D2D42" w:rsidRDefault="0071027C" w:rsidP="0071027C">
      <w:pPr>
        <w:pStyle w:val="Heading1"/>
      </w:pPr>
      <w:bookmarkStart w:id="988" w:name="_Toc378258289"/>
      <w:bookmarkStart w:id="989" w:name="_Toc382214152"/>
      <w:r w:rsidRPr="008D2D42">
        <w:t>CHAPTER 13: NUTRITION IN HIV AND AIDS</w:t>
      </w:r>
      <w:bookmarkEnd w:id="988"/>
      <w:bookmarkEnd w:id="989"/>
    </w:p>
    <w:p w:rsidR="0071027C" w:rsidRPr="008D2D42" w:rsidRDefault="0071027C" w:rsidP="0071027C">
      <w:pPr>
        <w:pStyle w:val="Heading2"/>
      </w:pPr>
      <w:bookmarkStart w:id="990" w:name="_Toc378258290"/>
      <w:bookmarkStart w:id="991" w:name="_Toc382214153"/>
      <w:r w:rsidRPr="008D2D42">
        <w:t>13.1 Introduction</w:t>
      </w:r>
      <w:bookmarkEnd w:id="990"/>
      <w:bookmarkEnd w:id="991"/>
    </w:p>
    <w:p w:rsidR="0071027C" w:rsidRPr="008D2D42" w:rsidRDefault="0071027C" w:rsidP="0071027C">
      <w:pPr>
        <w:autoSpaceDE w:val="0"/>
        <w:autoSpaceDN w:val="0"/>
        <w:adjustRightInd w:val="0"/>
        <w:spacing w:before="120" w:after="120" w:line="240" w:lineRule="auto"/>
        <w:jc w:val="both"/>
        <w:rPr>
          <w:rFonts w:ascii="Arial" w:hAnsi="Arial" w:cs="Arial"/>
        </w:rPr>
      </w:pPr>
      <w:r w:rsidRPr="008D2D42">
        <w:rPr>
          <w:rFonts w:ascii="Arial" w:hAnsi="Arial" w:cs="Arial"/>
        </w:rPr>
        <w:t xml:space="preserve">Malnutrition and HIV are related and aggravates one another in a vicious cycle. HIV infection can lead to under nutrition and malnutrition affects HIV transmission and disease progression. </w:t>
      </w:r>
    </w:p>
    <w:p w:rsidR="0071027C" w:rsidRPr="008D2D42" w:rsidRDefault="0071027C" w:rsidP="0071027C">
      <w:pPr>
        <w:autoSpaceDE w:val="0"/>
        <w:autoSpaceDN w:val="0"/>
        <w:adjustRightInd w:val="0"/>
        <w:spacing w:before="120" w:after="120" w:line="240" w:lineRule="auto"/>
        <w:jc w:val="both"/>
        <w:rPr>
          <w:rFonts w:ascii="Arial" w:hAnsi="Arial" w:cs="Arial"/>
        </w:rPr>
      </w:pPr>
      <w:r w:rsidRPr="008D2D42">
        <w:rPr>
          <w:rFonts w:ascii="Arial" w:hAnsi="Arial" w:cs="Arial"/>
        </w:rPr>
        <w:t xml:space="preserve">HIV infection impairs the body immune system and thereby increasing vulnerability to infections. </w:t>
      </w:r>
      <w:r w:rsidRPr="008D2D42">
        <w:rPr>
          <w:rFonts w:ascii="Arial" w:eastAsia="Times New Roman" w:hAnsi="Arial" w:cs="Arial"/>
          <w:color w:val="231F20"/>
        </w:rPr>
        <w:t xml:space="preserve">Infections lead to increased loss of nutrients which, if </w:t>
      </w:r>
      <w:r w:rsidRPr="008D2D42">
        <w:rPr>
          <w:rFonts w:ascii="Arial" w:eastAsia="Times New Roman" w:hAnsi="Arial" w:cs="Arial"/>
          <w:b/>
        </w:rPr>
        <w:t xml:space="preserve">not </w:t>
      </w:r>
      <w:r w:rsidRPr="008D2D42">
        <w:rPr>
          <w:rFonts w:ascii="Arial" w:eastAsia="Times New Roman" w:hAnsi="Arial" w:cs="Arial"/>
          <w:color w:val="231F20"/>
        </w:rPr>
        <w:t>replenished, may lead to malnutrition</w:t>
      </w:r>
      <w:r w:rsidRPr="008D2D42">
        <w:rPr>
          <w:rFonts w:ascii="Arial" w:hAnsi="Arial" w:cs="Arial"/>
        </w:rPr>
        <w:t>. Malnutrition, on the other hand leads to immune impairment. . Further, when a malnourished person acquires HIV, the progression to AIDS is rapid as the immune system is already too weak to fight off infection. On the contrary, a well-nourished individual has strong immune system which delays the progression of HIV to AIDS. HIV and AIDS have direct and indirect effects on nutrition. The direct effects include reduced food intake, poor absorption of nutrients and increased utilization and loss of nutrients. The indirect effects are those which lead to household food insecurity related to inability to engage in food production activities.</w:t>
      </w:r>
    </w:p>
    <w:p w:rsidR="0071027C" w:rsidRPr="008D2D42" w:rsidRDefault="0071027C" w:rsidP="0071027C">
      <w:pPr>
        <w:autoSpaceDE w:val="0"/>
        <w:autoSpaceDN w:val="0"/>
        <w:adjustRightInd w:val="0"/>
        <w:spacing w:before="120" w:after="120" w:line="240" w:lineRule="auto"/>
        <w:jc w:val="both"/>
        <w:rPr>
          <w:rFonts w:ascii="Arial" w:hAnsi="Arial" w:cs="Arial"/>
        </w:rPr>
      </w:pPr>
      <w:r w:rsidRPr="008D2D42">
        <w:rPr>
          <w:rFonts w:ascii="Arial" w:hAnsi="Arial" w:cs="Arial"/>
        </w:rPr>
        <w:t xml:space="preserve">This vicious circle contributes to repeated illnesses, deterioration of the health and eventual death of the infected individual. . Timely improvement of nutrition can help strengthen the immune system, prevent weight loss and delay disease progression. </w:t>
      </w:r>
    </w:p>
    <w:p w:rsidR="0071027C" w:rsidRPr="008D2D42" w:rsidRDefault="0071027C" w:rsidP="0071027C">
      <w:pPr>
        <w:pStyle w:val="Heading2"/>
      </w:pPr>
      <w:bookmarkStart w:id="992" w:name="_Toc378258291"/>
      <w:bookmarkStart w:id="993" w:name="_Toc382214154"/>
      <w:r w:rsidRPr="008D2D42">
        <w:t>13.2</w:t>
      </w:r>
      <w:r w:rsidRPr="008D2D42">
        <w:tab/>
        <w:t>Relationship between good nutrition and protection from Infection</w:t>
      </w:r>
      <w:bookmarkEnd w:id="992"/>
      <w:r w:rsidRPr="008D2D42">
        <w:t>s</w:t>
      </w:r>
      <w:bookmarkEnd w:id="993"/>
    </w:p>
    <w:p w:rsidR="0071027C" w:rsidRPr="008D2D42" w:rsidRDefault="0071027C" w:rsidP="0071027C">
      <w:pPr>
        <w:autoSpaceDE w:val="0"/>
        <w:autoSpaceDN w:val="0"/>
        <w:adjustRightInd w:val="0"/>
        <w:spacing w:before="120" w:after="120" w:line="240" w:lineRule="auto"/>
        <w:jc w:val="both"/>
        <w:rPr>
          <w:rFonts w:ascii="Arial" w:hAnsi="Arial" w:cs="Arial"/>
        </w:rPr>
      </w:pPr>
      <w:r w:rsidRPr="008D2D42">
        <w:rPr>
          <w:rFonts w:ascii="Arial" w:hAnsi="Arial" w:cs="Arial"/>
        </w:rPr>
        <w:t>Good nutrition enables persons with HIV and AIDS to strengthen their immune system, manage HIV-related complications and increase protection to infections,. The specific benefits of good nutrition in protection of infections are illustrated in the figure below.</w:t>
      </w:r>
    </w:p>
    <w:p w:rsidR="0071027C" w:rsidRPr="002D5196" w:rsidRDefault="0071027C" w:rsidP="00AA771C">
      <w:pPr>
        <w:spacing w:beforeLines="120" w:before="288" w:afterLines="120" w:after="288"/>
        <w:jc w:val="both"/>
        <w:rPr>
          <w:rFonts w:ascii="Arial Narrow" w:hAnsi="Arial Narrow"/>
          <w:b/>
          <w:sz w:val="24"/>
          <w:szCs w:val="24"/>
        </w:rPr>
      </w:pPr>
      <w:r w:rsidRPr="002D5196">
        <w:rPr>
          <w:rFonts w:ascii="Arial Narrow" w:hAnsi="Arial Narrow"/>
          <w:b/>
          <w:sz w:val="24"/>
          <w:szCs w:val="24"/>
        </w:rPr>
        <w:t>Figure 13:1. The Cycle of Good Nutrition and protection from infections in Context of HIV/AIDS</w:t>
      </w:r>
    </w:p>
    <w:p w:rsidR="0071027C" w:rsidRPr="00C203F3" w:rsidRDefault="00AA771C" w:rsidP="00B247C9">
      <w:pPr>
        <w:pStyle w:val="StyleJustifiedCharChar"/>
      </w:pPr>
      <w:r>
        <w:rPr>
          <w:noProof/>
          <w:lang w:val="en-US"/>
        </w:rPr>
        <mc:AlternateContent>
          <mc:Choice Requires="wpc">
            <w:drawing>
              <wp:inline distT="0" distB="0" distL="0" distR="0">
                <wp:extent cx="5332095" cy="3173730"/>
                <wp:effectExtent l="19050" t="19050" r="11430" b="7620"/>
                <wp:docPr id="41"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FF"/>
                          </a:solidFill>
                          <a:prstDash val="solid"/>
                          <a:miter lim="800000"/>
                          <a:headEnd type="none" w="med" len="med"/>
                          <a:tailEnd type="none" w="med" len="med"/>
                        </a:ln>
                      </wpc:whole>
                      <wps:wsp>
                        <wps:cNvPr id="33" name="Rectangle 4"/>
                        <wps:cNvSpPr>
                          <a:spLocks noChangeArrowheads="1"/>
                        </wps:cNvSpPr>
                        <wps:spPr bwMode="auto">
                          <a:xfrm>
                            <a:off x="2107565" y="0"/>
                            <a:ext cx="1456055" cy="991235"/>
                          </a:xfrm>
                          <a:prstGeom prst="rect">
                            <a:avLst/>
                          </a:prstGeom>
                          <a:solidFill>
                            <a:srgbClr val="FFFFFF"/>
                          </a:solidFill>
                          <a:ln w="9525">
                            <a:solidFill>
                              <a:srgbClr val="000000"/>
                            </a:solidFill>
                            <a:miter lim="800000"/>
                            <a:headEnd/>
                            <a:tailEnd/>
                          </a:ln>
                        </wps:spPr>
                        <wps:txbx>
                          <w:txbxContent>
                            <w:p w:rsidR="00B247C9" w:rsidRPr="003E72E0" w:rsidRDefault="00B247C9" w:rsidP="0071027C">
                              <w:pPr>
                                <w:jc w:val="center"/>
                                <w:rPr>
                                  <w:rFonts w:ascii="Arial" w:hAnsi="Arial" w:cs="Arial"/>
                                  <w:sz w:val="16"/>
                                  <w:szCs w:val="16"/>
                                </w:rPr>
                              </w:pPr>
                              <w:r w:rsidRPr="003E72E0">
                                <w:rPr>
                                  <w:rFonts w:ascii="Arial" w:hAnsi="Arial" w:cs="Arial"/>
                                  <w:b/>
                                  <w:sz w:val="16"/>
                                  <w:szCs w:val="16"/>
                                </w:rPr>
                                <w:t xml:space="preserve">Good Nutrition       </w:t>
                              </w:r>
                              <w:r w:rsidRPr="003E72E0">
                                <w:rPr>
                                  <w:rFonts w:ascii="Arial" w:hAnsi="Arial" w:cs="Arial"/>
                                  <w:sz w:val="16"/>
                                  <w:szCs w:val="16"/>
                                </w:rPr>
                                <w:t>(good food intake, maintenance of weight and muscle tissue, good micronutrient status)</w:t>
                              </w:r>
                            </w:p>
                          </w:txbxContent>
                        </wps:txbx>
                        <wps:bodyPr rot="0" vert="horz" wrap="square" lIns="91440" tIns="45720" rIns="91440" bIns="45720" anchor="t" anchorCtr="0" upright="1">
                          <a:noAutofit/>
                        </wps:bodyPr>
                      </wps:wsp>
                      <wps:wsp>
                        <wps:cNvPr id="34" name="Rectangle 5"/>
                        <wps:cNvSpPr>
                          <a:spLocks noChangeArrowheads="1"/>
                        </wps:cNvSpPr>
                        <wps:spPr bwMode="auto">
                          <a:xfrm>
                            <a:off x="3867150" y="1211580"/>
                            <a:ext cx="1231900" cy="782320"/>
                          </a:xfrm>
                          <a:prstGeom prst="rect">
                            <a:avLst/>
                          </a:prstGeom>
                          <a:solidFill>
                            <a:srgbClr val="FFFFFF"/>
                          </a:solidFill>
                          <a:ln w="9525">
                            <a:solidFill>
                              <a:srgbClr val="000000"/>
                            </a:solidFill>
                            <a:miter lim="800000"/>
                            <a:headEnd/>
                            <a:tailEnd/>
                          </a:ln>
                        </wps:spPr>
                        <wps:txbx>
                          <w:txbxContent>
                            <w:p w:rsidR="00B247C9" w:rsidRPr="003E72E0" w:rsidRDefault="00B247C9" w:rsidP="0071027C">
                              <w:pPr>
                                <w:jc w:val="center"/>
                                <w:rPr>
                                  <w:rFonts w:ascii="Arial" w:hAnsi="Arial" w:cs="Arial"/>
                                  <w:sz w:val="16"/>
                                  <w:szCs w:val="16"/>
                                </w:rPr>
                              </w:pPr>
                              <w:r w:rsidRPr="003E72E0">
                                <w:rPr>
                                  <w:rFonts w:ascii="Arial" w:hAnsi="Arial" w:cs="Arial"/>
                                  <w:b/>
                                  <w:sz w:val="16"/>
                                  <w:szCs w:val="16"/>
                                </w:rPr>
                                <w:t xml:space="preserve">Strengthening of the Immune system   </w:t>
                              </w:r>
                              <w:r w:rsidRPr="003E72E0">
                                <w:rPr>
                                  <w:rFonts w:ascii="Arial" w:hAnsi="Arial" w:cs="Arial"/>
                                  <w:sz w:val="16"/>
                                  <w:szCs w:val="16"/>
                                </w:rPr>
                                <w:t>(ability to fight HIV and other infections)</w:t>
                              </w:r>
                            </w:p>
                          </w:txbxContent>
                        </wps:txbx>
                        <wps:bodyPr rot="0" vert="horz" wrap="square" lIns="91440" tIns="45720" rIns="91440" bIns="45720" anchor="t" anchorCtr="0" upright="1">
                          <a:noAutofit/>
                        </wps:bodyPr>
                      </wps:wsp>
                      <wps:wsp>
                        <wps:cNvPr id="35" name="Rectangle 6"/>
                        <wps:cNvSpPr>
                          <a:spLocks noChangeArrowheads="1"/>
                        </wps:cNvSpPr>
                        <wps:spPr bwMode="auto">
                          <a:xfrm>
                            <a:off x="235585" y="1211580"/>
                            <a:ext cx="1344295" cy="894715"/>
                          </a:xfrm>
                          <a:prstGeom prst="rect">
                            <a:avLst/>
                          </a:prstGeom>
                          <a:solidFill>
                            <a:srgbClr val="FFFFFF"/>
                          </a:solidFill>
                          <a:ln w="9525">
                            <a:solidFill>
                              <a:srgbClr val="000000"/>
                            </a:solidFill>
                            <a:miter lim="800000"/>
                            <a:headEnd/>
                            <a:tailEnd/>
                          </a:ln>
                        </wps:spPr>
                        <wps:txbx>
                          <w:txbxContent>
                            <w:p w:rsidR="00B247C9" w:rsidRPr="003E72E0" w:rsidRDefault="00B247C9" w:rsidP="0071027C">
                              <w:pPr>
                                <w:jc w:val="center"/>
                                <w:rPr>
                                  <w:rFonts w:ascii="Arial" w:hAnsi="Arial" w:cs="Arial"/>
                                  <w:sz w:val="16"/>
                                  <w:szCs w:val="16"/>
                                </w:rPr>
                              </w:pPr>
                              <w:r w:rsidRPr="003E72E0">
                                <w:rPr>
                                  <w:rFonts w:ascii="Arial" w:hAnsi="Arial" w:cs="Arial"/>
                                  <w:b/>
                                  <w:sz w:val="16"/>
                                  <w:szCs w:val="16"/>
                                </w:rPr>
                                <w:t xml:space="preserve">Management of HIV-related Complications </w:t>
                              </w:r>
                              <w:r w:rsidRPr="003E72E0">
                                <w:rPr>
                                  <w:rFonts w:ascii="Arial" w:hAnsi="Arial" w:cs="Arial"/>
                                  <w:sz w:val="16"/>
                                  <w:szCs w:val="16"/>
                                </w:rPr>
                                <w:t>(e.g. malabsorption, diarrhoea, lack of appetite, weight loss)</w:t>
                              </w:r>
                            </w:p>
                          </w:txbxContent>
                        </wps:txbx>
                        <wps:bodyPr rot="0" vert="horz" wrap="square" lIns="91440" tIns="45720" rIns="91440" bIns="45720" anchor="t" anchorCtr="0" upright="1">
                          <a:noAutofit/>
                        </wps:bodyPr>
                      </wps:wsp>
                      <wps:wsp>
                        <wps:cNvPr id="36" name="Rectangle 7"/>
                        <wps:cNvSpPr>
                          <a:spLocks noChangeArrowheads="1"/>
                        </wps:cNvSpPr>
                        <wps:spPr bwMode="auto">
                          <a:xfrm>
                            <a:off x="2037715" y="2389505"/>
                            <a:ext cx="1525905" cy="784225"/>
                          </a:xfrm>
                          <a:prstGeom prst="rect">
                            <a:avLst/>
                          </a:prstGeom>
                          <a:solidFill>
                            <a:srgbClr val="FFFFFF"/>
                          </a:solidFill>
                          <a:ln w="9525">
                            <a:solidFill>
                              <a:srgbClr val="000000"/>
                            </a:solidFill>
                            <a:miter lim="800000"/>
                            <a:headEnd/>
                            <a:tailEnd/>
                          </a:ln>
                        </wps:spPr>
                        <wps:txbx>
                          <w:txbxContent>
                            <w:p w:rsidR="00B247C9" w:rsidRPr="003E72E0" w:rsidRDefault="00B247C9" w:rsidP="0071027C">
                              <w:pPr>
                                <w:jc w:val="center"/>
                                <w:rPr>
                                  <w:rFonts w:ascii="Arial" w:hAnsi="Arial" w:cs="Arial"/>
                                  <w:sz w:val="16"/>
                                  <w:szCs w:val="16"/>
                                </w:rPr>
                              </w:pPr>
                              <w:r w:rsidRPr="003E72E0">
                                <w:rPr>
                                  <w:rFonts w:ascii="Arial" w:hAnsi="Arial" w:cs="Arial"/>
                                  <w:b/>
                                  <w:sz w:val="16"/>
                                  <w:szCs w:val="16"/>
                                </w:rPr>
                                <w:t xml:space="preserve">Increased protection from Infections                        </w:t>
                              </w:r>
                              <w:r w:rsidRPr="003E72E0">
                                <w:rPr>
                                  <w:rFonts w:ascii="Arial" w:hAnsi="Arial" w:cs="Arial"/>
                                  <w:sz w:val="16"/>
                                  <w:szCs w:val="16"/>
                                </w:rPr>
                                <w:t>(e.g. diarrhoea, tuberculosis, respiratory infections)</w:t>
                              </w:r>
                            </w:p>
                          </w:txbxContent>
                        </wps:txbx>
                        <wps:bodyPr rot="0" vert="horz" wrap="square" lIns="91440" tIns="45720" rIns="91440" bIns="45720" anchor="t" anchorCtr="0" upright="1">
                          <a:noAutofit/>
                        </wps:bodyPr>
                      </wps:wsp>
                      <wps:wsp>
                        <wps:cNvPr id="37" name="Line 8"/>
                        <wps:cNvCnPr/>
                        <wps:spPr bwMode="auto">
                          <a:xfrm flipV="1">
                            <a:off x="650875" y="314960"/>
                            <a:ext cx="1456690" cy="8966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9"/>
                        <wps:cNvCnPr/>
                        <wps:spPr bwMode="auto">
                          <a:xfrm>
                            <a:off x="3563620" y="314960"/>
                            <a:ext cx="1232535" cy="8966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10"/>
                        <wps:cNvCnPr/>
                        <wps:spPr bwMode="auto">
                          <a:xfrm flipH="1" flipV="1">
                            <a:off x="650875" y="2106930"/>
                            <a:ext cx="1386840" cy="8966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11"/>
                        <wps:cNvCnPr/>
                        <wps:spPr bwMode="auto">
                          <a:xfrm flipH="1">
                            <a:off x="3563620" y="1995170"/>
                            <a:ext cx="1232535" cy="10083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441" editas="canvas" style="width:419.85pt;height:249.9pt;mso-position-horizontal-relative:char;mso-position-vertical-relative:line" coordsize="53320,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">
                <v:shape id="_x0000_s1442" type="#_x0000_t75" style="position:absolute;width:53320;height:31737;visibility:visible;mso-wrap-style:square" stroked="t" strokecolor="blue">
                  <v:fill o:detectmouseclick="t"/>
                  <v:path o:connecttype="none"/>
                </v:shape>
                <v:rect id="Rectangle 4" o:spid="_x0000_s1443" style="position:absolute;left:21075;width:14561;height:9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B247C9" w:rsidRPr="003E72E0" w:rsidRDefault="00B247C9" w:rsidP="0071027C">
                        <w:pPr>
                          <w:jc w:val="center"/>
                          <w:rPr>
                            <w:rFonts w:ascii="Arial" w:hAnsi="Arial" w:cs="Arial"/>
                            <w:sz w:val="16"/>
                            <w:szCs w:val="16"/>
                          </w:rPr>
                        </w:pPr>
                        <w:r w:rsidRPr="003E72E0">
                          <w:rPr>
                            <w:rFonts w:ascii="Arial" w:hAnsi="Arial" w:cs="Arial"/>
                            <w:b/>
                            <w:sz w:val="16"/>
                            <w:szCs w:val="16"/>
                          </w:rPr>
                          <w:t xml:space="preserve">Good Nutrition       </w:t>
                        </w:r>
                        <w:r w:rsidRPr="003E72E0">
                          <w:rPr>
                            <w:rFonts w:ascii="Arial" w:hAnsi="Arial" w:cs="Arial"/>
                            <w:sz w:val="16"/>
                            <w:szCs w:val="16"/>
                          </w:rPr>
                          <w:t>(good food intake, maintenance of weight and muscle tissue, good micronutrient status)</w:t>
                        </w:r>
                      </w:p>
                    </w:txbxContent>
                  </v:textbox>
                </v:rect>
                <v:rect id="Rectangle 5" o:spid="_x0000_s1444" style="position:absolute;left:38671;top:12115;width:12319;height:7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B247C9" w:rsidRPr="003E72E0" w:rsidRDefault="00B247C9" w:rsidP="0071027C">
                        <w:pPr>
                          <w:jc w:val="center"/>
                          <w:rPr>
                            <w:rFonts w:ascii="Arial" w:hAnsi="Arial" w:cs="Arial"/>
                            <w:sz w:val="16"/>
                            <w:szCs w:val="16"/>
                          </w:rPr>
                        </w:pPr>
                        <w:r w:rsidRPr="003E72E0">
                          <w:rPr>
                            <w:rFonts w:ascii="Arial" w:hAnsi="Arial" w:cs="Arial"/>
                            <w:b/>
                            <w:sz w:val="16"/>
                            <w:szCs w:val="16"/>
                          </w:rPr>
                          <w:t xml:space="preserve">Strengthening of the Immune system   </w:t>
                        </w:r>
                        <w:r w:rsidRPr="003E72E0">
                          <w:rPr>
                            <w:rFonts w:ascii="Arial" w:hAnsi="Arial" w:cs="Arial"/>
                            <w:sz w:val="16"/>
                            <w:szCs w:val="16"/>
                          </w:rPr>
                          <w:t>(ability to fight HIV and other infections)</w:t>
                        </w:r>
                      </w:p>
                    </w:txbxContent>
                  </v:textbox>
                </v:rect>
                <v:rect id="Rectangle 6" o:spid="_x0000_s1445" style="position:absolute;left:2355;top:12115;width:13443;height:8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B247C9" w:rsidRPr="003E72E0" w:rsidRDefault="00B247C9" w:rsidP="0071027C">
                        <w:pPr>
                          <w:jc w:val="center"/>
                          <w:rPr>
                            <w:rFonts w:ascii="Arial" w:hAnsi="Arial" w:cs="Arial"/>
                            <w:sz w:val="16"/>
                            <w:szCs w:val="16"/>
                          </w:rPr>
                        </w:pPr>
                        <w:r w:rsidRPr="003E72E0">
                          <w:rPr>
                            <w:rFonts w:ascii="Arial" w:hAnsi="Arial" w:cs="Arial"/>
                            <w:b/>
                            <w:sz w:val="16"/>
                            <w:szCs w:val="16"/>
                          </w:rPr>
                          <w:t xml:space="preserve">Management of HIV-related Complications </w:t>
                        </w:r>
                        <w:r w:rsidRPr="003E72E0">
                          <w:rPr>
                            <w:rFonts w:ascii="Arial" w:hAnsi="Arial" w:cs="Arial"/>
                            <w:sz w:val="16"/>
                            <w:szCs w:val="16"/>
                          </w:rPr>
                          <w:t>(e.g. malabsorption, diarrhoea, lack of appetite, weight loss)</w:t>
                        </w:r>
                      </w:p>
                    </w:txbxContent>
                  </v:textbox>
                </v:rect>
                <v:rect id="Rectangle 7" o:spid="_x0000_s1446" style="position:absolute;left:20377;top:23895;width:15259;height:7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B247C9" w:rsidRPr="003E72E0" w:rsidRDefault="00B247C9" w:rsidP="0071027C">
                        <w:pPr>
                          <w:jc w:val="center"/>
                          <w:rPr>
                            <w:rFonts w:ascii="Arial" w:hAnsi="Arial" w:cs="Arial"/>
                            <w:sz w:val="16"/>
                            <w:szCs w:val="16"/>
                          </w:rPr>
                        </w:pPr>
                        <w:r w:rsidRPr="003E72E0">
                          <w:rPr>
                            <w:rFonts w:ascii="Arial" w:hAnsi="Arial" w:cs="Arial"/>
                            <w:b/>
                            <w:sz w:val="16"/>
                            <w:szCs w:val="16"/>
                          </w:rPr>
                          <w:t xml:space="preserve">Increased protection from Infections                        </w:t>
                        </w:r>
                        <w:r w:rsidRPr="003E72E0">
                          <w:rPr>
                            <w:rFonts w:ascii="Arial" w:hAnsi="Arial" w:cs="Arial"/>
                            <w:sz w:val="16"/>
                            <w:szCs w:val="16"/>
                          </w:rPr>
                          <w:t>(e.g. diarrhoea, tuberculosis, respiratory infections)</w:t>
                        </w:r>
                      </w:p>
                    </w:txbxContent>
                  </v:textbox>
                </v:rect>
                <v:line id="Line 8" o:spid="_x0000_s1447" style="position:absolute;flip:y;visibility:visible;mso-wrap-style:square" from="6508,3149" to="21075,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qa48MAAADbAAAADwAAAGRycy9kb3ducmV2LnhtbESPW4vCMBSE34X9D+Es7IusaVe80DXK&#10;IijFF/EC+3pojk2xOSlN1PrvjSD4OMzMN8xs0dlaXKn1lWMF6SABQVw4XXGp4HhYfU9B+ICssXZM&#10;Cu7kYTH/6M0w0+7GO7ruQykihH2GCkwITSalLwxZ9APXEEfv5FqLIcq2lLrFW4TbWv4kyVharDgu&#10;GGxoaag47y9WwTjdjvL8YPx6SedQbf7NpJ8apb4+u79fEIG68A6/2rlWMJzA80v8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KmuPDAAAA2wAAAA8AAAAAAAAAAAAA&#10;AAAAoQIAAGRycy9kb3ducmV2LnhtbFBLBQYAAAAABAAEAPkAAACRAwAAAAA=&#10;" strokeweight="2.25pt">
                  <v:stroke endarrow="block"/>
                </v:line>
                <v:line id="Line 9" o:spid="_x0000_s1448" style="position:absolute;visibility:visible;mso-wrap-style:square" from="35636,3149" to="47961,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MHoMIAAADbAAAADwAAAGRycy9kb3ducmV2LnhtbERPTWvCQBC9C/0Pywi9SN2kipTUVUQR&#10;VFDbtPQ8ZMckNDsbsqsm/nr3IHh8vO/pvDWVuFDjSssK4mEEgjizuuRcwe/P+u0DhPPIGivLpKAj&#10;B/PZS2+KibZX/qZL6nMRQtglqKDwvk6kdFlBBt3Q1sSBO9nGoA+wyaVu8BrCTSXfo2giDZYcGgqs&#10;aVlQ9p+ejYId3VaT7eC4x7GPv/660SDuyoNSr/128QnCU+uf4od7oxWMwtjwJfwA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MHoMIAAADbAAAADwAAAAAAAAAAAAAA&#10;AAChAgAAZHJzL2Rvd25yZXYueG1sUEsFBgAAAAAEAAQA+QAAAJADAAAAAA==&#10;" strokeweight="2.25pt">
                  <v:stroke endarrow="block"/>
                </v:line>
                <v:line id="Line 10" o:spid="_x0000_s1449" style="position:absolute;flip:x y;visibility:visible;mso-wrap-style:square" from="6508,21069" to="20377,3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m8MAAADbAAAADwAAAGRycy9kb3ducmV2LnhtbESPT4vCMBTE78J+h/CEvWmqC+JWo7i6&#10;Ra+6Xrw9mmf/2LzUJtbutzeC4HGYmd8w82VnKtFS4wrLCkbDCARxanXBmYLjXzKYgnAeWWNlmRT8&#10;k4Pl4qM3x1jbO++pPfhMBAi7GBXk3texlC7NyaAb2po4eGfbGPRBNpnUDd4D3FRyHEUTabDgsJBj&#10;Teuc0svhZhScf8tumlyT23Fbrq6nn225GWUbpT773WoGwlPn3+FXe6cVfH3D80v4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jQ5vDAAAA2wAAAA8AAAAAAAAAAAAA&#10;AAAAoQIAAGRycy9kb3ducmV2LnhtbFBLBQYAAAAABAAEAPkAAACRAwAAAAA=&#10;" strokeweight="2.25pt">
                  <v:stroke endarrow="block"/>
                </v:line>
                <v:line id="Line 11" o:spid="_x0000_s1450" style="position:absolute;flip:x;visibility:visible;mso-wrap-style:square" from="35636,19951" to="47961,3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Vx6r8AAADbAAAADwAAAGRycy9kb3ducmV2LnhtbERPy4rCMBTdD/gP4QpuBk0rjko1ighK&#10;mc3gA9xemmtTbG5KE7X+vVkIszyc93Ld2Vo8qPWVYwXpKAFBXDhdcangfNoN5yB8QNZYOyYFL/Kw&#10;XvW+lphp9+QDPY6hFDGEfYYKTAhNJqUvDFn0I9cQR+7qWoshwraUusVnDLe1HCfJVFqsODYYbGhr&#10;qLgd71bBNP37yfOT8fst3UL1ezGz79QoNeh3mwWIQF34F3/cuVYwievjl/gD5O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eVx6r8AAADbAAAADwAAAAAAAAAAAAAAAACh&#10;AgAAZHJzL2Rvd25yZXYueG1sUEsFBgAAAAAEAAQA+QAAAI0DAAAAAA==&#10;" strokeweight="2.25pt">
                  <v:stroke endarrow="block"/>
                </v:line>
                <w10:anchorlock/>
              </v:group>
            </w:pict>
          </mc:Fallback>
        </mc:AlternateContent>
      </w:r>
    </w:p>
    <w:p w:rsidR="0071027C" w:rsidRPr="003E72E0" w:rsidRDefault="0071027C" w:rsidP="0071027C">
      <w:pPr>
        <w:spacing w:before="120" w:after="120" w:line="240" w:lineRule="auto"/>
        <w:jc w:val="both"/>
        <w:rPr>
          <w:rFonts w:ascii="Arial" w:hAnsi="Arial" w:cs="Arial"/>
          <w:b/>
        </w:rPr>
      </w:pPr>
      <w:r w:rsidRPr="003E72E0">
        <w:rPr>
          <w:rFonts w:ascii="Arial" w:hAnsi="Arial" w:cs="Arial"/>
          <w:b/>
        </w:rPr>
        <w:t>Nutritional consideration at different stages of HIV infection</w:t>
      </w:r>
    </w:p>
    <w:p w:rsidR="0071027C" w:rsidRPr="003E72E0" w:rsidRDefault="0071027C" w:rsidP="0071027C">
      <w:pPr>
        <w:spacing w:before="120" w:after="120" w:line="240" w:lineRule="auto"/>
        <w:jc w:val="both"/>
        <w:rPr>
          <w:rFonts w:ascii="Arial" w:hAnsi="Arial" w:cs="Arial"/>
        </w:rPr>
      </w:pPr>
      <w:r w:rsidRPr="003E72E0">
        <w:rPr>
          <w:rFonts w:ascii="Arial" w:hAnsi="Arial" w:cs="Arial"/>
        </w:rPr>
        <w:t>At different stages of HIV infection, some health problems may be experienced such as mouth sores (ulcerations), sore throat and diarrhoea. Infectionsincrease the body requirements for energy and may cause deficiency of nutrients and further burdens the already weakened immune system. Table 14.1 Shows Nutrition, Care and Support Priorities by Stage</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8"/>
        <w:gridCol w:w="2970"/>
        <w:gridCol w:w="4860"/>
      </w:tblGrid>
      <w:tr w:rsidR="0071027C" w:rsidRPr="008D2D42" w:rsidTr="0071027C">
        <w:tc>
          <w:tcPr>
            <w:tcW w:w="9738" w:type="dxa"/>
            <w:gridSpan w:val="3"/>
            <w:tcBorders>
              <w:top w:val="nil"/>
              <w:left w:val="nil"/>
              <w:bottom w:val="nil"/>
              <w:right w:val="nil"/>
            </w:tcBorders>
          </w:tcPr>
          <w:p w:rsidR="0071027C" w:rsidRPr="008D2D42" w:rsidRDefault="0071027C" w:rsidP="00AA771C">
            <w:pPr>
              <w:spacing w:beforeLines="120" w:before="288" w:afterLines="120" w:after="288"/>
              <w:jc w:val="both"/>
              <w:rPr>
                <w:rFonts w:ascii="Arial" w:hAnsi="Arial" w:cs="Arial"/>
                <w:b/>
              </w:rPr>
            </w:pPr>
            <w:r w:rsidRPr="008D2D42">
              <w:rPr>
                <w:rFonts w:ascii="Arial" w:hAnsi="Arial" w:cs="Arial"/>
                <w:b/>
              </w:rPr>
              <w:t>Table 13.1 Nutritional, care and support priorities by WHO HIV stages</w:t>
            </w:r>
          </w:p>
        </w:tc>
      </w:tr>
      <w:tr w:rsidR="0071027C" w:rsidRPr="008D2D42" w:rsidTr="0071027C">
        <w:tc>
          <w:tcPr>
            <w:tcW w:w="1908" w:type="dxa"/>
            <w:tcBorders>
              <w:top w:val="nil"/>
              <w:right w:val="single" w:sz="4" w:space="0" w:color="FFFFFF"/>
            </w:tcBorders>
            <w:shd w:val="clear" w:color="auto" w:fill="000000"/>
          </w:tcPr>
          <w:p w:rsidR="0071027C" w:rsidRPr="008D2D42" w:rsidRDefault="0071027C" w:rsidP="00AA771C">
            <w:pPr>
              <w:spacing w:beforeLines="120" w:before="288" w:afterLines="120" w:after="288"/>
              <w:jc w:val="center"/>
              <w:rPr>
                <w:rFonts w:ascii="Arial" w:hAnsi="Arial" w:cs="Arial"/>
                <w:b/>
              </w:rPr>
            </w:pPr>
            <w:r w:rsidRPr="008D2D42">
              <w:rPr>
                <w:rFonts w:ascii="Arial" w:hAnsi="Arial" w:cs="Arial"/>
                <w:b/>
              </w:rPr>
              <w:t>HIV stage</w:t>
            </w:r>
          </w:p>
        </w:tc>
        <w:tc>
          <w:tcPr>
            <w:tcW w:w="2970" w:type="dxa"/>
            <w:tcBorders>
              <w:top w:val="nil"/>
              <w:left w:val="single" w:sz="4" w:space="0" w:color="FFFFFF"/>
              <w:right w:val="single" w:sz="4" w:space="0" w:color="FFFFFF"/>
            </w:tcBorders>
            <w:shd w:val="clear" w:color="auto" w:fill="000000"/>
          </w:tcPr>
          <w:p w:rsidR="0071027C" w:rsidRPr="008D2D42" w:rsidRDefault="0071027C" w:rsidP="00AA771C">
            <w:pPr>
              <w:spacing w:beforeLines="120" w:before="288" w:afterLines="120" w:after="288"/>
              <w:jc w:val="center"/>
              <w:rPr>
                <w:rFonts w:ascii="Arial" w:hAnsi="Arial" w:cs="Arial"/>
                <w:b/>
              </w:rPr>
            </w:pPr>
            <w:r w:rsidRPr="008D2D42">
              <w:rPr>
                <w:rFonts w:ascii="Arial" w:hAnsi="Arial" w:cs="Arial"/>
                <w:b/>
              </w:rPr>
              <w:t>Features</w:t>
            </w:r>
          </w:p>
        </w:tc>
        <w:tc>
          <w:tcPr>
            <w:tcW w:w="4860" w:type="dxa"/>
            <w:tcBorders>
              <w:top w:val="nil"/>
              <w:left w:val="single" w:sz="4" w:space="0" w:color="FFFFFF"/>
            </w:tcBorders>
            <w:shd w:val="clear" w:color="auto" w:fill="000000"/>
          </w:tcPr>
          <w:p w:rsidR="0071027C" w:rsidRPr="008D2D42" w:rsidRDefault="0071027C" w:rsidP="00AA771C">
            <w:pPr>
              <w:spacing w:beforeLines="120" w:before="288" w:afterLines="120" w:after="288"/>
              <w:jc w:val="center"/>
              <w:rPr>
                <w:rFonts w:ascii="Arial" w:hAnsi="Arial" w:cs="Arial"/>
                <w:b/>
              </w:rPr>
            </w:pPr>
            <w:r w:rsidRPr="008D2D42">
              <w:rPr>
                <w:rFonts w:ascii="Arial" w:hAnsi="Arial" w:cs="Arial"/>
                <w:b/>
              </w:rPr>
              <w:t>Nutritional Advise</w:t>
            </w:r>
          </w:p>
        </w:tc>
      </w:tr>
      <w:tr w:rsidR="0071027C" w:rsidRPr="008D2D42" w:rsidTr="0071027C">
        <w:trPr>
          <w:trHeight w:val="1502"/>
        </w:trPr>
        <w:tc>
          <w:tcPr>
            <w:tcW w:w="1908" w:type="dxa"/>
          </w:tcPr>
          <w:p w:rsidR="0071027C" w:rsidRPr="008D2D42" w:rsidRDefault="0071027C" w:rsidP="00AA771C">
            <w:pPr>
              <w:spacing w:beforeLines="120" w:before="288" w:afterLines="120" w:after="288"/>
              <w:jc w:val="both"/>
              <w:rPr>
                <w:rFonts w:ascii="Arial" w:hAnsi="Arial" w:cs="Arial"/>
                <w:b/>
              </w:rPr>
            </w:pPr>
            <w:r w:rsidRPr="008D2D42">
              <w:rPr>
                <w:rFonts w:ascii="Arial" w:hAnsi="Arial" w:cs="Arial"/>
              </w:rPr>
              <w:t>Early Stage (stage 1&amp; 2 of WHO clinical staging)</w:t>
            </w:r>
          </w:p>
        </w:tc>
        <w:tc>
          <w:tcPr>
            <w:tcW w:w="2970" w:type="dxa"/>
          </w:tcPr>
          <w:p w:rsidR="0071027C" w:rsidRPr="008D2D42" w:rsidRDefault="0071027C" w:rsidP="00AA771C">
            <w:pPr>
              <w:spacing w:beforeLines="120" w:before="288" w:afterLines="120" w:after="288"/>
              <w:jc w:val="both"/>
              <w:rPr>
                <w:rFonts w:ascii="Arial" w:hAnsi="Arial" w:cs="Arial"/>
                <w:b/>
              </w:rPr>
            </w:pPr>
            <w:r w:rsidRPr="008D2D42">
              <w:rPr>
                <w:rFonts w:ascii="Arial" w:hAnsi="Arial" w:cs="Arial"/>
              </w:rPr>
              <w:t>Asymptomatic or mild symptoms weight loss under 10% of presumed or measurable body weight</w:t>
            </w:r>
          </w:p>
        </w:tc>
        <w:tc>
          <w:tcPr>
            <w:tcW w:w="4860" w:type="dxa"/>
          </w:tcPr>
          <w:p w:rsidR="0071027C" w:rsidRPr="008D2D42" w:rsidRDefault="0071027C" w:rsidP="00AA771C">
            <w:pPr>
              <w:spacing w:beforeLines="120" w:before="288" w:afterLines="120" w:after="288"/>
              <w:jc w:val="both"/>
              <w:rPr>
                <w:rFonts w:ascii="Arial" w:hAnsi="Arial" w:cs="Arial"/>
              </w:rPr>
            </w:pPr>
            <w:r w:rsidRPr="008D2D42">
              <w:rPr>
                <w:rFonts w:ascii="Arial" w:hAnsi="Arial" w:cs="Arial"/>
              </w:rPr>
              <w:t xml:space="preserve">Counsel on healthy diet and healthy lifestyle </w:t>
            </w:r>
          </w:p>
          <w:p w:rsidR="0071027C" w:rsidRPr="008D2D42" w:rsidRDefault="0071027C" w:rsidP="00AA771C">
            <w:pPr>
              <w:spacing w:beforeLines="120" w:before="288" w:afterLines="120" w:after="288"/>
              <w:jc w:val="both"/>
              <w:rPr>
                <w:rFonts w:ascii="Arial" w:hAnsi="Arial" w:cs="Arial"/>
                <w:b/>
              </w:rPr>
            </w:pPr>
          </w:p>
        </w:tc>
      </w:tr>
      <w:tr w:rsidR="0071027C" w:rsidRPr="008D2D42" w:rsidTr="0071027C">
        <w:tc>
          <w:tcPr>
            <w:tcW w:w="1908" w:type="dxa"/>
          </w:tcPr>
          <w:p w:rsidR="0071027C" w:rsidRPr="008D2D42" w:rsidRDefault="0071027C" w:rsidP="00AA771C">
            <w:pPr>
              <w:spacing w:beforeLines="120" w:before="288" w:afterLines="120" w:after="288"/>
              <w:jc w:val="both"/>
              <w:rPr>
                <w:rFonts w:ascii="Arial" w:hAnsi="Arial" w:cs="Arial"/>
                <w:b/>
              </w:rPr>
            </w:pPr>
            <w:r w:rsidRPr="008D2D42">
              <w:rPr>
                <w:rFonts w:ascii="Arial" w:hAnsi="Arial" w:cs="Arial"/>
              </w:rPr>
              <w:t>Middle Stage (stage 3 of WHO clinical staging)</w:t>
            </w:r>
          </w:p>
        </w:tc>
        <w:tc>
          <w:tcPr>
            <w:tcW w:w="2970" w:type="dxa"/>
          </w:tcPr>
          <w:p w:rsidR="0071027C" w:rsidRPr="008D2D42" w:rsidRDefault="0071027C" w:rsidP="00AA771C">
            <w:pPr>
              <w:spacing w:beforeLines="120" w:before="288" w:afterLines="120" w:after="288"/>
              <w:jc w:val="both"/>
              <w:rPr>
                <w:rFonts w:ascii="Arial" w:hAnsi="Arial" w:cs="Arial"/>
              </w:rPr>
            </w:pPr>
            <w:r w:rsidRPr="008D2D42">
              <w:rPr>
                <w:rFonts w:ascii="Arial" w:hAnsi="Arial" w:cs="Arial"/>
              </w:rPr>
              <w:t>Weight loss over 10% of presumed or measurable body weight</w:t>
            </w:r>
          </w:p>
          <w:p w:rsidR="0071027C" w:rsidRPr="008D2D42" w:rsidRDefault="0071027C" w:rsidP="00AA771C">
            <w:pPr>
              <w:spacing w:beforeLines="120" w:before="288" w:afterLines="120" w:after="288"/>
              <w:jc w:val="both"/>
              <w:rPr>
                <w:rFonts w:ascii="Arial" w:hAnsi="Arial" w:cs="Arial"/>
                <w:b/>
              </w:rPr>
            </w:pPr>
            <w:r w:rsidRPr="008D2D42">
              <w:rPr>
                <w:rFonts w:ascii="Arial" w:hAnsi="Arial" w:cs="Arial"/>
              </w:rPr>
              <w:t>Opportunistic infections</w:t>
            </w:r>
          </w:p>
        </w:tc>
        <w:tc>
          <w:tcPr>
            <w:tcW w:w="4860" w:type="dxa"/>
          </w:tcPr>
          <w:p w:rsidR="0071027C" w:rsidRPr="008D2D42" w:rsidRDefault="0071027C" w:rsidP="00AA771C">
            <w:pPr>
              <w:widowControl/>
              <w:numPr>
                <w:ilvl w:val="0"/>
                <w:numId w:val="125"/>
              </w:numPr>
              <w:autoSpaceDE w:val="0"/>
              <w:autoSpaceDN w:val="0"/>
              <w:adjustRightInd w:val="0"/>
              <w:spacing w:beforeLines="120" w:before="288" w:afterLines="120" w:after="288" w:line="240" w:lineRule="auto"/>
              <w:jc w:val="both"/>
              <w:rPr>
                <w:rFonts w:ascii="Arial" w:eastAsia="HelveticaNeueLTStd-Cn" w:hAnsi="Arial" w:cs="Arial"/>
              </w:rPr>
            </w:pPr>
            <w:r w:rsidRPr="008D2D42">
              <w:rPr>
                <w:rFonts w:ascii="Arial" w:eastAsia="HelveticaNeueLTStd-Cn" w:hAnsi="Arial" w:cs="Arial"/>
              </w:rPr>
              <w:t>Counsel to minimize consequences</w:t>
            </w:r>
          </w:p>
          <w:p w:rsidR="0071027C" w:rsidRPr="008D2D42" w:rsidRDefault="0071027C" w:rsidP="00AA771C">
            <w:pPr>
              <w:widowControl/>
              <w:numPr>
                <w:ilvl w:val="0"/>
                <w:numId w:val="125"/>
              </w:numPr>
              <w:autoSpaceDE w:val="0"/>
              <w:autoSpaceDN w:val="0"/>
              <w:adjustRightInd w:val="0"/>
              <w:spacing w:beforeLines="120" w:before="288" w:afterLines="120" w:after="288" w:line="240" w:lineRule="auto"/>
              <w:jc w:val="both"/>
              <w:rPr>
                <w:rFonts w:ascii="Arial" w:eastAsia="HelveticaNeueLTStd-Cn" w:hAnsi="Arial" w:cs="Arial"/>
              </w:rPr>
            </w:pPr>
            <w:r w:rsidRPr="008D2D42">
              <w:rPr>
                <w:rFonts w:ascii="Arial" w:eastAsia="HelveticaNeueLTStd-Cn" w:hAnsi="Arial" w:cs="Arial"/>
              </w:rPr>
              <w:t xml:space="preserve">Counsel to maintain dietary intake during illness </w:t>
            </w:r>
          </w:p>
          <w:p w:rsidR="0071027C" w:rsidRPr="008D2D42" w:rsidRDefault="0071027C" w:rsidP="00AA771C">
            <w:pPr>
              <w:widowControl/>
              <w:numPr>
                <w:ilvl w:val="0"/>
                <w:numId w:val="125"/>
              </w:numPr>
              <w:autoSpaceDE w:val="0"/>
              <w:autoSpaceDN w:val="0"/>
              <w:adjustRightInd w:val="0"/>
              <w:spacing w:beforeLines="120" w:before="288" w:afterLines="120" w:after="288" w:line="240" w:lineRule="auto"/>
              <w:jc w:val="both"/>
              <w:rPr>
                <w:rFonts w:ascii="Arial" w:eastAsia="HelveticaNeueLTStd-Cn" w:hAnsi="Arial" w:cs="Arial"/>
              </w:rPr>
            </w:pPr>
            <w:r w:rsidRPr="008D2D42">
              <w:rPr>
                <w:rFonts w:ascii="Arial" w:eastAsia="HelveticaNeueLTStd-Cn" w:hAnsi="Arial" w:cs="Arial"/>
              </w:rPr>
              <w:t>Advise increased nutrient intake to recover and gain weight</w:t>
            </w:r>
          </w:p>
          <w:p w:rsidR="0071027C" w:rsidRPr="008D2D42" w:rsidRDefault="0071027C" w:rsidP="00AA771C">
            <w:pPr>
              <w:widowControl/>
              <w:numPr>
                <w:ilvl w:val="0"/>
                <w:numId w:val="125"/>
              </w:numPr>
              <w:autoSpaceDE w:val="0"/>
              <w:autoSpaceDN w:val="0"/>
              <w:adjustRightInd w:val="0"/>
              <w:spacing w:beforeLines="120" w:before="288" w:afterLines="120" w:after="288" w:line="240" w:lineRule="auto"/>
              <w:jc w:val="both"/>
              <w:rPr>
                <w:rFonts w:ascii="Arial" w:eastAsia="HelveticaNeueLTStd-Cn" w:hAnsi="Arial" w:cs="Arial"/>
              </w:rPr>
            </w:pPr>
            <w:r w:rsidRPr="008D2D42">
              <w:rPr>
                <w:rFonts w:ascii="Arial" w:eastAsia="HelveticaNeueLTStd-Cn" w:hAnsi="Arial" w:cs="Arial"/>
              </w:rPr>
              <w:t xml:space="preserve">Counsel on healthy  lifestyle </w:t>
            </w:r>
          </w:p>
          <w:p w:rsidR="0071027C" w:rsidRPr="008D2D42" w:rsidRDefault="0071027C" w:rsidP="00AA771C">
            <w:pPr>
              <w:widowControl/>
              <w:numPr>
                <w:ilvl w:val="0"/>
                <w:numId w:val="125"/>
              </w:numPr>
              <w:autoSpaceDE w:val="0"/>
              <w:autoSpaceDN w:val="0"/>
              <w:adjustRightInd w:val="0"/>
              <w:spacing w:beforeLines="120" w:before="288" w:afterLines="120" w:after="288" w:line="240" w:lineRule="auto"/>
              <w:jc w:val="both"/>
              <w:rPr>
                <w:rFonts w:ascii="Arial" w:eastAsia="HelveticaNeueLTStd-Cn" w:hAnsi="Arial" w:cs="Arial"/>
              </w:rPr>
            </w:pPr>
            <w:r w:rsidRPr="008D2D42">
              <w:rPr>
                <w:rFonts w:ascii="Arial" w:eastAsia="HelveticaNeueLTStd-Cn" w:hAnsi="Arial" w:cs="Arial"/>
              </w:rPr>
              <w:t>Advise on food safety and hygiene</w:t>
            </w:r>
          </w:p>
          <w:p w:rsidR="0071027C" w:rsidRPr="008D2D42" w:rsidRDefault="0071027C" w:rsidP="00AA771C">
            <w:pPr>
              <w:widowControl/>
              <w:numPr>
                <w:ilvl w:val="0"/>
                <w:numId w:val="125"/>
              </w:numPr>
              <w:autoSpaceDE w:val="0"/>
              <w:autoSpaceDN w:val="0"/>
              <w:adjustRightInd w:val="0"/>
              <w:spacing w:beforeLines="120" w:before="288" w:afterLines="120" w:after="288" w:line="240" w:lineRule="auto"/>
              <w:jc w:val="both"/>
              <w:rPr>
                <w:rFonts w:ascii="Arial" w:eastAsia="HelveticaNeueLTStd-Cn" w:hAnsi="Arial" w:cs="Arial"/>
              </w:rPr>
            </w:pPr>
            <w:r w:rsidRPr="008D2D42">
              <w:rPr>
                <w:rFonts w:ascii="Arial" w:eastAsia="HelveticaNeueLTStd-Cn" w:hAnsi="Arial" w:cs="Arial"/>
              </w:rPr>
              <w:t xml:space="preserve">Advise on nutritional implication of ARV drugs </w:t>
            </w:r>
          </w:p>
          <w:p w:rsidR="0071027C" w:rsidRPr="008D2D42" w:rsidRDefault="0071027C" w:rsidP="00AA771C">
            <w:pPr>
              <w:widowControl/>
              <w:numPr>
                <w:ilvl w:val="0"/>
                <w:numId w:val="125"/>
              </w:numPr>
              <w:autoSpaceDE w:val="0"/>
              <w:autoSpaceDN w:val="0"/>
              <w:adjustRightInd w:val="0"/>
              <w:spacing w:beforeLines="120" w:before="288" w:afterLines="120" w:after="288" w:line="240" w:lineRule="auto"/>
              <w:jc w:val="both"/>
              <w:rPr>
                <w:rFonts w:ascii="Arial" w:eastAsia="HelveticaNeueLTStd-Cn" w:hAnsi="Arial" w:cs="Arial"/>
              </w:rPr>
            </w:pPr>
            <w:r w:rsidRPr="008D2D42">
              <w:rPr>
                <w:rFonts w:ascii="Arial" w:eastAsia="HelveticaNeueLTStd-Cn" w:hAnsi="Arial" w:cs="Arial"/>
              </w:rPr>
              <w:t xml:space="preserve">Provide therapeutic food when moderately  or severely  malnourished </w:t>
            </w:r>
          </w:p>
          <w:p w:rsidR="0071027C" w:rsidRPr="008D2D42" w:rsidRDefault="0071027C" w:rsidP="00AA771C">
            <w:pPr>
              <w:autoSpaceDE w:val="0"/>
              <w:autoSpaceDN w:val="0"/>
              <w:adjustRightInd w:val="0"/>
              <w:spacing w:beforeLines="120" w:before="288" w:afterLines="120" w:after="288" w:line="240" w:lineRule="auto"/>
              <w:jc w:val="both"/>
              <w:rPr>
                <w:rFonts w:ascii="Arial" w:eastAsia="HelveticaNeueLTStd-Cn" w:hAnsi="Arial" w:cs="Arial"/>
              </w:rPr>
            </w:pPr>
          </w:p>
          <w:p w:rsidR="0071027C" w:rsidRPr="008D2D42" w:rsidRDefault="0071027C" w:rsidP="00AA771C">
            <w:pPr>
              <w:spacing w:beforeLines="120" w:before="288" w:afterLines="120" w:after="288" w:line="240" w:lineRule="auto"/>
              <w:jc w:val="both"/>
              <w:rPr>
                <w:rFonts w:ascii="Arial" w:hAnsi="Arial" w:cs="Arial"/>
                <w:b/>
              </w:rPr>
            </w:pPr>
          </w:p>
        </w:tc>
      </w:tr>
      <w:tr w:rsidR="0071027C" w:rsidRPr="008D2D42" w:rsidTr="0071027C">
        <w:tc>
          <w:tcPr>
            <w:tcW w:w="1908" w:type="dxa"/>
            <w:shd w:val="clear" w:color="auto" w:fill="D9D9D9"/>
          </w:tcPr>
          <w:p w:rsidR="0071027C" w:rsidRPr="008D2D42" w:rsidRDefault="0071027C" w:rsidP="00AA771C">
            <w:pPr>
              <w:spacing w:beforeLines="120" w:before="288" w:afterLines="120" w:after="288"/>
              <w:jc w:val="both"/>
              <w:rPr>
                <w:rFonts w:ascii="Arial" w:hAnsi="Arial" w:cs="Arial"/>
                <w:b/>
              </w:rPr>
            </w:pPr>
            <w:r w:rsidRPr="008D2D42">
              <w:rPr>
                <w:rFonts w:ascii="Arial" w:hAnsi="Arial" w:cs="Arial"/>
              </w:rPr>
              <w:t>Late stage (stage 4 of WHO clinical staging)</w:t>
            </w:r>
          </w:p>
        </w:tc>
        <w:tc>
          <w:tcPr>
            <w:tcW w:w="2970" w:type="dxa"/>
            <w:shd w:val="clear" w:color="auto" w:fill="D9D9D9"/>
          </w:tcPr>
          <w:p w:rsidR="0071027C" w:rsidRPr="008D2D42" w:rsidRDefault="0071027C" w:rsidP="00AA771C">
            <w:pPr>
              <w:widowControl/>
              <w:numPr>
                <w:ilvl w:val="0"/>
                <w:numId w:val="128"/>
              </w:numPr>
              <w:spacing w:beforeLines="120" w:before="288" w:afterLines="120" w:after="288"/>
              <w:jc w:val="both"/>
              <w:rPr>
                <w:rFonts w:ascii="Arial" w:hAnsi="Arial" w:cs="Arial"/>
              </w:rPr>
            </w:pPr>
            <w:r w:rsidRPr="008D2D42">
              <w:rPr>
                <w:rFonts w:ascii="Arial" w:hAnsi="Arial" w:cs="Arial"/>
              </w:rPr>
              <w:t xml:space="preserve">Weight loss </w:t>
            </w:r>
          </w:p>
          <w:p w:rsidR="0071027C" w:rsidRPr="008D2D42" w:rsidRDefault="0071027C" w:rsidP="00AA771C">
            <w:pPr>
              <w:widowControl/>
              <w:numPr>
                <w:ilvl w:val="0"/>
                <w:numId w:val="128"/>
              </w:numPr>
              <w:spacing w:beforeLines="120" w:before="288" w:afterLines="120" w:after="288"/>
              <w:jc w:val="both"/>
              <w:rPr>
                <w:rFonts w:ascii="Arial" w:hAnsi="Arial" w:cs="Arial"/>
                <w:b/>
              </w:rPr>
            </w:pPr>
            <w:r w:rsidRPr="008D2D42">
              <w:rPr>
                <w:rFonts w:ascii="Arial" w:hAnsi="Arial" w:cs="Arial"/>
              </w:rPr>
              <w:t>Symptomatic</w:t>
            </w:r>
          </w:p>
        </w:tc>
        <w:tc>
          <w:tcPr>
            <w:tcW w:w="4860" w:type="dxa"/>
            <w:shd w:val="clear" w:color="auto" w:fill="D9D9D9"/>
          </w:tcPr>
          <w:p w:rsidR="0071027C" w:rsidRPr="008D2D42" w:rsidRDefault="0071027C" w:rsidP="00AA771C">
            <w:pPr>
              <w:widowControl/>
              <w:numPr>
                <w:ilvl w:val="0"/>
                <w:numId w:val="125"/>
              </w:numPr>
              <w:autoSpaceDE w:val="0"/>
              <w:autoSpaceDN w:val="0"/>
              <w:adjustRightInd w:val="0"/>
              <w:spacing w:beforeLines="120" w:before="288" w:afterLines="120" w:after="288" w:line="240" w:lineRule="auto"/>
              <w:jc w:val="both"/>
              <w:rPr>
                <w:rFonts w:ascii="Arial" w:eastAsia="HelveticaNeueLTStd-Cn" w:hAnsi="Arial" w:cs="Arial"/>
              </w:rPr>
            </w:pPr>
            <w:r w:rsidRPr="008D2D42">
              <w:rPr>
                <w:rFonts w:ascii="Arial" w:eastAsia="HelveticaNeueLTStd-Cn" w:hAnsi="Arial" w:cs="Arial"/>
              </w:rPr>
              <w:t>Advise on treating opportunistic infections</w:t>
            </w:r>
          </w:p>
          <w:p w:rsidR="0071027C" w:rsidRPr="008D2D42" w:rsidRDefault="0071027C" w:rsidP="00AA771C">
            <w:pPr>
              <w:widowControl/>
              <w:numPr>
                <w:ilvl w:val="0"/>
                <w:numId w:val="125"/>
              </w:numPr>
              <w:autoSpaceDE w:val="0"/>
              <w:autoSpaceDN w:val="0"/>
              <w:adjustRightInd w:val="0"/>
              <w:spacing w:beforeLines="120" w:before="288" w:afterLines="120" w:after="288" w:line="240" w:lineRule="auto"/>
              <w:jc w:val="both"/>
              <w:rPr>
                <w:rFonts w:ascii="Arial" w:eastAsia="HelveticaNeueLTStd-Cn" w:hAnsi="Arial" w:cs="Arial"/>
              </w:rPr>
            </w:pPr>
            <w:r w:rsidRPr="008D2D42">
              <w:rPr>
                <w:rFonts w:ascii="Arial" w:eastAsia="HelveticaNeueLTStd-Cn" w:hAnsi="Arial" w:cs="Arial"/>
              </w:rPr>
              <w:t>Counsel to modify diet according to symptoms</w:t>
            </w:r>
          </w:p>
          <w:p w:rsidR="0071027C" w:rsidRPr="008D2D42" w:rsidRDefault="0071027C" w:rsidP="00AA771C">
            <w:pPr>
              <w:widowControl/>
              <w:numPr>
                <w:ilvl w:val="0"/>
                <w:numId w:val="125"/>
              </w:numPr>
              <w:autoSpaceDE w:val="0"/>
              <w:autoSpaceDN w:val="0"/>
              <w:adjustRightInd w:val="0"/>
              <w:spacing w:beforeLines="120" w:before="288" w:afterLines="120" w:after="288" w:line="240" w:lineRule="auto"/>
              <w:jc w:val="both"/>
              <w:rPr>
                <w:rFonts w:ascii="Arial" w:eastAsia="HelveticaNeueLTStd-Cn" w:hAnsi="Arial" w:cs="Arial"/>
              </w:rPr>
            </w:pPr>
            <w:r w:rsidRPr="008D2D42">
              <w:rPr>
                <w:rFonts w:ascii="Arial" w:eastAsia="HelveticaNeueLTStd-Cn" w:hAnsi="Arial" w:cs="Arial"/>
              </w:rPr>
              <w:t>Counsel on healthy  lifestyle</w:t>
            </w:r>
          </w:p>
          <w:p w:rsidR="0071027C" w:rsidRPr="008D2D42" w:rsidRDefault="0071027C" w:rsidP="00AA771C">
            <w:pPr>
              <w:widowControl/>
              <w:numPr>
                <w:ilvl w:val="0"/>
                <w:numId w:val="125"/>
              </w:numPr>
              <w:autoSpaceDE w:val="0"/>
              <w:autoSpaceDN w:val="0"/>
              <w:adjustRightInd w:val="0"/>
              <w:spacing w:beforeLines="120" w:before="288" w:afterLines="120" w:after="288" w:line="240" w:lineRule="auto"/>
              <w:jc w:val="both"/>
              <w:rPr>
                <w:rFonts w:ascii="Arial" w:eastAsia="HelveticaNeueLTStd-Cn" w:hAnsi="Arial" w:cs="Arial"/>
              </w:rPr>
            </w:pPr>
            <w:r w:rsidRPr="008D2D42">
              <w:rPr>
                <w:rFonts w:ascii="Arial" w:eastAsia="HelveticaNeueLTStd-Cn" w:hAnsi="Arial" w:cs="Arial"/>
              </w:rPr>
              <w:t>Advise on food safety and hygiene</w:t>
            </w:r>
          </w:p>
          <w:p w:rsidR="0071027C" w:rsidRPr="008D2D42" w:rsidRDefault="0071027C" w:rsidP="00AA771C">
            <w:pPr>
              <w:widowControl/>
              <w:numPr>
                <w:ilvl w:val="0"/>
                <w:numId w:val="125"/>
              </w:numPr>
              <w:autoSpaceDE w:val="0"/>
              <w:autoSpaceDN w:val="0"/>
              <w:adjustRightInd w:val="0"/>
              <w:spacing w:beforeLines="120" w:before="288" w:afterLines="120" w:after="288" w:line="240" w:lineRule="auto"/>
              <w:jc w:val="both"/>
              <w:rPr>
                <w:rFonts w:ascii="Arial" w:eastAsia="HelveticaNeueLTStd-Cn" w:hAnsi="Arial" w:cs="Arial"/>
              </w:rPr>
            </w:pPr>
            <w:r w:rsidRPr="008D2D42">
              <w:rPr>
                <w:rFonts w:ascii="Arial" w:eastAsia="HelveticaNeueLTStd-Cn" w:hAnsi="Arial" w:cs="Arial"/>
              </w:rPr>
              <w:t xml:space="preserve">Advise on nutritional implication of ARV drugs </w:t>
            </w:r>
          </w:p>
          <w:p w:rsidR="0071027C" w:rsidRPr="008D2D42" w:rsidRDefault="0071027C" w:rsidP="00AA771C">
            <w:pPr>
              <w:widowControl/>
              <w:numPr>
                <w:ilvl w:val="0"/>
                <w:numId w:val="125"/>
              </w:numPr>
              <w:autoSpaceDE w:val="0"/>
              <w:autoSpaceDN w:val="0"/>
              <w:adjustRightInd w:val="0"/>
              <w:spacing w:beforeLines="120" w:before="288" w:afterLines="120" w:after="288" w:line="240" w:lineRule="auto"/>
              <w:jc w:val="both"/>
              <w:rPr>
                <w:rFonts w:ascii="Arial" w:eastAsia="HelveticaNeueLTStd-Cn" w:hAnsi="Arial" w:cs="Arial"/>
              </w:rPr>
            </w:pPr>
            <w:r w:rsidRPr="008D2D42">
              <w:rPr>
                <w:rFonts w:ascii="Arial" w:eastAsia="HelveticaNeueLTStd-Cn" w:hAnsi="Arial" w:cs="Arial"/>
              </w:rPr>
              <w:t xml:space="preserve">Provide therapeutic food when moderately  or severely  malnourished </w:t>
            </w:r>
          </w:p>
        </w:tc>
      </w:tr>
    </w:tbl>
    <w:p w:rsidR="0071027C" w:rsidRPr="00C203F3" w:rsidRDefault="0071027C" w:rsidP="00AA771C">
      <w:pPr>
        <w:pStyle w:val="Heading2"/>
        <w:spacing w:beforeLines="120" w:before="288" w:afterLines="120" w:after="288"/>
        <w:jc w:val="both"/>
        <w:rPr>
          <w:rFonts w:ascii="Arial Narrow" w:eastAsia="Calibri" w:hAnsi="Arial Narrow"/>
          <w:bCs w:val="0"/>
          <w:color w:val="auto"/>
          <w:sz w:val="24"/>
          <w:szCs w:val="24"/>
        </w:rPr>
      </w:pPr>
    </w:p>
    <w:p w:rsidR="0071027C" w:rsidRPr="008D2D42" w:rsidRDefault="0071027C" w:rsidP="0071027C">
      <w:pPr>
        <w:pStyle w:val="Heading2"/>
      </w:pPr>
      <w:bookmarkStart w:id="994" w:name="_Toc378258292"/>
      <w:bookmarkStart w:id="995" w:name="_Toc382214155"/>
      <w:r w:rsidRPr="008D2D42">
        <w:t>13.3</w:t>
      </w:r>
      <w:r w:rsidRPr="008D2D42">
        <w:tab/>
        <w:t>Nutrient requirements for People Living with HIV (PLHIV)</w:t>
      </w:r>
      <w:bookmarkEnd w:id="994"/>
      <w:bookmarkEnd w:id="995"/>
    </w:p>
    <w:p w:rsidR="0071027C" w:rsidRPr="008D2D42" w:rsidRDefault="0071027C" w:rsidP="0071027C">
      <w:pPr>
        <w:spacing w:before="120" w:after="120" w:line="240" w:lineRule="auto"/>
        <w:jc w:val="both"/>
        <w:rPr>
          <w:rFonts w:ascii="Arial" w:hAnsi="Arial" w:cs="Arial"/>
        </w:rPr>
      </w:pPr>
      <w:r w:rsidRPr="008D2D42">
        <w:rPr>
          <w:rFonts w:ascii="Arial" w:hAnsi="Arial" w:cs="Arial"/>
          <w:b/>
        </w:rPr>
        <w:t>Energy requirements:</w:t>
      </w:r>
      <w:r w:rsidRPr="008D2D42">
        <w:rPr>
          <w:rFonts w:ascii="Arial" w:hAnsi="Arial" w:cs="Arial"/>
        </w:rPr>
        <w:t xml:space="preserve"> The HIV infected person has additional energy needs because of:</w:t>
      </w:r>
    </w:p>
    <w:p w:rsidR="0071027C" w:rsidRPr="008D2D42" w:rsidRDefault="0071027C" w:rsidP="00274941">
      <w:pPr>
        <w:widowControl/>
        <w:numPr>
          <w:ilvl w:val="0"/>
          <w:numId w:val="123"/>
        </w:numPr>
        <w:spacing w:after="0" w:line="240" w:lineRule="auto"/>
        <w:jc w:val="both"/>
        <w:rPr>
          <w:rFonts w:ascii="Arial" w:hAnsi="Arial" w:cs="Arial"/>
        </w:rPr>
      </w:pPr>
      <w:r w:rsidRPr="008D2D42">
        <w:rPr>
          <w:rFonts w:ascii="Arial" w:hAnsi="Arial" w:cs="Arial"/>
        </w:rPr>
        <w:t>Increased and altered metabolism</w:t>
      </w:r>
    </w:p>
    <w:p w:rsidR="0071027C" w:rsidRPr="008D2D42" w:rsidRDefault="0071027C" w:rsidP="00274941">
      <w:pPr>
        <w:widowControl/>
        <w:numPr>
          <w:ilvl w:val="0"/>
          <w:numId w:val="123"/>
        </w:numPr>
        <w:spacing w:after="0" w:line="240" w:lineRule="auto"/>
        <w:jc w:val="both"/>
        <w:rPr>
          <w:rFonts w:ascii="Arial" w:hAnsi="Arial" w:cs="Arial"/>
        </w:rPr>
      </w:pPr>
      <w:r w:rsidRPr="008D2D42">
        <w:rPr>
          <w:rFonts w:ascii="Arial" w:hAnsi="Arial" w:cs="Arial"/>
        </w:rPr>
        <w:t>Nutrient malabsorption</w:t>
      </w:r>
    </w:p>
    <w:p w:rsidR="0071027C" w:rsidRPr="008D2D42" w:rsidRDefault="0071027C" w:rsidP="0071027C">
      <w:pPr>
        <w:spacing w:before="120" w:after="120" w:line="240" w:lineRule="auto"/>
        <w:jc w:val="both"/>
        <w:rPr>
          <w:rFonts w:ascii="Arial" w:hAnsi="Arial" w:cs="Arial"/>
        </w:rPr>
      </w:pPr>
      <w:r w:rsidRPr="008D2D42">
        <w:rPr>
          <w:rFonts w:ascii="Arial" w:hAnsi="Arial" w:cs="Arial"/>
        </w:rPr>
        <w:t>In the absence of symptoms (WHO Stage 1), HIV-infected persons should increase energy intake by 10% to 20% percent over the level of energy intake recommended for HIV uninfected persons of the same age, sex and physical activity level.</w:t>
      </w:r>
    </w:p>
    <w:p w:rsidR="0071027C" w:rsidRPr="008D2D42" w:rsidRDefault="0071027C" w:rsidP="0071027C">
      <w:pPr>
        <w:spacing w:before="120" w:after="120" w:line="240" w:lineRule="auto"/>
        <w:jc w:val="both"/>
        <w:rPr>
          <w:rFonts w:ascii="Arial" w:hAnsi="Arial" w:cs="Arial"/>
        </w:rPr>
      </w:pPr>
      <w:r w:rsidRPr="008D2D42">
        <w:rPr>
          <w:rFonts w:ascii="Arial" w:hAnsi="Arial" w:cs="Arial"/>
        </w:rPr>
        <w:t>In the presence of symptoms (WHO Stage 2 and above), HIV-infected persons, including those taking ARVs, should increase energy intake by 20-30% over the level of energy intake recommended for HIV uninfected persons of the same age, sex and physical activity level.</w:t>
      </w:r>
    </w:p>
    <w:p w:rsidR="0071027C" w:rsidRPr="008D2D42" w:rsidRDefault="0071027C" w:rsidP="0071027C">
      <w:pPr>
        <w:spacing w:before="120" w:after="120" w:line="240" w:lineRule="auto"/>
        <w:jc w:val="both"/>
        <w:rPr>
          <w:rFonts w:ascii="Arial" w:hAnsi="Arial" w:cs="Arial"/>
        </w:rPr>
      </w:pPr>
      <w:r w:rsidRPr="008D2D42">
        <w:rPr>
          <w:rFonts w:ascii="Arial" w:hAnsi="Arial" w:cs="Arial"/>
          <w:b/>
        </w:rPr>
        <w:t>Protein requirements:</w:t>
      </w:r>
      <w:r w:rsidRPr="008D2D42">
        <w:rPr>
          <w:rFonts w:ascii="Arial" w:hAnsi="Arial" w:cs="Arial"/>
        </w:rPr>
        <w:t xml:space="preserve"> HIV-infected persons do not require more protein than the level recommended for HIV uninfected persons of the same age, sex and physical activities level.</w:t>
      </w:r>
    </w:p>
    <w:p w:rsidR="0071027C" w:rsidRPr="008D2D42" w:rsidRDefault="0071027C" w:rsidP="0071027C">
      <w:pPr>
        <w:spacing w:before="120" w:after="120" w:line="240" w:lineRule="auto"/>
        <w:jc w:val="both"/>
        <w:rPr>
          <w:rFonts w:ascii="Arial" w:eastAsia="GaramondPremrPro" w:hAnsi="Arial" w:cs="Arial"/>
          <w:b/>
        </w:rPr>
      </w:pPr>
      <w:r w:rsidRPr="008D2D42">
        <w:rPr>
          <w:rFonts w:ascii="Arial" w:hAnsi="Arial" w:cs="Arial"/>
          <w:b/>
        </w:rPr>
        <w:t xml:space="preserve">Micronutrient requirements: </w:t>
      </w:r>
    </w:p>
    <w:p w:rsidR="0071027C" w:rsidRPr="008D2D42" w:rsidRDefault="0071027C" w:rsidP="0071027C">
      <w:pPr>
        <w:spacing w:before="120" w:after="120" w:line="240" w:lineRule="auto"/>
        <w:jc w:val="both"/>
        <w:rPr>
          <w:rFonts w:ascii="Arial" w:hAnsi="Arial" w:cs="Arial"/>
        </w:rPr>
      </w:pPr>
      <w:r w:rsidRPr="008D2D42">
        <w:rPr>
          <w:rFonts w:ascii="Arial" w:eastAsia="GaramondPremrPro" w:hAnsi="Arial" w:cs="Arial"/>
        </w:rPr>
        <w:t>HIV infected individuals are encouraged to include a variety of foods in the diet to prevent deficiency. There is evidence that some micronutrient supplements such as vitamin A, zinc and iron at higher doses may produce adverse outcomes in HIV-infected persons (see also Annex 7, The Role and Sources of Selected Micronutrients for additional information).</w:t>
      </w:r>
      <w:r w:rsidRPr="008D2D42">
        <w:rPr>
          <w:rFonts w:ascii="Arial" w:hAnsi="Arial" w:cs="Arial"/>
        </w:rPr>
        <w:t>.</w:t>
      </w:r>
    </w:p>
    <w:p w:rsidR="0071027C" w:rsidRPr="00C203F3" w:rsidRDefault="0071027C" w:rsidP="00AA771C">
      <w:pPr>
        <w:pStyle w:val="Heading2"/>
        <w:spacing w:beforeLines="120" w:before="288" w:afterLines="120" w:after="288"/>
        <w:jc w:val="both"/>
        <w:rPr>
          <w:rFonts w:ascii="Arial Narrow" w:hAnsi="Arial Narrow"/>
          <w:sz w:val="24"/>
          <w:szCs w:val="24"/>
        </w:rPr>
      </w:pPr>
      <w:bookmarkStart w:id="996" w:name="_Toc378258293"/>
      <w:bookmarkStart w:id="997" w:name="_Toc382214156"/>
      <w:r w:rsidRPr="00C203F3">
        <w:rPr>
          <w:rFonts w:ascii="Arial Narrow" w:hAnsi="Arial Narrow"/>
          <w:sz w:val="24"/>
          <w:szCs w:val="24"/>
        </w:rPr>
        <w:t>13.4 Healthy eating for people living with HIV</w:t>
      </w:r>
      <w:bookmarkEnd w:id="996"/>
      <w:bookmarkEnd w:id="997"/>
    </w:p>
    <w:p w:rsidR="0071027C" w:rsidRPr="008D2D42" w:rsidRDefault="0071027C" w:rsidP="00AA771C">
      <w:pPr>
        <w:spacing w:beforeLines="120" w:before="288" w:afterLines="120" w:after="288"/>
        <w:jc w:val="both"/>
        <w:rPr>
          <w:rFonts w:ascii="Arial" w:hAnsi="Arial" w:cs="Arial"/>
        </w:rPr>
      </w:pPr>
      <w:r w:rsidRPr="008D2D42">
        <w:rPr>
          <w:rFonts w:ascii="Arial" w:hAnsi="Arial" w:cs="Arial"/>
        </w:rPr>
        <w:t xml:space="preserve">People living with HIV are encouraged to include foods from different food groups at each meal. </w:t>
      </w:r>
    </w:p>
    <w:p w:rsidR="0071027C" w:rsidRPr="008D2D42" w:rsidRDefault="0071027C" w:rsidP="00AA771C">
      <w:pPr>
        <w:pStyle w:val="NormalWeb"/>
        <w:spacing w:beforeLines="120" w:before="288" w:beforeAutospacing="0" w:afterLines="120" w:after="288" w:afterAutospacing="0" w:line="276" w:lineRule="auto"/>
        <w:ind w:left="1260" w:hanging="1260"/>
        <w:jc w:val="both"/>
        <w:rPr>
          <w:rFonts w:ascii="Arial" w:hAnsi="Arial" w:cs="Arial"/>
          <w:color w:val="000000"/>
          <w:sz w:val="22"/>
          <w:szCs w:val="22"/>
        </w:rPr>
      </w:pPr>
      <w:r w:rsidRPr="008D2D42">
        <w:rPr>
          <w:rFonts w:ascii="Arial" w:hAnsi="Arial" w:cs="Arial"/>
          <w:color w:val="000000"/>
          <w:sz w:val="22"/>
          <w:szCs w:val="22"/>
        </w:rPr>
        <w:t>Variety</w:t>
      </w:r>
      <w:r w:rsidRPr="008D2D42">
        <w:rPr>
          <w:rFonts w:ascii="Arial" w:hAnsi="Arial" w:cs="Arial"/>
          <w:color w:val="000000"/>
          <w:sz w:val="22"/>
          <w:szCs w:val="22"/>
        </w:rPr>
        <w:tab/>
        <w:t>-</w:t>
      </w:r>
      <w:r w:rsidRPr="008D2D42">
        <w:rPr>
          <w:rFonts w:ascii="Arial" w:hAnsi="Arial" w:cs="Arial"/>
          <w:color w:val="000000"/>
          <w:sz w:val="22"/>
          <w:szCs w:val="22"/>
        </w:rPr>
        <w:tab/>
        <w:t>Recommend choosing different types of food within each food group whenever possible.</w:t>
      </w:r>
    </w:p>
    <w:p w:rsidR="0071027C" w:rsidRPr="008D2D42" w:rsidRDefault="0071027C" w:rsidP="00AA771C">
      <w:pPr>
        <w:pStyle w:val="NormalWeb"/>
        <w:tabs>
          <w:tab w:val="left" w:pos="1260"/>
        </w:tabs>
        <w:spacing w:beforeLines="120" w:before="288" w:beforeAutospacing="0" w:afterLines="120" w:after="288" w:afterAutospacing="0" w:line="276" w:lineRule="auto"/>
        <w:ind w:left="1260" w:hanging="1260"/>
        <w:jc w:val="both"/>
        <w:rPr>
          <w:rFonts w:ascii="Arial" w:hAnsi="Arial" w:cs="Arial"/>
          <w:color w:val="000000"/>
          <w:sz w:val="22"/>
          <w:szCs w:val="22"/>
        </w:rPr>
      </w:pPr>
      <w:r w:rsidRPr="008D2D42">
        <w:rPr>
          <w:rFonts w:ascii="Arial" w:hAnsi="Arial" w:cs="Arial"/>
          <w:color w:val="000000"/>
          <w:sz w:val="22"/>
          <w:szCs w:val="22"/>
        </w:rPr>
        <w:t>Balance</w:t>
      </w:r>
      <w:r w:rsidRPr="008D2D42">
        <w:rPr>
          <w:rFonts w:ascii="Arial" w:hAnsi="Arial" w:cs="Arial"/>
          <w:color w:val="000000"/>
          <w:sz w:val="22"/>
          <w:szCs w:val="22"/>
        </w:rPr>
        <w:tab/>
        <w:t>- Recommend choosing foods from all food groups according to the recommended amounts.</w:t>
      </w:r>
    </w:p>
    <w:p w:rsidR="0071027C" w:rsidRPr="008D2D42" w:rsidRDefault="0071027C" w:rsidP="00AA771C">
      <w:pPr>
        <w:spacing w:beforeLines="120" w:before="288" w:afterLines="120" w:after="288"/>
        <w:ind w:left="1260" w:hanging="1260"/>
        <w:jc w:val="both"/>
        <w:rPr>
          <w:rFonts w:ascii="Arial" w:hAnsi="Arial" w:cs="Arial"/>
        </w:rPr>
      </w:pPr>
      <w:r w:rsidRPr="008D2D42">
        <w:rPr>
          <w:rFonts w:ascii="Arial" w:hAnsi="Arial" w:cs="Arial"/>
          <w:color w:val="000000"/>
        </w:rPr>
        <w:t>Moderation</w:t>
      </w:r>
      <w:r w:rsidRPr="008D2D42">
        <w:rPr>
          <w:rFonts w:ascii="Arial" w:hAnsi="Arial" w:cs="Arial"/>
          <w:color w:val="000000"/>
        </w:rPr>
        <w:tab/>
        <w:t>– Recommend controlling portion size so that balance and variety are possible. This is essential to avoid obesity or under nutrition</w:t>
      </w:r>
    </w:p>
    <w:p w:rsidR="0071027C" w:rsidRPr="00C203F3" w:rsidRDefault="0071027C" w:rsidP="00AA771C">
      <w:pPr>
        <w:spacing w:beforeLines="120" w:before="288" w:afterLines="120" w:after="288"/>
        <w:jc w:val="both"/>
        <w:rPr>
          <w:rFonts w:ascii="Arial Narrow" w:hAnsi="Arial Narrow"/>
          <w:b/>
          <w:sz w:val="24"/>
          <w:szCs w:val="24"/>
        </w:rPr>
      </w:pPr>
    </w:p>
    <w:p w:rsidR="0071027C" w:rsidRPr="008D2D42" w:rsidRDefault="0071027C" w:rsidP="0071027C">
      <w:pPr>
        <w:spacing w:before="120" w:after="120" w:line="240" w:lineRule="auto"/>
        <w:jc w:val="both"/>
        <w:rPr>
          <w:rFonts w:ascii="Arial" w:hAnsi="Arial" w:cs="Arial"/>
          <w:b/>
          <w:sz w:val="24"/>
          <w:szCs w:val="24"/>
        </w:rPr>
      </w:pPr>
      <w:r w:rsidRPr="008D2D42">
        <w:rPr>
          <w:rFonts w:ascii="Arial" w:hAnsi="Arial" w:cs="Arial"/>
          <w:b/>
          <w:sz w:val="24"/>
          <w:szCs w:val="24"/>
        </w:rPr>
        <w:t>The main food groups are:</w:t>
      </w:r>
    </w:p>
    <w:p w:rsidR="0071027C" w:rsidRPr="008D2D42" w:rsidRDefault="0071027C" w:rsidP="00274941">
      <w:pPr>
        <w:widowControl/>
        <w:numPr>
          <w:ilvl w:val="0"/>
          <w:numId w:val="124"/>
        </w:numPr>
        <w:spacing w:after="0" w:line="240" w:lineRule="auto"/>
        <w:jc w:val="both"/>
        <w:rPr>
          <w:rFonts w:ascii="Arial" w:hAnsi="Arial" w:cs="Arial"/>
          <w:sz w:val="24"/>
          <w:szCs w:val="24"/>
        </w:rPr>
      </w:pPr>
      <w:r w:rsidRPr="008D2D42">
        <w:rPr>
          <w:rFonts w:ascii="Arial" w:hAnsi="Arial" w:cs="Arial"/>
          <w:sz w:val="24"/>
          <w:szCs w:val="24"/>
        </w:rPr>
        <w:t xml:space="preserve">Cereals, roots, tubers and cooking bananas: these include maize, millet, rice, sorghum, cassava, yams, potatoes and bananas. </w:t>
      </w:r>
    </w:p>
    <w:p w:rsidR="0071027C" w:rsidRPr="008D2D42" w:rsidRDefault="0071027C" w:rsidP="00274941">
      <w:pPr>
        <w:widowControl/>
        <w:numPr>
          <w:ilvl w:val="0"/>
          <w:numId w:val="124"/>
        </w:numPr>
        <w:autoSpaceDE w:val="0"/>
        <w:autoSpaceDN w:val="0"/>
        <w:adjustRightInd w:val="0"/>
        <w:spacing w:after="0" w:line="240" w:lineRule="auto"/>
        <w:jc w:val="both"/>
        <w:rPr>
          <w:rFonts w:ascii="Arial" w:hAnsi="Arial" w:cs="Arial"/>
          <w:sz w:val="24"/>
          <w:szCs w:val="24"/>
        </w:rPr>
      </w:pPr>
      <w:r w:rsidRPr="008D2D42">
        <w:rPr>
          <w:rFonts w:ascii="Arial" w:hAnsi="Arial" w:cs="Arial"/>
          <w:sz w:val="24"/>
          <w:szCs w:val="24"/>
        </w:rPr>
        <w:t xml:space="preserve">Legumes, nuts and foods of animal origin: </w:t>
      </w:r>
      <w:r w:rsidRPr="008D2D42">
        <w:rPr>
          <w:rFonts w:ascii="Arial" w:eastAsia="GaramondPremrPro" w:hAnsi="Arial" w:cs="Arial"/>
          <w:sz w:val="24"/>
          <w:szCs w:val="24"/>
        </w:rPr>
        <w:t>these include groundnuts, cashew nuts, beans, peas, meat and products, sea food, milk and products, poultry, eggs and edible insects such as terminte (</w:t>
      </w:r>
      <w:r w:rsidRPr="008D2D42">
        <w:rPr>
          <w:rFonts w:ascii="Arial" w:eastAsia="GaramondPremrPro" w:hAnsi="Arial" w:cs="Arial"/>
          <w:i/>
          <w:sz w:val="24"/>
          <w:szCs w:val="24"/>
        </w:rPr>
        <w:t>locally known as senene and kumbikumbi</w:t>
      </w:r>
      <w:r w:rsidRPr="008D2D42">
        <w:rPr>
          <w:rFonts w:ascii="Arial" w:eastAsia="GaramondPremrPro" w:hAnsi="Arial" w:cs="Arial"/>
          <w:sz w:val="24"/>
          <w:szCs w:val="24"/>
        </w:rPr>
        <w:t>)</w:t>
      </w:r>
    </w:p>
    <w:p w:rsidR="0071027C" w:rsidRPr="008D2D42" w:rsidRDefault="0071027C" w:rsidP="00274941">
      <w:pPr>
        <w:widowControl/>
        <w:numPr>
          <w:ilvl w:val="0"/>
          <w:numId w:val="124"/>
        </w:numPr>
        <w:spacing w:after="0" w:line="240" w:lineRule="auto"/>
        <w:jc w:val="both"/>
        <w:rPr>
          <w:rFonts w:ascii="Arial" w:hAnsi="Arial" w:cs="Arial"/>
          <w:sz w:val="24"/>
          <w:szCs w:val="24"/>
        </w:rPr>
      </w:pPr>
      <w:r w:rsidRPr="008D2D42">
        <w:rPr>
          <w:rFonts w:ascii="Arial" w:hAnsi="Arial" w:cs="Arial"/>
          <w:sz w:val="24"/>
          <w:szCs w:val="24"/>
        </w:rPr>
        <w:t>Fruits: these include all types of fruits commercial and indigenous such as mangoes, oranges, guava, tangerines, bananas, baobab fruit (</w:t>
      </w:r>
      <w:r w:rsidRPr="008D2D42">
        <w:rPr>
          <w:rFonts w:ascii="Arial" w:hAnsi="Arial" w:cs="Arial"/>
          <w:i/>
          <w:sz w:val="24"/>
          <w:szCs w:val="24"/>
        </w:rPr>
        <w:t>ubuyu</w:t>
      </w:r>
      <w:r w:rsidRPr="008D2D42">
        <w:rPr>
          <w:rFonts w:ascii="Arial" w:hAnsi="Arial" w:cs="Arial"/>
          <w:sz w:val="24"/>
          <w:szCs w:val="24"/>
        </w:rPr>
        <w:t xml:space="preserve">), tamarind </w:t>
      </w:r>
      <w:r w:rsidRPr="008D2D42">
        <w:rPr>
          <w:rFonts w:ascii="Arial" w:hAnsi="Arial" w:cs="Arial"/>
          <w:i/>
          <w:sz w:val="24"/>
          <w:szCs w:val="24"/>
        </w:rPr>
        <w:t>ukwaju, mabungo</w:t>
      </w:r>
      <w:r w:rsidRPr="008D2D42">
        <w:rPr>
          <w:rFonts w:ascii="Arial" w:hAnsi="Arial" w:cs="Arial"/>
          <w:sz w:val="24"/>
          <w:szCs w:val="24"/>
        </w:rPr>
        <w:t xml:space="preserve"> etc. They are good sources of vitamins and minerals</w:t>
      </w:r>
    </w:p>
    <w:p w:rsidR="0071027C" w:rsidRPr="008D2D42" w:rsidRDefault="0071027C" w:rsidP="00274941">
      <w:pPr>
        <w:widowControl/>
        <w:numPr>
          <w:ilvl w:val="0"/>
          <w:numId w:val="124"/>
        </w:numPr>
        <w:spacing w:after="0" w:line="240" w:lineRule="auto"/>
        <w:jc w:val="both"/>
        <w:rPr>
          <w:rFonts w:ascii="Arial" w:hAnsi="Arial" w:cs="Arial"/>
          <w:sz w:val="24"/>
          <w:szCs w:val="24"/>
        </w:rPr>
      </w:pPr>
      <w:r w:rsidRPr="008D2D42">
        <w:rPr>
          <w:rFonts w:ascii="Arial" w:hAnsi="Arial" w:cs="Arial"/>
          <w:sz w:val="24"/>
          <w:szCs w:val="24"/>
        </w:rPr>
        <w:t>Vegetables: all types i.e exotic and indigenous vegetables such as sweet potato leaves, pumpkin leaves, tomatoes, amaranth, okra, carrots, pumpkins,(</w:t>
      </w:r>
      <w:r w:rsidRPr="008D2D42">
        <w:rPr>
          <w:rFonts w:ascii="Arial" w:hAnsi="Arial" w:cs="Arial"/>
          <w:i/>
          <w:sz w:val="24"/>
          <w:szCs w:val="24"/>
        </w:rPr>
        <w:t>mlenda</w:t>
      </w:r>
      <w:r w:rsidRPr="008D2D42">
        <w:rPr>
          <w:rFonts w:ascii="Arial" w:hAnsi="Arial" w:cs="Arial"/>
          <w:sz w:val="24"/>
          <w:szCs w:val="24"/>
        </w:rPr>
        <w:t>)  hare lettuce,(</w:t>
      </w:r>
      <w:r w:rsidRPr="008D2D42">
        <w:rPr>
          <w:rFonts w:ascii="Arial" w:hAnsi="Arial" w:cs="Arial"/>
          <w:i/>
          <w:sz w:val="24"/>
          <w:szCs w:val="24"/>
        </w:rPr>
        <w:t>figiri</w:t>
      </w:r>
      <w:r w:rsidRPr="008D2D42">
        <w:rPr>
          <w:rFonts w:ascii="Arial" w:hAnsi="Arial" w:cs="Arial"/>
          <w:sz w:val="24"/>
          <w:szCs w:val="24"/>
        </w:rPr>
        <w:t>) , wild spinach(</w:t>
      </w:r>
      <w:r w:rsidRPr="008D2D42">
        <w:rPr>
          <w:rFonts w:ascii="Arial" w:hAnsi="Arial" w:cs="Arial"/>
          <w:i/>
          <w:sz w:val="24"/>
          <w:szCs w:val="24"/>
        </w:rPr>
        <w:t>mnavu</w:t>
      </w:r>
      <w:r w:rsidRPr="008D2D42">
        <w:rPr>
          <w:rFonts w:ascii="Arial" w:hAnsi="Arial" w:cs="Arial"/>
          <w:sz w:val="24"/>
          <w:szCs w:val="24"/>
        </w:rPr>
        <w:t>). The foods in this group provide vitamins and minerals</w:t>
      </w:r>
    </w:p>
    <w:p w:rsidR="0071027C" w:rsidRPr="008D2D42" w:rsidRDefault="0071027C" w:rsidP="00274941">
      <w:pPr>
        <w:widowControl/>
        <w:numPr>
          <w:ilvl w:val="0"/>
          <w:numId w:val="124"/>
        </w:numPr>
        <w:spacing w:after="0" w:line="240" w:lineRule="auto"/>
        <w:jc w:val="both"/>
        <w:rPr>
          <w:rFonts w:ascii="Arial" w:hAnsi="Arial" w:cs="Arial"/>
          <w:sz w:val="24"/>
          <w:szCs w:val="24"/>
        </w:rPr>
      </w:pPr>
      <w:r w:rsidRPr="008D2D42">
        <w:rPr>
          <w:rFonts w:ascii="Arial" w:hAnsi="Arial" w:cs="Arial"/>
          <w:sz w:val="24"/>
          <w:szCs w:val="24"/>
        </w:rPr>
        <w:t>Sugar, honey, fats and oils</w:t>
      </w:r>
    </w:p>
    <w:p w:rsidR="0071027C" w:rsidRDefault="0071027C" w:rsidP="0071027C">
      <w:pPr>
        <w:spacing w:before="120" w:after="120" w:line="240" w:lineRule="auto"/>
        <w:ind w:left="360"/>
        <w:jc w:val="both"/>
        <w:rPr>
          <w:rFonts w:ascii="Arial" w:hAnsi="Arial" w:cs="Arial"/>
          <w:sz w:val="24"/>
          <w:szCs w:val="24"/>
        </w:rPr>
      </w:pPr>
      <w:r w:rsidRPr="008D2D42">
        <w:rPr>
          <w:rFonts w:ascii="Arial" w:hAnsi="Arial" w:cs="Arial"/>
          <w:sz w:val="24"/>
          <w:szCs w:val="24"/>
        </w:rPr>
        <w:t>These are needed in small amounts; they include ghee, lard, butter, margarine, coconut oil, sunflower, sugars like honey etc. Such foods are very rich in energy</w:t>
      </w:r>
      <w:r>
        <w:rPr>
          <w:rFonts w:ascii="Arial" w:hAnsi="Arial" w:cs="Arial"/>
          <w:sz w:val="24"/>
          <w:szCs w:val="24"/>
        </w:rPr>
        <w:t>.</w:t>
      </w:r>
    </w:p>
    <w:p w:rsidR="0071027C" w:rsidRDefault="0071027C" w:rsidP="0071027C">
      <w:pPr>
        <w:spacing w:before="120"/>
        <w:ind w:left="990" w:hanging="630"/>
        <w:jc w:val="both"/>
        <w:rPr>
          <w:rFonts w:ascii="Arial" w:hAnsi="Arial" w:cs="Arial"/>
          <w:sz w:val="24"/>
          <w:szCs w:val="24"/>
        </w:rPr>
      </w:pPr>
      <w:r w:rsidRPr="003E72E0">
        <w:rPr>
          <w:rFonts w:ascii="Arial" w:hAnsi="Arial" w:cs="Arial"/>
          <w:b/>
          <w:sz w:val="24"/>
          <w:szCs w:val="24"/>
        </w:rPr>
        <w:t>Note:</w:t>
      </w:r>
      <w:r>
        <w:rPr>
          <w:rFonts w:ascii="Arial" w:hAnsi="Arial" w:cs="Arial"/>
          <w:sz w:val="24"/>
          <w:szCs w:val="24"/>
        </w:rPr>
        <w:t xml:space="preserve"> </w:t>
      </w:r>
    </w:p>
    <w:p w:rsidR="0071027C" w:rsidRPr="002D5196" w:rsidRDefault="0071027C" w:rsidP="0071027C">
      <w:pPr>
        <w:spacing w:before="120"/>
        <w:ind w:left="360"/>
        <w:jc w:val="both"/>
        <w:rPr>
          <w:rFonts w:ascii="Arial" w:hAnsi="Arial" w:cs="Arial"/>
        </w:rPr>
      </w:pPr>
      <w:r w:rsidRPr="002D5196">
        <w:rPr>
          <w:rFonts w:ascii="Arial" w:hAnsi="Arial" w:cs="Arial"/>
        </w:rPr>
        <w:t>Although water is not part of the food groups it is important for life and is necessary every day. Water aids digestion, absorption and transportation of nutrients in the body. It is recommended that a person should drink at least eight glasses (1.5 litres) a day.</w:t>
      </w:r>
    </w:p>
    <w:p w:rsidR="0071027C" w:rsidRDefault="0071027C" w:rsidP="0071027C">
      <w:pPr>
        <w:spacing w:before="120"/>
        <w:ind w:left="360"/>
        <w:jc w:val="both"/>
      </w:pPr>
      <w:r w:rsidRPr="002D5196">
        <w:rPr>
          <w:rFonts w:ascii="Arial" w:hAnsi="Arial" w:cs="Arial"/>
        </w:rPr>
        <w:t>There is no single food that contains all the nutrients that the body needs, except breast milk for infants up to six months of age. For a balanced meal use at least one type of food from each food group.</w:t>
      </w:r>
    </w:p>
    <w:p w:rsidR="0071027C" w:rsidRPr="00C203F3" w:rsidRDefault="0071027C" w:rsidP="00AA771C">
      <w:pPr>
        <w:spacing w:beforeLines="120" w:before="288" w:afterLines="120" w:after="288"/>
        <w:jc w:val="both"/>
        <w:rPr>
          <w:rFonts w:ascii="Arial Narrow" w:hAnsi="Arial Narrow"/>
          <w:b/>
          <w:bCs/>
          <w:sz w:val="24"/>
          <w:szCs w:val="24"/>
        </w:rPr>
      </w:pPr>
      <w:r w:rsidRPr="00C203F3">
        <w:rPr>
          <w:rFonts w:ascii="Arial Narrow" w:hAnsi="Arial Narrow"/>
          <w:b/>
          <w:bCs/>
          <w:sz w:val="24"/>
          <w:szCs w:val="24"/>
        </w:rPr>
        <w:t xml:space="preserve">Tips for </w:t>
      </w:r>
      <w:r>
        <w:rPr>
          <w:rFonts w:ascii="Arial Narrow" w:hAnsi="Arial Narrow"/>
          <w:b/>
          <w:bCs/>
          <w:sz w:val="24"/>
          <w:szCs w:val="24"/>
        </w:rPr>
        <w:t>h</w:t>
      </w:r>
      <w:r w:rsidRPr="00C203F3">
        <w:rPr>
          <w:rFonts w:ascii="Arial Narrow" w:hAnsi="Arial Narrow"/>
          <w:b/>
          <w:bCs/>
          <w:sz w:val="24"/>
          <w:szCs w:val="24"/>
        </w:rPr>
        <w:t xml:space="preserve">ealth and </w:t>
      </w:r>
      <w:r>
        <w:rPr>
          <w:rFonts w:ascii="Arial Narrow" w:hAnsi="Arial Narrow"/>
          <w:b/>
          <w:bCs/>
          <w:sz w:val="24"/>
          <w:szCs w:val="24"/>
        </w:rPr>
        <w:t>n</w:t>
      </w:r>
      <w:r w:rsidRPr="00C203F3">
        <w:rPr>
          <w:rFonts w:ascii="Arial Narrow" w:hAnsi="Arial Narrow"/>
          <w:b/>
          <w:bCs/>
          <w:sz w:val="24"/>
          <w:szCs w:val="24"/>
        </w:rPr>
        <w:t xml:space="preserve">utritious </w:t>
      </w:r>
      <w:r>
        <w:rPr>
          <w:rFonts w:ascii="Arial Narrow" w:hAnsi="Arial Narrow"/>
          <w:b/>
          <w:bCs/>
          <w:sz w:val="24"/>
          <w:szCs w:val="24"/>
        </w:rPr>
        <w:t>l</w:t>
      </w:r>
      <w:r w:rsidRPr="00C203F3">
        <w:rPr>
          <w:rFonts w:ascii="Arial Narrow" w:hAnsi="Arial Narrow"/>
          <w:b/>
          <w:bCs/>
          <w:sz w:val="24"/>
          <w:szCs w:val="24"/>
        </w:rPr>
        <w:t>ifestyle for PLHIV</w:t>
      </w:r>
    </w:p>
    <w:p w:rsidR="0071027C" w:rsidRPr="00C203F3" w:rsidRDefault="00AA771C" w:rsidP="00AA771C">
      <w:pPr>
        <w:autoSpaceDE w:val="0"/>
        <w:autoSpaceDN w:val="0"/>
        <w:adjustRightInd w:val="0"/>
        <w:spacing w:beforeLines="120" w:before="288" w:afterLines="120" w:after="288"/>
        <w:jc w:val="both"/>
        <w:rPr>
          <w:rFonts w:ascii="Arial Narrow" w:hAnsi="Arial Narrow"/>
          <w:sz w:val="24"/>
          <w:szCs w:val="24"/>
        </w:rPr>
      </w:pPr>
      <w:r>
        <w:rPr>
          <w:rFonts w:ascii="Arial Narrow" w:hAnsi="Arial Narrow"/>
          <w:b/>
          <w:bCs/>
          <w:noProof/>
          <w:sz w:val="24"/>
          <w:szCs w:val="24"/>
        </w:rPr>
        <mc:AlternateContent>
          <mc:Choice Requires="wps">
            <w:drawing>
              <wp:anchor distT="0" distB="0" distL="114300" distR="114300" simplePos="0" relativeHeight="251742208" behindDoc="0" locked="0" layoutInCell="1" allowOverlap="1">
                <wp:simplePos x="0" y="0"/>
                <wp:positionH relativeFrom="column">
                  <wp:posOffset>-74930</wp:posOffset>
                </wp:positionH>
                <wp:positionV relativeFrom="paragraph">
                  <wp:posOffset>6350</wp:posOffset>
                </wp:positionV>
                <wp:extent cx="5467350" cy="2327910"/>
                <wp:effectExtent l="0" t="0" r="19050" b="1524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327910"/>
                        </a:xfrm>
                        <a:prstGeom prst="rect">
                          <a:avLst/>
                        </a:prstGeom>
                        <a:solidFill>
                          <a:srgbClr val="FFFFFF"/>
                        </a:solidFill>
                        <a:ln w="9525">
                          <a:solidFill>
                            <a:srgbClr val="000000"/>
                          </a:solidFill>
                          <a:miter lim="800000"/>
                          <a:headEnd/>
                          <a:tailEnd/>
                        </a:ln>
                      </wps:spPr>
                      <wps:txbx>
                        <w:txbxContent>
                          <w:p w:rsidR="00B247C9" w:rsidRPr="002D5196" w:rsidRDefault="00B247C9" w:rsidP="00274941">
                            <w:pPr>
                              <w:widowControl/>
                              <w:numPr>
                                <w:ilvl w:val="0"/>
                                <w:numId w:val="127"/>
                              </w:numPr>
                              <w:spacing w:after="0" w:line="240" w:lineRule="auto"/>
                              <w:jc w:val="both"/>
                              <w:rPr>
                                <w:rFonts w:ascii="Arial" w:hAnsi="Arial" w:cs="Arial"/>
                              </w:rPr>
                            </w:pPr>
                            <w:r w:rsidRPr="002D5196">
                              <w:rPr>
                                <w:rFonts w:ascii="Arial" w:hAnsi="Arial" w:cs="Arial"/>
                              </w:rPr>
                              <w:t xml:space="preserve">Eat </w:t>
                            </w:r>
                            <w:r w:rsidRPr="002D5196">
                              <w:rPr>
                                <w:rFonts w:ascii="Arial" w:hAnsi="Arial" w:cs="Arial"/>
                                <w:b/>
                                <w:bCs/>
                              </w:rPr>
                              <w:t>variety</w:t>
                            </w:r>
                            <w:r w:rsidRPr="002D5196">
                              <w:rPr>
                                <w:rFonts w:ascii="Arial" w:hAnsi="Arial" w:cs="Arial"/>
                              </w:rPr>
                              <w:t xml:space="preserve"> of foods emphasizing on nutrient dense foods </w:t>
                            </w:r>
                          </w:p>
                          <w:p w:rsidR="00B247C9" w:rsidRPr="002D5196" w:rsidRDefault="00B247C9" w:rsidP="00274941">
                            <w:pPr>
                              <w:widowControl/>
                              <w:numPr>
                                <w:ilvl w:val="0"/>
                                <w:numId w:val="127"/>
                              </w:numPr>
                              <w:spacing w:after="0" w:line="240" w:lineRule="auto"/>
                              <w:jc w:val="both"/>
                              <w:rPr>
                                <w:rFonts w:ascii="Arial" w:hAnsi="Arial" w:cs="Arial"/>
                              </w:rPr>
                            </w:pPr>
                            <w:r w:rsidRPr="002D5196">
                              <w:rPr>
                                <w:rFonts w:ascii="Arial" w:hAnsi="Arial" w:cs="Arial"/>
                              </w:rPr>
                              <w:t xml:space="preserve">Eat </w:t>
                            </w:r>
                            <w:r w:rsidRPr="002D5196">
                              <w:rPr>
                                <w:rFonts w:ascii="Arial" w:hAnsi="Arial" w:cs="Arial"/>
                                <w:b/>
                                <w:bCs/>
                              </w:rPr>
                              <w:t xml:space="preserve">small </w:t>
                            </w:r>
                            <w:r w:rsidRPr="002D5196">
                              <w:rPr>
                                <w:rFonts w:ascii="Arial" w:hAnsi="Arial" w:cs="Arial"/>
                              </w:rPr>
                              <w:t>meals frequently (especially for a very sick person)</w:t>
                            </w:r>
                          </w:p>
                          <w:p w:rsidR="00B247C9" w:rsidRPr="002D5196" w:rsidRDefault="00B247C9" w:rsidP="00274941">
                            <w:pPr>
                              <w:widowControl/>
                              <w:numPr>
                                <w:ilvl w:val="0"/>
                                <w:numId w:val="127"/>
                              </w:numPr>
                              <w:spacing w:after="0" w:line="240" w:lineRule="auto"/>
                              <w:jc w:val="both"/>
                              <w:rPr>
                                <w:rFonts w:ascii="Arial" w:hAnsi="Arial" w:cs="Arial"/>
                              </w:rPr>
                            </w:pPr>
                            <w:r w:rsidRPr="002D5196">
                              <w:rPr>
                                <w:rFonts w:ascii="Arial" w:hAnsi="Arial" w:cs="Arial"/>
                              </w:rPr>
                              <w:t xml:space="preserve">Drink clean and safe water </w:t>
                            </w:r>
                          </w:p>
                          <w:p w:rsidR="00B247C9" w:rsidRPr="002D5196" w:rsidRDefault="00B247C9" w:rsidP="00274941">
                            <w:pPr>
                              <w:widowControl/>
                              <w:numPr>
                                <w:ilvl w:val="0"/>
                                <w:numId w:val="127"/>
                              </w:numPr>
                              <w:spacing w:after="0" w:line="240" w:lineRule="auto"/>
                              <w:jc w:val="both"/>
                              <w:rPr>
                                <w:rFonts w:ascii="Arial" w:hAnsi="Arial" w:cs="Arial"/>
                              </w:rPr>
                            </w:pPr>
                            <w:r w:rsidRPr="002D5196">
                              <w:rPr>
                                <w:rFonts w:ascii="Arial" w:hAnsi="Arial" w:cs="Arial"/>
                              </w:rPr>
                              <w:t>Be physically active</w:t>
                            </w:r>
                          </w:p>
                          <w:p w:rsidR="00B247C9" w:rsidRPr="002D5196" w:rsidRDefault="00B247C9" w:rsidP="00274941">
                            <w:pPr>
                              <w:widowControl/>
                              <w:numPr>
                                <w:ilvl w:val="0"/>
                                <w:numId w:val="127"/>
                              </w:numPr>
                              <w:spacing w:after="0" w:line="240" w:lineRule="auto"/>
                              <w:jc w:val="both"/>
                              <w:rPr>
                                <w:rFonts w:ascii="Arial" w:hAnsi="Arial" w:cs="Arial"/>
                              </w:rPr>
                            </w:pPr>
                            <w:r w:rsidRPr="002D5196">
                              <w:rPr>
                                <w:rFonts w:ascii="Arial" w:hAnsi="Arial" w:cs="Arial"/>
                              </w:rPr>
                              <w:t>Avoid alcohol,  avoid smoking</w:t>
                            </w:r>
                          </w:p>
                          <w:p w:rsidR="00B247C9" w:rsidRPr="002D5196" w:rsidRDefault="00B247C9" w:rsidP="00274941">
                            <w:pPr>
                              <w:widowControl/>
                              <w:numPr>
                                <w:ilvl w:val="0"/>
                                <w:numId w:val="127"/>
                              </w:numPr>
                              <w:spacing w:after="0" w:line="240" w:lineRule="auto"/>
                              <w:jc w:val="both"/>
                              <w:rPr>
                                <w:rFonts w:ascii="Arial" w:hAnsi="Arial" w:cs="Arial"/>
                              </w:rPr>
                            </w:pPr>
                            <w:r w:rsidRPr="002D5196">
                              <w:rPr>
                                <w:rFonts w:ascii="Arial" w:hAnsi="Arial" w:cs="Arial"/>
                              </w:rPr>
                              <w:t>Add nutrient-dense foods (nuts, oil, fat, milk, oil seeds)</w:t>
                            </w:r>
                          </w:p>
                          <w:p w:rsidR="00B247C9" w:rsidRPr="002D5196" w:rsidRDefault="00B247C9" w:rsidP="00274941">
                            <w:pPr>
                              <w:widowControl/>
                              <w:numPr>
                                <w:ilvl w:val="0"/>
                                <w:numId w:val="127"/>
                              </w:numPr>
                              <w:spacing w:after="0" w:line="240" w:lineRule="auto"/>
                              <w:jc w:val="both"/>
                              <w:rPr>
                                <w:rFonts w:ascii="Arial" w:hAnsi="Arial" w:cs="Arial"/>
                              </w:rPr>
                            </w:pPr>
                            <w:r w:rsidRPr="002D5196">
                              <w:rPr>
                                <w:rFonts w:ascii="Arial" w:hAnsi="Arial" w:cs="Arial"/>
                              </w:rPr>
                              <w:t xml:space="preserve">Use </w:t>
                            </w:r>
                            <w:r w:rsidRPr="002D5196">
                              <w:rPr>
                                <w:rFonts w:ascii="Arial" w:hAnsi="Arial" w:cs="Arial"/>
                                <w:b/>
                                <w:bCs/>
                              </w:rPr>
                              <w:t>spices</w:t>
                            </w:r>
                            <w:r w:rsidRPr="002D5196">
                              <w:rPr>
                                <w:rFonts w:ascii="Arial" w:hAnsi="Arial" w:cs="Arial"/>
                              </w:rPr>
                              <w:t xml:space="preserve"> for appetite and absorption: ginger, garlic, cardamom, lemon </w:t>
                            </w:r>
                          </w:p>
                          <w:p w:rsidR="00B247C9" w:rsidRPr="002D5196" w:rsidRDefault="00B247C9" w:rsidP="00274941">
                            <w:pPr>
                              <w:widowControl/>
                              <w:numPr>
                                <w:ilvl w:val="0"/>
                                <w:numId w:val="127"/>
                              </w:numPr>
                              <w:spacing w:after="0" w:line="240" w:lineRule="auto"/>
                              <w:jc w:val="both"/>
                              <w:rPr>
                                <w:rFonts w:ascii="Arial" w:hAnsi="Arial" w:cs="Arial"/>
                              </w:rPr>
                            </w:pPr>
                            <w:r w:rsidRPr="002D5196">
                              <w:rPr>
                                <w:rFonts w:ascii="Arial" w:hAnsi="Arial" w:cs="Arial"/>
                              </w:rPr>
                              <w:t>Germination and sprouting; fermentation (increases nutrient content and improves digestions and absorption</w:t>
                            </w:r>
                          </w:p>
                          <w:p w:rsidR="00B247C9" w:rsidRPr="002D5196" w:rsidRDefault="00B247C9" w:rsidP="00274941">
                            <w:pPr>
                              <w:widowControl/>
                              <w:numPr>
                                <w:ilvl w:val="0"/>
                                <w:numId w:val="127"/>
                              </w:numPr>
                              <w:spacing w:after="0" w:line="240" w:lineRule="auto"/>
                              <w:jc w:val="both"/>
                              <w:rPr>
                                <w:rFonts w:ascii="Arial" w:hAnsi="Arial" w:cs="Arial"/>
                              </w:rPr>
                            </w:pPr>
                            <w:r w:rsidRPr="002D5196">
                              <w:rPr>
                                <w:rFonts w:ascii="Arial" w:hAnsi="Arial" w:cs="Arial"/>
                              </w:rPr>
                              <w:t xml:space="preserve">Manage stress </w:t>
                            </w:r>
                          </w:p>
                          <w:p w:rsidR="00B247C9" w:rsidRPr="002D5196" w:rsidRDefault="00B247C9" w:rsidP="00274941">
                            <w:pPr>
                              <w:widowControl/>
                              <w:numPr>
                                <w:ilvl w:val="0"/>
                                <w:numId w:val="127"/>
                              </w:numPr>
                              <w:spacing w:after="0" w:line="240" w:lineRule="auto"/>
                              <w:jc w:val="both"/>
                              <w:rPr>
                                <w:rFonts w:ascii="Arial" w:hAnsi="Arial" w:cs="Arial"/>
                              </w:rPr>
                            </w:pPr>
                            <w:r w:rsidRPr="002D5196">
                              <w:rPr>
                                <w:rFonts w:ascii="Arial" w:hAnsi="Arial" w:cs="Arial"/>
                              </w:rPr>
                              <w:t>Observe food safety, improve cooking methods and hygiene principles</w:t>
                            </w:r>
                          </w:p>
                          <w:p w:rsidR="00B247C9" w:rsidRPr="002D5196" w:rsidRDefault="00B247C9" w:rsidP="00274941">
                            <w:pPr>
                              <w:widowControl/>
                              <w:numPr>
                                <w:ilvl w:val="0"/>
                                <w:numId w:val="127"/>
                              </w:numPr>
                              <w:autoSpaceDE w:val="0"/>
                              <w:autoSpaceDN w:val="0"/>
                              <w:adjustRightInd w:val="0"/>
                              <w:spacing w:after="0" w:line="240" w:lineRule="auto"/>
                              <w:jc w:val="both"/>
                              <w:rPr>
                                <w:rFonts w:ascii="Arial" w:hAnsi="Arial" w:cs="Arial"/>
                              </w:rPr>
                            </w:pPr>
                            <w:r w:rsidRPr="002D5196">
                              <w:rPr>
                                <w:rFonts w:ascii="Arial" w:hAnsi="Arial" w:cs="Arial"/>
                              </w:rPr>
                              <w:t>Manage specific disease symptoms promptly (e.g., nausea, vomiting, diarrhoea and constipation).</w:t>
                            </w:r>
                          </w:p>
                          <w:p w:rsidR="00B247C9" w:rsidRPr="002D5196" w:rsidRDefault="00B247C9" w:rsidP="0071027C">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451" type="#_x0000_t202" style="position:absolute;left:0;text-align:left;margin-left:-5.9pt;margin-top:.5pt;width:430.5pt;height:183.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">
                <v:textbox>
                  <w:txbxContent>
                    <w:p w:rsidR="00B247C9" w:rsidRPr="002D5196" w:rsidRDefault="00B247C9" w:rsidP="00274941">
                      <w:pPr>
                        <w:widowControl/>
                        <w:numPr>
                          <w:ilvl w:val="0"/>
                          <w:numId w:val="127"/>
                        </w:numPr>
                        <w:spacing w:after="0" w:line="240" w:lineRule="auto"/>
                        <w:jc w:val="both"/>
                        <w:rPr>
                          <w:rFonts w:ascii="Arial" w:hAnsi="Arial" w:cs="Arial"/>
                        </w:rPr>
                      </w:pPr>
                      <w:r w:rsidRPr="002D5196">
                        <w:rPr>
                          <w:rFonts w:ascii="Arial" w:hAnsi="Arial" w:cs="Arial"/>
                        </w:rPr>
                        <w:t xml:space="preserve">Eat </w:t>
                      </w:r>
                      <w:r w:rsidRPr="002D5196">
                        <w:rPr>
                          <w:rFonts w:ascii="Arial" w:hAnsi="Arial" w:cs="Arial"/>
                          <w:b/>
                          <w:bCs/>
                        </w:rPr>
                        <w:t>variety</w:t>
                      </w:r>
                      <w:r w:rsidRPr="002D5196">
                        <w:rPr>
                          <w:rFonts w:ascii="Arial" w:hAnsi="Arial" w:cs="Arial"/>
                        </w:rPr>
                        <w:t xml:space="preserve"> of foods emphasizing on nutrient dense foods </w:t>
                      </w:r>
                    </w:p>
                    <w:p w:rsidR="00B247C9" w:rsidRPr="002D5196" w:rsidRDefault="00B247C9" w:rsidP="00274941">
                      <w:pPr>
                        <w:widowControl/>
                        <w:numPr>
                          <w:ilvl w:val="0"/>
                          <w:numId w:val="127"/>
                        </w:numPr>
                        <w:spacing w:after="0" w:line="240" w:lineRule="auto"/>
                        <w:jc w:val="both"/>
                        <w:rPr>
                          <w:rFonts w:ascii="Arial" w:hAnsi="Arial" w:cs="Arial"/>
                        </w:rPr>
                      </w:pPr>
                      <w:r w:rsidRPr="002D5196">
                        <w:rPr>
                          <w:rFonts w:ascii="Arial" w:hAnsi="Arial" w:cs="Arial"/>
                        </w:rPr>
                        <w:t xml:space="preserve">Eat </w:t>
                      </w:r>
                      <w:r w:rsidRPr="002D5196">
                        <w:rPr>
                          <w:rFonts w:ascii="Arial" w:hAnsi="Arial" w:cs="Arial"/>
                          <w:b/>
                          <w:bCs/>
                        </w:rPr>
                        <w:t xml:space="preserve">small </w:t>
                      </w:r>
                      <w:r w:rsidRPr="002D5196">
                        <w:rPr>
                          <w:rFonts w:ascii="Arial" w:hAnsi="Arial" w:cs="Arial"/>
                        </w:rPr>
                        <w:t>meals frequently (especially for a very sick person)</w:t>
                      </w:r>
                    </w:p>
                    <w:p w:rsidR="00B247C9" w:rsidRPr="002D5196" w:rsidRDefault="00B247C9" w:rsidP="00274941">
                      <w:pPr>
                        <w:widowControl/>
                        <w:numPr>
                          <w:ilvl w:val="0"/>
                          <w:numId w:val="127"/>
                        </w:numPr>
                        <w:spacing w:after="0" w:line="240" w:lineRule="auto"/>
                        <w:jc w:val="both"/>
                        <w:rPr>
                          <w:rFonts w:ascii="Arial" w:hAnsi="Arial" w:cs="Arial"/>
                        </w:rPr>
                      </w:pPr>
                      <w:r w:rsidRPr="002D5196">
                        <w:rPr>
                          <w:rFonts w:ascii="Arial" w:hAnsi="Arial" w:cs="Arial"/>
                        </w:rPr>
                        <w:t xml:space="preserve">Drink clean and safe water </w:t>
                      </w:r>
                    </w:p>
                    <w:p w:rsidR="00B247C9" w:rsidRPr="002D5196" w:rsidRDefault="00B247C9" w:rsidP="00274941">
                      <w:pPr>
                        <w:widowControl/>
                        <w:numPr>
                          <w:ilvl w:val="0"/>
                          <w:numId w:val="127"/>
                        </w:numPr>
                        <w:spacing w:after="0" w:line="240" w:lineRule="auto"/>
                        <w:jc w:val="both"/>
                        <w:rPr>
                          <w:rFonts w:ascii="Arial" w:hAnsi="Arial" w:cs="Arial"/>
                        </w:rPr>
                      </w:pPr>
                      <w:r w:rsidRPr="002D5196">
                        <w:rPr>
                          <w:rFonts w:ascii="Arial" w:hAnsi="Arial" w:cs="Arial"/>
                        </w:rPr>
                        <w:t>Be physically active</w:t>
                      </w:r>
                    </w:p>
                    <w:p w:rsidR="00B247C9" w:rsidRPr="002D5196" w:rsidRDefault="00B247C9" w:rsidP="00274941">
                      <w:pPr>
                        <w:widowControl/>
                        <w:numPr>
                          <w:ilvl w:val="0"/>
                          <w:numId w:val="127"/>
                        </w:numPr>
                        <w:spacing w:after="0" w:line="240" w:lineRule="auto"/>
                        <w:jc w:val="both"/>
                        <w:rPr>
                          <w:rFonts w:ascii="Arial" w:hAnsi="Arial" w:cs="Arial"/>
                        </w:rPr>
                      </w:pPr>
                      <w:r w:rsidRPr="002D5196">
                        <w:rPr>
                          <w:rFonts w:ascii="Arial" w:hAnsi="Arial" w:cs="Arial"/>
                        </w:rPr>
                        <w:t>Avoid alcohol,  avoid smoking</w:t>
                      </w:r>
                    </w:p>
                    <w:p w:rsidR="00B247C9" w:rsidRPr="002D5196" w:rsidRDefault="00B247C9" w:rsidP="00274941">
                      <w:pPr>
                        <w:widowControl/>
                        <w:numPr>
                          <w:ilvl w:val="0"/>
                          <w:numId w:val="127"/>
                        </w:numPr>
                        <w:spacing w:after="0" w:line="240" w:lineRule="auto"/>
                        <w:jc w:val="both"/>
                        <w:rPr>
                          <w:rFonts w:ascii="Arial" w:hAnsi="Arial" w:cs="Arial"/>
                        </w:rPr>
                      </w:pPr>
                      <w:r w:rsidRPr="002D5196">
                        <w:rPr>
                          <w:rFonts w:ascii="Arial" w:hAnsi="Arial" w:cs="Arial"/>
                        </w:rPr>
                        <w:t>Add nutrient-dense foods (nuts, oil, fat, milk, oil seeds)</w:t>
                      </w:r>
                    </w:p>
                    <w:p w:rsidR="00B247C9" w:rsidRPr="002D5196" w:rsidRDefault="00B247C9" w:rsidP="00274941">
                      <w:pPr>
                        <w:widowControl/>
                        <w:numPr>
                          <w:ilvl w:val="0"/>
                          <w:numId w:val="127"/>
                        </w:numPr>
                        <w:spacing w:after="0" w:line="240" w:lineRule="auto"/>
                        <w:jc w:val="both"/>
                        <w:rPr>
                          <w:rFonts w:ascii="Arial" w:hAnsi="Arial" w:cs="Arial"/>
                        </w:rPr>
                      </w:pPr>
                      <w:r w:rsidRPr="002D5196">
                        <w:rPr>
                          <w:rFonts w:ascii="Arial" w:hAnsi="Arial" w:cs="Arial"/>
                        </w:rPr>
                        <w:t xml:space="preserve">Use </w:t>
                      </w:r>
                      <w:r w:rsidRPr="002D5196">
                        <w:rPr>
                          <w:rFonts w:ascii="Arial" w:hAnsi="Arial" w:cs="Arial"/>
                          <w:b/>
                          <w:bCs/>
                        </w:rPr>
                        <w:t>spices</w:t>
                      </w:r>
                      <w:r w:rsidRPr="002D5196">
                        <w:rPr>
                          <w:rFonts w:ascii="Arial" w:hAnsi="Arial" w:cs="Arial"/>
                        </w:rPr>
                        <w:t xml:space="preserve"> for appetite and absorption: ginger, garlic, cardamom, lemon </w:t>
                      </w:r>
                    </w:p>
                    <w:p w:rsidR="00B247C9" w:rsidRPr="002D5196" w:rsidRDefault="00B247C9" w:rsidP="00274941">
                      <w:pPr>
                        <w:widowControl/>
                        <w:numPr>
                          <w:ilvl w:val="0"/>
                          <w:numId w:val="127"/>
                        </w:numPr>
                        <w:spacing w:after="0" w:line="240" w:lineRule="auto"/>
                        <w:jc w:val="both"/>
                        <w:rPr>
                          <w:rFonts w:ascii="Arial" w:hAnsi="Arial" w:cs="Arial"/>
                        </w:rPr>
                      </w:pPr>
                      <w:r w:rsidRPr="002D5196">
                        <w:rPr>
                          <w:rFonts w:ascii="Arial" w:hAnsi="Arial" w:cs="Arial"/>
                        </w:rPr>
                        <w:t>Germination and sprouting; fermentation (increases nutrient content and improves digestions and absorption</w:t>
                      </w:r>
                    </w:p>
                    <w:p w:rsidR="00B247C9" w:rsidRPr="002D5196" w:rsidRDefault="00B247C9" w:rsidP="00274941">
                      <w:pPr>
                        <w:widowControl/>
                        <w:numPr>
                          <w:ilvl w:val="0"/>
                          <w:numId w:val="127"/>
                        </w:numPr>
                        <w:spacing w:after="0" w:line="240" w:lineRule="auto"/>
                        <w:jc w:val="both"/>
                        <w:rPr>
                          <w:rFonts w:ascii="Arial" w:hAnsi="Arial" w:cs="Arial"/>
                        </w:rPr>
                      </w:pPr>
                      <w:r w:rsidRPr="002D5196">
                        <w:rPr>
                          <w:rFonts w:ascii="Arial" w:hAnsi="Arial" w:cs="Arial"/>
                        </w:rPr>
                        <w:t xml:space="preserve">Manage stress </w:t>
                      </w:r>
                    </w:p>
                    <w:p w:rsidR="00B247C9" w:rsidRPr="002D5196" w:rsidRDefault="00B247C9" w:rsidP="00274941">
                      <w:pPr>
                        <w:widowControl/>
                        <w:numPr>
                          <w:ilvl w:val="0"/>
                          <w:numId w:val="127"/>
                        </w:numPr>
                        <w:spacing w:after="0" w:line="240" w:lineRule="auto"/>
                        <w:jc w:val="both"/>
                        <w:rPr>
                          <w:rFonts w:ascii="Arial" w:hAnsi="Arial" w:cs="Arial"/>
                        </w:rPr>
                      </w:pPr>
                      <w:r w:rsidRPr="002D5196">
                        <w:rPr>
                          <w:rFonts w:ascii="Arial" w:hAnsi="Arial" w:cs="Arial"/>
                        </w:rPr>
                        <w:t>Observe food safety, improve cooking methods and hygiene principles</w:t>
                      </w:r>
                    </w:p>
                    <w:p w:rsidR="00B247C9" w:rsidRPr="002D5196" w:rsidRDefault="00B247C9" w:rsidP="00274941">
                      <w:pPr>
                        <w:widowControl/>
                        <w:numPr>
                          <w:ilvl w:val="0"/>
                          <w:numId w:val="127"/>
                        </w:numPr>
                        <w:autoSpaceDE w:val="0"/>
                        <w:autoSpaceDN w:val="0"/>
                        <w:adjustRightInd w:val="0"/>
                        <w:spacing w:after="0" w:line="240" w:lineRule="auto"/>
                        <w:jc w:val="both"/>
                        <w:rPr>
                          <w:rFonts w:ascii="Arial" w:hAnsi="Arial" w:cs="Arial"/>
                        </w:rPr>
                      </w:pPr>
                      <w:r w:rsidRPr="002D5196">
                        <w:rPr>
                          <w:rFonts w:ascii="Arial" w:hAnsi="Arial" w:cs="Arial"/>
                        </w:rPr>
                        <w:t>Manage specific disease symptoms promptly (e.g., nausea, vomiting, diarrhoea and constipation).</w:t>
                      </w:r>
                    </w:p>
                    <w:p w:rsidR="00B247C9" w:rsidRPr="002D5196" w:rsidRDefault="00B247C9" w:rsidP="0071027C">
                      <w:pPr>
                        <w:rPr>
                          <w:rFonts w:ascii="Arial" w:hAnsi="Arial" w:cs="Arial"/>
                        </w:rPr>
                      </w:pPr>
                    </w:p>
                  </w:txbxContent>
                </v:textbox>
              </v:shape>
            </w:pict>
          </mc:Fallback>
        </mc:AlternateContent>
      </w:r>
    </w:p>
    <w:p w:rsidR="0071027C" w:rsidRPr="00C203F3" w:rsidRDefault="0071027C" w:rsidP="00AA771C">
      <w:pPr>
        <w:autoSpaceDE w:val="0"/>
        <w:autoSpaceDN w:val="0"/>
        <w:adjustRightInd w:val="0"/>
        <w:spacing w:beforeLines="120" w:before="288" w:afterLines="120" w:after="288"/>
        <w:jc w:val="both"/>
        <w:rPr>
          <w:rFonts w:ascii="Arial Narrow" w:hAnsi="Arial Narrow"/>
          <w:sz w:val="24"/>
          <w:szCs w:val="24"/>
        </w:rPr>
      </w:pPr>
    </w:p>
    <w:p w:rsidR="0071027C" w:rsidRPr="00C203F3" w:rsidRDefault="0071027C" w:rsidP="00AA771C">
      <w:pPr>
        <w:autoSpaceDE w:val="0"/>
        <w:autoSpaceDN w:val="0"/>
        <w:adjustRightInd w:val="0"/>
        <w:spacing w:beforeLines="120" w:before="288" w:afterLines="120" w:after="288"/>
        <w:jc w:val="both"/>
        <w:rPr>
          <w:rFonts w:ascii="Arial Narrow" w:hAnsi="Arial Narrow"/>
          <w:sz w:val="24"/>
          <w:szCs w:val="24"/>
        </w:rPr>
      </w:pPr>
    </w:p>
    <w:p w:rsidR="0071027C" w:rsidRPr="00C203F3" w:rsidRDefault="0071027C" w:rsidP="00AA771C">
      <w:pPr>
        <w:autoSpaceDE w:val="0"/>
        <w:autoSpaceDN w:val="0"/>
        <w:adjustRightInd w:val="0"/>
        <w:spacing w:beforeLines="120" w:before="288" w:afterLines="120" w:after="288"/>
        <w:jc w:val="both"/>
        <w:rPr>
          <w:rFonts w:ascii="Arial Narrow" w:hAnsi="Arial Narrow"/>
          <w:sz w:val="24"/>
          <w:szCs w:val="24"/>
        </w:rPr>
      </w:pPr>
    </w:p>
    <w:p w:rsidR="0071027C" w:rsidRPr="00C203F3" w:rsidRDefault="0071027C" w:rsidP="00AA771C">
      <w:pPr>
        <w:autoSpaceDE w:val="0"/>
        <w:autoSpaceDN w:val="0"/>
        <w:adjustRightInd w:val="0"/>
        <w:spacing w:beforeLines="120" w:before="288" w:afterLines="120" w:after="288"/>
        <w:jc w:val="both"/>
        <w:rPr>
          <w:rFonts w:ascii="Arial Narrow" w:hAnsi="Arial Narrow"/>
          <w:sz w:val="24"/>
          <w:szCs w:val="24"/>
        </w:rPr>
      </w:pPr>
    </w:p>
    <w:p w:rsidR="0071027C" w:rsidRDefault="0071027C" w:rsidP="0071027C">
      <w:pPr>
        <w:pStyle w:val="Heading2"/>
        <w:rPr>
          <w:rFonts w:ascii="Arial Narrow" w:hAnsi="Arial Narrow"/>
          <w:sz w:val="24"/>
          <w:szCs w:val="24"/>
        </w:rPr>
      </w:pPr>
    </w:p>
    <w:p w:rsidR="0071027C" w:rsidRPr="003E72E0" w:rsidRDefault="0071027C" w:rsidP="0071027C">
      <w:pPr>
        <w:pStyle w:val="Heading2"/>
      </w:pPr>
      <w:bookmarkStart w:id="998" w:name="_Toc378258294"/>
      <w:bookmarkStart w:id="999" w:name="_Toc382214157"/>
      <w:r w:rsidRPr="003E72E0">
        <w:t>13.5</w:t>
      </w:r>
      <w:r w:rsidRPr="003E72E0">
        <w:tab/>
        <w:t xml:space="preserve">Nutritional issues associated with ARVs and other </w:t>
      </w:r>
      <w:bookmarkEnd w:id="998"/>
      <w:r w:rsidRPr="003E72E0">
        <w:t>medications</w:t>
      </w:r>
      <w:bookmarkEnd w:id="999"/>
    </w:p>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People infected with HIV may take several medications, including antibiotics, ARVs, anti-malarial, anti-helminthes, anti-fungal, etc. Foods and medications can interact in 4 major ways. These are as shown intable 13.2 below:</w:t>
      </w:r>
    </w:p>
    <w:p w:rsidR="0071027C" w:rsidRPr="003E72E0" w:rsidRDefault="0071027C" w:rsidP="00AA771C">
      <w:pPr>
        <w:autoSpaceDE w:val="0"/>
        <w:autoSpaceDN w:val="0"/>
        <w:adjustRightInd w:val="0"/>
        <w:spacing w:beforeLines="120" w:before="288" w:afterLines="120" w:after="288"/>
        <w:jc w:val="both"/>
        <w:rPr>
          <w:rFonts w:ascii="Arial Narrow" w:hAnsi="Arial Narrow"/>
          <w:b/>
          <w:sz w:val="24"/>
          <w:szCs w:val="24"/>
        </w:rPr>
      </w:pPr>
      <w:r w:rsidRPr="003E72E0">
        <w:rPr>
          <w:rFonts w:ascii="Arial Narrow" w:hAnsi="Arial Narrow"/>
          <w:b/>
          <w:sz w:val="24"/>
          <w:szCs w:val="24"/>
        </w:rPr>
        <w:t>Table 13.2: Relationship between foods and medications</w:t>
      </w:r>
    </w:p>
    <w:tbl>
      <w:tblPr>
        <w:tblW w:w="0" w:type="auto"/>
        <w:shd w:val="pct15" w:color="auto" w:fill="auto"/>
        <w:tblLook w:val="0000" w:firstRow="0" w:lastRow="0" w:firstColumn="0" w:lastColumn="0" w:noHBand="0" w:noVBand="0"/>
      </w:tblPr>
      <w:tblGrid>
        <w:gridCol w:w="2952"/>
        <w:gridCol w:w="2016"/>
        <w:gridCol w:w="3888"/>
      </w:tblGrid>
      <w:tr w:rsidR="0071027C" w:rsidRPr="003E72E0" w:rsidTr="0071027C">
        <w:tc>
          <w:tcPr>
            <w:tcW w:w="2952" w:type="dxa"/>
            <w:tcBorders>
              <w:top w:val="single" w:sz="4" w:space="0" w:color="auto"/>
              <w:left w:val="single" w:sz="4" w:space="0" w:color="auto"/>
              <w:bottom w:val="single" w:sz="4" w:space="0" w:color="auto"/>
              <w:right w:val="single" w:sz="4" w:space="0" w:color="auto"/>
            </w:tcBorders>
            <w:shd w:val="pct15" w:color="auto" w:fill="auto"/>
          </w:tcPr>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1. FOOD</w:t>
            </w:r>
          </w:p>
          <w:p w:rsidR="0071027C" w:rsidRPr="003E72E0" w:rsidRDefault="0071027C" w:rsidP="00AA771C">
            <w:pPr>
              <w:autoSpaceDE w:val="0"/>
              <w:autoSpaceDN w:val="0"/>
              <w:adjustRightInd w:val="0"/>
              <w:spacing w:beforeLines="120" w:before="288" w:afterLines="120" w:after="288"/>
              <w:jc w:val="both"/>
              <w:rPr>
                <w:rFonts w:ascii="Arial" w:hAnsi="Arial" w:cs="Arial"/>
              </w:rPr>
            </w:pPr>
          </w:p>
        </w:tc>
        <w:tc>
          <w:tcPr>
            <w:tcW w:w="2016" w:type="dxa"/>
            <w:tcBorders>
              <w:top w:val="single" w:sz="4" w:space="0" w:color="auto"/>
              <w:left w:val="single" w:sz="4" w:space="0" w:color="auto"/>
              <w:bottom w:val="single" w:sz="4" w:space="0" w:color="auto"/>
              <w:right w:val="single" w:sz="4" w:space="0" w:color="auto"/>
            </w:tcBorders>
            <w:shd w:val="pct15" w:color="auto" w:fill="auto"/>
          </w:tcPr>
          <w:p w:rsidR="0071027C" w:rsidRPr="003E72E0" w:rsidRDefault="00AA771C" w:rsidP="00AA771C">
            <w:pPr>
              <w:autoSpaceDE w:val="0"/>
              <w:autoSpaceDN w:val="0"/>
              <w:adjustRightInd w:val="0"/>
              <w:spacing w:beforeLines="120" w:before="288" w:afterLines="120" w:after="288"/>
              <w:jc w:val="both"/>
              <w:rPr>
                <w:rFonts w:ascii="Arial" w:hAnsi="Arial" w:cs="Arial"/>
                <w:b/>
                <w:bCs/>
              </w:rPr>
            </w:pPr>
            <w:r>
              <w:rPr>
                <w:rFonts w:ascii="Arial" w:hAnsi="Arial" w:cs="Arial"/>
                <w:noProof/>
              </w:rPr>
              <mc:AlternateContent>
                <mc:Choice Requires="wps">
                  <w:drawing>
                    <wp:anchor distT="4294967295" distB="4294967295" distL="114300" distR="114300" simplePos="0" relativeHeight="251738112" behindDoc="0" locked="0" layoutInCell="1" allowOverlap="1">
                      <wp:simplePos x="0" y="0"/>
                      <wp:positionH relativeFrom="column">
                        <wp:posOffset>68580</wp:posOffset>
                      </wp:positionH>
                      <wp:positionV relativeFrom="paragraph">
                        <wp:posOffset>44449</wp:posOffset>
                      </wp:positionV>
                      <wp:extent cx="342900" cy="0"/>
                      <wp:effectExtent l="0" t="76200" r="19050" b="95250"/>
                      <wp:wrapNone/>
                      <wp:docPr id="3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3.5pt" to="32.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AqKQIAAEs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">
                      <v:stroke endarrow="block"/>
                    </v:line>
                  </w:pict>
                </mc:Fallback>
              </mc:AlternateContent>
            </w:r>
          </w:p>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(Affects)</w:t>
            </w:r>
          </w:p>
          <w:p w:rsidR="0071027C" w:rsidRPr="003E72E0" w:rsidRDefault="0071027C" w:rsidP="00AA771C">
            <w:pPr>
              <w:autoSpaceDE w:val="0"/>
              <w:autoSpaceDN w:val="0"/>
              <w:adjustRightInd w:val="0"/>
              <w:spacing w:beforeLines="120" w:before="288" w:afterLines="120" w:after="288"/>
              <w:jc w:val="both"/>
              <w:rPr>
                <w:rFonts w:ascii="Arial" w:hAnsi="Arial" w:cs="Arial"/>
              </w:rPr>
            </w:pPr>
          </w:p>
        </w:tc>
        <w:tc>
          <w:tcPr>
            <w:tcW w:w="3888" w:type="dxa"/>
            <w:tcBorders>
              <w:top w:val="single" w:sz="4" w:space="0" w:color="auto"/>
              <w:left w:val="single" w:sz="4" w:space="0" w:color="auto"/>
              <w:bottom w:val="single" w:sz="4" w:space="0" w:color="auto"/>
              <w:right w:val="single" w:sz="4" w:space="0" w:color="auto"/>
            </w:tcBorders>
            <w:shd w:val="pct15" w:color="auto" w:fill="auto"/>
          </w:tcPr>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MEDICATION ABSORPTION,</w:t>
            </w:r>
          </w:p>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METABOLISM, DISTRIBUTION,EXCRETION</w:t>
            </w:r>
          </w:p>
        </w:tc>
      </w:tr>
      <w:tr w:rsidR="0071027C" w:rsidRPr="003E72E0" w:rsidTr="0071027C">
        <w:tc>
          <w:tcPr>
            <w:tcW w:w="2952" w:type="dxa"/>
            <w:tcBorders>
              <w:top w:val="single" w:sz="4" w:space="0" w:color="auto"/>
              <w:left w:val="single" w:sz="4" w:space="0" w:color="auto"/>
              <w:bottom w:val="single" w:sz="4" w:space="0" w:color="auto"/>
              <w:right w:val="single" w:sz="4" w:space="0" w:color="auto"/>
            </w:tcBorders>
            <w:shd w:val="clear" w:color="auto" w:fill="auto"/>
          </w:tcPr>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2. MEDICATION</w:t>
            </w:r>
          </w:p>
          <w:p w:rsidR="0071027C" w:rsidRPr="003E72E0" w:rsidRDefault="0071027C" w:rsidP="00AA771C">
            <w:pPr>
              <w:autoSpaceDE w:val="0"/>
              <w:autoSpaceDN w:val="0"/>
              <w:adjustRightInd w:val="0"/>
              <w:spacing w:beforeLines="120" w:before="288" w:afterLines="120" w:after="288"/>
              <w:jc w:val="both"/>
              <w:rPr>
                <w:rFonts w:ascii="Arial" w:hAnsi="Arial" w:cs="Arial"/>
              </w:rPr>
            </w:pP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71027C" w:rsidRPr="003E72E0" w:rsidRDefault="00AA771C" w:rsidP="00AA771C">
            <w:pPr>
              <w:autoSpaceDE w:val="0"/>
              <w:autoSpaceDN w:val="0"/>
              <w:adjustRightInd w:val="0"/>
              <w:spacing w:beforeLines="120" w:before="288" w:afterLines="120" w:after="288"/>
              <w:jc w:val="both"/>
              <w:rPr>
                <w:rFonts w:ascii="Arial" w:hAnsi="Arial" w:cs="Arial"/>
                <w:b/>
                <w:bCs/>
              </w:rPr>
            </w:pPr>
            <w:r>
              <w:rPr>
                <w:rFonts w:ascii="Arial" w:hAnsi="Arial" w:cs="Arial"/>
                <w:b/>
                <w:bCs/>
                <w:noProof/>
              </w:rPr>
              <mc:AlternateContent>
                <mc:Choice Requires="wps">
                  <w:drawing>
                    <wp:anchor distT="4294967295" distB="4294967295" distL="114300" distR="114300" simplePos="0" relativeHeight="251739136" behindDoc="0" locked="0" layoutInCell="1" allowOverlap="1">
                      <wp:simplePos x="0" y="0"/>
                      <wp:positionH relativeFrom="column">
                        <wp:posOffset>67945</wp:posOffset>
                      </wp:positionH>
                      <wp:positionV relativeFrom="paragraph">
                        <wp:posOffset>62229</wp:posOffset>
                      </wp:positionV>
                      <wp:extent cx="342900" cy="0"/>
                      <wp:effectExtent l="0" t="76200" r="19050" b="95250"/>
                      <wp:wrapNone/>
                      <wp:docPr id="3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5pt,4.9pt" to="32.3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oGKQIAAEs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">
                      <v:stroke endarrow="block"/>
                    </v:line>
                  </w:pict>
                </mc:Fallback>
              </mc:AlternateContent>
            </w:r>
          </w:p>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(Affects)</w:t>
            </w:r>
          </w:p>
        </w:tc>
        <w:tc>
          <w:tcPr>
            <w:tcW w:w="3888" w:type="dxa"/>
            <w:tcBorders>
              <w:top w:val="single" w:sz="4" w:space="0" w:color="auto"/>
              <w:left w:val="single" w:sz="4" w:space="0" w:color="auto"/>
              <w:bottom w:val="single" w:sz="4" w:space="0" w:color="auto"/>
              <w:right w:val="single" w:sz="4" w:space="0" w:color="auto"/>
            </w:tcBorders>
            <w:shd w:val="clear" w:color="auto" w:fill="auto"/>
          </w:tcPr>
          <w:p w:rsidR="0071027C" w:rsidRPr="003E72E0" w:rsidRDefault="0071027C" w:rsidP="00AA771C">
            <w:pPr>
              <w:autoSpaceDE w:val="0"/>
              <w:autoSpaceDN w:val="0"/>
              <w:adjustRightInd w:val="0"/>
              <w:spacing w:beforeLines="120" w:before="288" w:afterLines="120" w:after="288"/>
              <w:jc w:val="both"/>
              <w:rPr>
                <w:rFonts w:ascii="Arial" w:hAnsi="Arial" w:cs="Arial"/>
                <w:lang w:val="fr-FR"/>
              </w:rPr>
            </w:pPr>
            <w:r w:rsidRPr="003E72E0">
              <w:rPr>
                <w:rFonts w:ascii="Arial" w:hAnsi="Arial" w:cs="Arial"/>
                <w:lang w:val="fr-FR"/>
              </w:rPr>
              <w:t>NUTRIENT ABSORPTION,</w:t>
            </w:r>
          </w:p>
          <w:p w:rsidR="0071027C" w:rsidRPr="003E72E0" w:rsidRDefault="0071027C" w:rsidP="00AA771C">
            <w:pPr>
              <w:autoSpaceDE w:val="0"/>
              <w:autoSpaceDN w:val="0"/>
              <w:adjustRightInd w:val="0"/>
              <w:spacing w:beforeLines="120" w:before="288" w:afterLines="120" w:after="288"/>
              <w:jc w:val="both"/>
              <w:rPr>
                <w:rFonts w:ascii="Arial" w:hAnsi="Arial" w:cs="Arial"/>
                <w:lang w:val="fr-FR"/>
              </w:rPr>
            </w:pPr>
            <w:r w:rsidRPr="003E72E0">
              <w:rPr>
                <w:rFonts w:ascii="Arial" w:hAnsi="Arial" w:cs="Arial"/>
                <w:lang w:val="fr-FR"/>
              </w:rPr>
              <w:t>METABOLISM, DISTRIBUTION, EXCRETION</w:t>
            </w:r>
          </w:p>
        </w:tc>
      </w:tr>
      <w:tr w:rsidR="0071027C" w:rsidRPr="003E72E0" w:rsidTr="0071027C">
        <w:tc>
          <w:tcPr>
            <w:tcW w:w="2952" w:type="dxa"/>
            <w:tcBorders>
              <w:top w:val="single" w:sz="4" w:space="0" w:color="auto"/>
              <w:left w:val="single" w:sz="4" w:space="0" w:color="auto"/>
              <w:right w:val="single" w:sz="4" w:space="0" w:color="auto"/>
            </w:tcBorders>
            <w:shd w:val="pct15" w:color="auto" w:fill="auto"/>
          </w:tcPr>
          <w:p w:rsidR="0071027C" w:rsidRPr="003E72E0" w:rsidRDefault="0071027C" w:rsidP="00AA771C">
            <w:pPr>
              <w:autoSpaceDE w:val="0"/>
              <w:autoSpaceDN w:val="0"/>
              <w:adjustRightInd w:val="0"/>
              <w:spacing w:beforeLines="120" w:before="288" w:afterLines="120" w:after="288"/>
              <w:ind w:left="360" w:hanging="360"/>
              <w:jc w:val="both"/>
              <w:rPr>
                <w:rFonts w:ascii="Arial" w:hAnsi="Arial" w:cs="Arial"/>
              </w:rPr>
            </w:pPr>
            <w:r w:rsidRPr="003E72E0">
              <w:rPr>
                <w:rFonts w:ascii="Arial" w:hAnsi="Arial" w:cs="Arial"/>
              </w:rPr>
              <w:t>3. MEDICATION SIDE</w:t>
            </w:r>
          </w:p>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 xml:space="preserve">    EFFECTS</w:t>
            </w:r>
          </w:p>
        </w:tc>
        <w:tc>
          <w:tcPr>
            <w:tcW w:w="2016" w:type="dxa"/>
            <w:tcBorders>
              <w:top w:val="single" w:sz="4" w:space="0" w:color="auto"/>
              <w:left w:val="single" w:sz="4" w:space="0" w:color="auto"/>
              <w:right w:val="single" w:sz="4" w:space="0" w:color="auto"/>
            </w:tcBorders>
            <w:shd w:val="pct15" w:color="auto" w:fill="auto"/>
          </w:tcPr>
          <w:p w:rsidR="0071027C" w:rsidRPr="003E72E0" w:rsidRDefault="00AA771C" w:rsidP="00AA771C">
            <w:pPr>
              <w:autoSpaceDE w:val="0"/>
              <w:autoSpaceDN w:val="0"/>
              <w:adjustRightInd w:val="0"/>
              <w:spacing w:beforeLines="120" w:before="288" w:afterLines="120" w:after="288"/>
              <w:jc w:val="both"/>
              <w:rPr>
                <w:rFonts w:ascii="Arial" w:hAnsi="Arial" w:cs="Arial"/>
              </w:rPr>
            </w:pPr>
            <w:r>
              <w:rPr>
                <w:rFonts w:ascii="Arial" w:hAnsi="Arial" w:cs="Arial"/>
                <w:b/>
                <w:bCs/>
                <w:noProof/>
              </w:rPr>
              <mc:AlternateContent>
                <mc:Choice Requires="wps">
                  <w:drawing>
                    <wp:anchor distT="4294967295" distB="4294967295" distL="114300" distR="114300" simplePos="0" relativeHeight="251740160" behindDoc="0" locked="0" layoutInCell="1" allowOverlap="1">
                      <wp:simplePos x="0" y="0"/>
                      <wp:positionH relativeFrom="column">
                        <wp:posOffset>68580</wp:posOffset>
                      </wp:positionH>
                      <wp:positionV relativeFrom="paragraph">
                        <wp:posOffset>71754</wp:posOffset>
                      </wp:positionV>
                      <wp:extent cx="342900" cy="0"/>
                      <wp:effectExtent l="0" t="76200" r="19050" b="95250"/>
                      <wp:wrapNone/>
                      <wp:docPr id="2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5.65pt" to="32.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2NKQIAAEs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">
                      <v:stroke endarrow="block"/>
                    </v:line>
                  </w:pict>
                </mc:Fallback>
              </mc:AlternateContent>
            </w:r>
          </w:p>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(Affects)</w:t>
            </w:r>
          </w:p>
          <w:p w:rsidR="0071027C" w:rsidRPr="003E72E0" w:rsidRDefault="0071027C" w:rsidP="00AA771C">
            <w:pPr>
              <w:autoSpaceDE w:val="0"/>
              <w:autoSpaceDN w:val="0"/>
              <w:adjustRightInd w:val="0"/>
              <w:spacing w:beforeLines="120" w:before="288" w:afterLines="120" w:after="288"/>
              <w:jc w:val="both"/>
              <w:rPr>
                <w:rFonts w:ascii="Arial" w:hAnsi="Arial" w:cs="Arial"/>
              </w:rPr>
            </w:pPr>
          </w:p>
        </w:tc>
        <w:tc>
          <w:tcPr>
            <w:tcW w:w="3888" w:type="dxa"/>
            <w:tcBorders>
              <w:top w:val="single" w:sz="4" w:space="0" w:color="auto"/>
              <w:left w:val="single" w:sz="4" w:space="0" w:color="auto"/>
              <w:right w:val="single" w:sz="4" w:space="0" w:color="auto"/>
            </w:tcBorders>
            <w:shd w:val="pct15" w:color="auto" w:fill="auto"/>
          </w:tcPr>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FOOD CONSUMPTION,</w:t>
            </w:r>
          </w:p>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NUTRIENT ABSORPTION</w:t>
            </w:r>
          </w:p>
        </w:tc>
      </w:tr>
      <w:tr w:rsidR="0071027C" w:rsidRPr="003E72E0" w:rsidTr="0071027C">
        <w:trPr>
          <w:trHeight w:val="1539"/>
        </w:trPr>
        <w:tc>
          <w:tcPr>
            <w:tcW w:w="2952" w:type="dxa"/>
            <w:tcBorders>
              <w:left w:val="single" w:sz="4" w:space="0" w:color="auto"/>
              <w:bottom w:val="single" w:sz="4" w:space="0" w:color="auto"/>
              <w:right w:val="single" w:sz="4" w:space="0" w:color="auto"/>
            </w:tcBorders>
            <w:shd w:val="clear" w:color="auto" w:fill="auto"/>
          </w:tcPr>
          <w:p w:rsidR="0071027C" w:rsidRPr="003E72E0" w:rsidRDefault="0071027C" w:rsidP="00AA771C">
            <w:pPr>
              <w:autoSpaceDE w:val="0"/>
              <w:autoSpaceDN w:val="0"/>
              <w:adjustRightInd w:val="0"/>
              <w:spacing w:beforeLines="120" w:before="288" w:afterLines="120" w:after="288"/>
              <w:ind w:left="360" w:hanging="360"/>
              <w:jc w:val="both"/>
              <w:rPr>
                <w:rFonts w:ascii="Arial" w:hAnsi="Arial" w:cs="Arial"/>
              </w:rPr>
            </w:pPr>
            <w:r w:rsidRPr="003E72E0">
              <w:rPr>
                <w:rFonts w:ascii="Arial" w:hAnsi="Arial" w:cs="Arial"/>
              </w:rPr>
              <w:t>4. MEDICATION +</w:t>
            </w:r>
          </w:p>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 xml:space="preserve">    CERTAIN FOODS</w:t>
            </w:r>
          </w:p>
        </w:tc>
        <w:tc>
          <w:tcPr>
            <w:tcW w:w="2016" w:type="dxa"/>
            <w:tcBorders>
              <w:left w:val="single" w:sz="4" w:space="0" w:color="auto"/>
              <w:bottom w:val="single" w:sz="4" w:space="0" w:color="auto"/>
              <w:right w:val="single" w:sz="4" w:space="0" w:color="auto"/>
            </w:tcBorders>
            <w:shd w:val="clear" w:color="auto" w:fill="auto"/>
          </w:tcPr>
          <w:p w:rsidR="0071027C" w:rsidRPr="003E72E0" w:rsidRDefault="00AA771C" w:rsidP="00AA771C">
            <w:pPr>
              <w:autoSpaceDE w:val="0"/>
              <w:autoSpaceDN w:val="0"/>
              <w:adjustRightInd w:val="0"/>
              <w:spacing w:beforeLines="120" w:before="288" w:afterLines="120" w:after="288"/>
              <w:jc w:val="both"/>
              <w:rPr>
                <w:rFonts w:ascii="Arial" w:hAnsi="Arial" w:cs="Arial"/>
              </w:rPr>
            </w:pPr>
            <w:r>
              <w:rPr>
                <w:rFonts w:ascii="Arial" w:hAnsi="Arial" w:cs="Arial"/>
                <w:b/>
                <w:bCs/>
                <w:noProof/>
              </w:rPr>
              <mc:AlternateContent>
                <mc:Choice Requires="wps">
                  <w:drawing>
                    <wp:anchor distT="4294967295" distB="4294967295" distL="114300" distR="114300" simplePos="0" relativeHeight="251741184" behindDoc="0" locked="0" layoutInCell="1" allowOverlap="1">
                      <wp:simplePos x="0" y="0"/>
                      <wp:positionH relativeFrom="column">
                        <wp:posOffset>67945</wp:posOffset>
                      </wp:positionH>
                      <wp:positionV relativeFrom="paragraph">
                        <wp:posOffset>90804</wp:posOffset>
                      </wp:positionV>
                      <wp:extent cx="342900" cy="0"/>
                      <wp:effectExtent l="0" t="76200" r="19050" b="95250"/>
                      <wp:wrapNone/>
                      <wp:docPr id="2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5pt,7.15pt" to="32.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ehKQIAAEs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">
                      <v:stroke endarrow="block"/>
                    </v:line>
                  </w:pict>
                </mc:Fallback>
              </mc:AlternateContent>
            </w:r>
          </w:p>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(Creates)</w:t>
            </w:r>
          </w:p>
        </w:tc>
        <w:tc>
          <w:tcPr>
            <w:tcW w:w="3888" w:type="dxa"/>
            <w:tcBorders>
              <w:left w:val="single" w:sz="4" w:space="0" w:color="auto"/>
              <w:bottom w:val="single" w:sz="4" w:space="0" w:color="auto"/>
              <w:right w:val="single" w:sz="4" w:space="0" w:color="auto"/>
            </w:tcBorders>
            <w:shd w:val="clear" w:color="auto" w:fill="auto"/>
          </w:tcPr>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UNHEALTHY SIDE EFFECTS</w:t>
            </w:r>
          </w:p>
          <w:p w:rsidR="0071027C" w:rsidRPr="003E72E0" w:rsidRDefault="0071027C" w:rsidP="00AA771C">
            <w:pPr>
              <w:autoSpaceDE w:val="0"/>
              <w:autoSpaceDN w:val="0"/>
              <w:adjustRightInd w:val="0"/>
              <w:spacing w:beforeLines="120" w:before="288" w:afterLines="120" w:after="288"/>
              <w:jc w:val="both"/>
              <w:rPr>
                <w:rFonts w:ascii="Arial" w:hAnsi="Arial" w:cs="Arial"/>
              </w:rPr>
            </w:pPr>
          </w:p>
        </w:tc>
      </w:tr>
    </w:tbl>
    <w:p w:rsidR="0071027C" w:rsidRPr="00C203F3" w:rsidRDefault="0071027C" w:rsidP="00AA771C">
      <w:pPr>
        <w:autoSpaceDE w:val="0"/>
        <w:autoSpaceDN w:val="0"/>
        <w:adjustRightInd w:val="0"/>
        <w:spacing w:beforeLines="120" w:before="288" w:afterLines="120" w:after="288"/>
        <w:jc w:val="both"/>
        <w:rPr>
          <w:rFonts w:ascii="Arial Narrow" w:hAnsi="Arial Narrow"/>
          <w:sz w:val="24"/>
          <w:szCs w:val="24"/>
        </w:rPr>
      </w:pPr>
    </w:p>
    <w:p w:rsidR="0071027C" w:rsidRPr="003E72E0" w:rsidRDefault="0071027C" w:rsidP="00AA771C">
      <w:pPr>
        <w:autoSpaceDE w:val="0"/>
        <w:autoSpaceDN w:val="0"/>
        <w:adjustRightInd w:val="0"/>
        <w:spacing w:beforeLines="120" w:before="288" w:afterLines="120" w:after="288"/>
        <w:jc w:val="both"/>
        <w:rPr>
          <w:rFonts w:ascii="Arial" w:hAnsi="Arial" w:cs="Arial"/>
          <w:b/>
          <w:bCs/>
        </w:rPr>
      </w:pPr>
      <w:r w:rsidRPr="003E72E0">
        <w:rPr>
          <w:rFonts w:ascii="Arial" w:hAnsi="Arial" w:cs="Arial"/>
          <w:b/>
          <w:bCs/>
        </w:rPr>
        <w:t>Relationship between medication and feeding/dietary patterns</w:t>
      </w:r>
    </w:p>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 xml:space="preserve">Medications have to be managed correctly in order to ensure that the prescribed drug combination improves drug efficacy, decrease side effects, and does not affect the nutritional status. </w:t>
      </w:r>
    </w:p>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Annex 9 lists some of the medications used in Tanzania. The table shows their purpose, potential side effects and nutritional recommendation (more details are found in annex 9)</w:t>
      </w:r>
    </w:p>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Proper dietary management can help to manage some side effects. The following are examples:</w:t>
      </w:r>
    </w:p>
    <w:p w:rsidR="0071027C" w:rsidRPr="003E72E0" w:rsidRDefault="0071027C" w:rsidP="00AA771C">
      <w:pPr>
        <w:autoSpaceDE w:val="0"/>
        <w:autoSpaceDN w:val="0"/>
        <w:adjustRightInd w:val="0"/>
        <w:spacing w:beforeLines="120" w:before="288" w:afterLines="120" w:after="288"/>
        <w:ind w:left="360" w:hanging="180"/>
        <w:jc w:val="both"/>
        <w:rPr>
          <w:rFonts w:ascii="Arial" w:hAnsi="Arial" w:cs="Arial"/>
        </w:rPr>
      </w:pPr>
      <w:r w:rsidRPr="003E72E0">
        <w:rPr>
          <w:rFonts w:ascii="Arial" w:hAnsi="Arial" w:cs="Arial"/>
        </w:rPr>
        <w:t xml:space="preserve">• </w:t>
      </w:r>
      <w:r w:rsidRPr="003E72E0">
        <w:rPr>
          <w:rFonts w:ascii="Arial" w:hAnsi="Arial" w:cs="Arial"/>
          <w:b/>
          <w:bCs/>
        </w:rPr>
        <w:t xml:space="preserve">Changes in taste: </w:t>
      </w:r>
      <w:r w:rsidRPr="003E72E0">
        <w:rPr>
          <w:rFonts w:ascii="Arial" w:hAnsi="Arial" w:cs="Arial"/>
        </w:rPr>
        <w:t>The protease inhibitors Saquinavir and Ritonavir cause changes in taste and can cause food to taste metallic, sweeter, sourer, or too salty, which, in turn, may cause an individual to consume less food. This can be addressed by using flavor enhancers such as salt, sugar, spices, vinegar, or lemon to stimulate the taste buds, increase taste acuity, and mask any unpleasant flavor. Adding spices like onions to soup will boost flavor and can help to improve intake.</w:t>
      </w:r>
    </w:p>
    <w:p w:rsidR="0071027C" w:rsidRPr="003E72E0" w:rsidRDefault="0071027C" w:rsidP="00AA771C">
      <w:pPr>
        <w:autoSpaceDE w:val="0"/>
        <w:autoSpaceDN w:val="0"/>
        <w:adjustRightInd w:val="0"/>
        <w:spacing w:beforeLines="120" w:before="288" w:afterLines="120" w:after="288"/>
        <w:ind w:left="360" w:hanging="180"/>
        <w:jc w:val="both"/>
        <w:rPr>
          <w:rFonts w:ascii="Arial" w:hAnsi="Arial" w:cs="Arial"/>
        </w:rPr>
      </w:pPr>
      <w:r w:rsidRPr="003E72E0">
        <w:rPr>
          <w:rFonts w:ascii="Arial" w:hAnsi="Arial" w:cs="Arial"/>
        </w:rPr>
        <w:t xml:space="preserve">• </w:t>
      </w:r>
      <w:r w:rsidRPr="003E72E0">
        <w:rPr>
          <w:rFonts w:ascii="Arial" w:hAnsi="Arial" w:cs="Arial"/>
          <w:b/>
          <w:bCs/>
        </w:rPr>
        <w:t xml:space="preserve">Anorexia: </w:t>
      </w:r>
      <w:r w:rsidRPr="003E72E0">
        <w:rPr>
          <w:rFonts w:ascii="Arial" w:hAnsi="Arial" w:cs="Arial"/>
        </w:rPr>
        <w:t>Several medications, such as isoniazid and the ARVs lamividune and stavidune, may cause anorexia and lead to reduced food intake. The dietary management of anorexia requires eating small and frequent meals and favorite foods. PLHIV that experience anorexia should eat five to six small meals a day and should include energy- and nutrient-dense foods at each meal to ensure adequate nutrient intake. It is also important to maintain as much physical activity as possible, such as walking in fresh air, which also helps to stimulate appetite.</w:t>
      </w:r>
    </w:p>
    <w:p w:rsidR="0071027C" w:rsidRPr="003E72E0" w:rsidRDefault="0071027C" w:rsidP="00AA771C">
      <w:pPr>
        <w:widowControl/>
        <w:numPr>
          <w:ilvl w:val="0"/>
          <w:numId w:val="126"/>
        </w:numPr>
        <w:autoSpaceDE w:val="0"/>
        <w:autoSpaceDN w:val="0"/>
        <w:adjustRightInd w:val="0"/>
        <w:spacing w:beforeLines="120" w:before="288" w:afterLines="120" w:after="288"/>
        <w:jc w:val="both"/>
        <w:rPr>
          <w:rFonts w:ascii="Arial" w:hAnsi="Arial" w:cs="Arial"/>
        </w:rPr>
      </w:pPr>
      <w:r w:rsidRPr="003E72E0">
        <w:rPr>
          <w:rFonts w:ascii="Arial" w:hAnsi="Arial" w:cs="Arial"/>
        </w:rPr>
        <w:t xml:space="preserve">Some ARVs e.g. Tenofovir have been associated with increased risk of osteoporosis and weakening of bones that may require medical and dietary responses. For osteoporosis, a balanced diet with high calcium foods, such as milk, yogurt, cheese, and vitamin D supplement is recommended, along with medical care. </w:t>
      </w:r>
    </w:p>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Note: Some side effects of ARVs are similar to symptoms of opportunistic infections, such as diarrhea e.g. Tenofovir, Ritonavir, Lopinavir. Therefore, the health worker must continue to be alert to recognize symptoms of infections and treat these infections appropriately.</w:t>
      </w:r>
    </w:p>
    <w:p w:rsidR="0071027C" w:rsidRPr="003E72E0" w:rsidRDefault="0071027C" w:rsidP="00AA771C">
      <w:pPr>
        <w:autoSpaceDE w:val="0"/>
        <w:autoSpaceDN w:val="0"/>
        <w:adjustRightInd w:val="0"/>
        <w:spacing w:beforeLines="120" w:before="288" w:afterLines="120" w:after="288"/>
        <w:jc w:val="both"/>
        <w:rPr>
          <w:rFonts w:ascii="Arial" w:hAnsi="Arial" w:cs="Arial"/>
          <w:b/>
        </w:rPr>
      </w:pPr>
      <w:r w:rsidRPr="003E72E0">
        <w:rPr>
          <w:rFonts w:ascii="Arial" w:hAnsi="Arial" w:cs="Arial"/>
          <w:b/>
        </w:rPr>
        <w:t>Nutritional advice in relation to multiple medications</w:t>
      </w:r>
    </w:p>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Patients who are on multiple medications such as HIV and TB require taking many pills on a daily basis, which can make it difficult to maintain food intake. Multiple medications have diverse food-drug implications and side effects that necessitate specific selection of foods and timing of medications Health workers should counsel clients and parents/ caregivers on the dietary management.</w:t>
      </w: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728"/>
        <w:gridCol w:w="3330"/>
        <w:gridCol w:w="4170"/>
      </w:tblGrid>
      <w:tr w:rsidR="0071027C" w:rsidRPr="003E72E0" w:rsidTr="0071027C">
        <w:trPr>
          <w:trHeight w:val="512"/>
        </w:trPr>
        <w:tc>
          <w:tcPr>
            <w:tcW w:w="9228" w:type="dxa"/>
            <w:gridSpan w:val="3"/>
            <w:tcBorders>
              <w:top w:val="nil"/>
              <w:left w:val="nil"/>
              <w:bottom w:val="nil"/>
              <w:right w:val="nil"/>
            </w:tcBorders>
            <w:shd w:val="clear" w:color="auto" w:fill="auto"/>
          </w:tcPr>
          <w:p w:rsidR="0071027C" w:rsidRPr="003E72E0" w:rsidRDefault="0071027C" w:rsidP="00AA771C">
            <w:pPr>
              <w:autoSpaceDE w:val="0"/>
              <w:autoSpaceDN w:val="0"/>
              <w:adjustRightInd w:val="0"/>
              <w:spacing w:beforeLines="120" w:before="288" w:afterLines="120" w:after="288"/>
              <w:jc w:val="both"/>
              <w:rPr>
                <w:rFonts w:ascii="Arial" w:hAnsi="Arial" w:cs="Arial"/>
                <w:b/>
                <w:bCs/>
              </w:rPr>
            </w:pPr>
            <w:r w:rsidRPr="003E72E0">
              <w:rPr>
                <w:rFonts w:ascii="Arial" w:hAnsi="Arial" w:cs="Arial"/>
                <w:b/>
              </w:rPr>
              <w:t xml:space="preserve">Table 13:3.  </w:t>
            </w:r>
            <w:r w:rsidRPr="003E72E0">
              <w:rPr>
                <w:rFonts w:ascii="Arial" w:hAnsi="Arial" w:cs="Arial"/>
                <w:b/>
                <w:bCs/>
              </w:rPr>
              <w:t>Isoniazid: R</w:t>
            </w:r>
            <w:r w:rsidRPr="003E72E0">
              <w:rPr>
                <w:rFonts w:ascii="Arial" w:hAnsi="Arial" w:cs="Arial"/>
                <w:b/>
              </w:rPr>
              <w:t xml:space="preserve">elationship of </w:t>
            </w:r>
            <w:r w:rsidRPr="003E72E0">
              <w:rPr>
                <w:rFonts w:ascii="Arial" w:hAnsi="Arial" w:cs="Arial"/>
                <w:b/>
                <w:bCs/>
              </w:rPr>
              <w:t>food and side effects</w:t>
            </w:r>
          </w:p>
        </w:tc>
      </w:tr>
      <w:tr w:rsidR="0071027C" w:rsidRPr="003E72E0" w:rsidTr="0071027C">
        <w:trPr>
          <w:trHeight w:val="512"/>
        </w:trPr>
        <w:tc>
          <w:tcPr>
            <w:tcW w:w="1728" w:type="dxa"/>
            <w:tcBorders>
              <w:top w:val="nil"/>
              <w:right w:val="single" w:sz="4" w:space="0" w:color="FFFFFF"/>
            </w:tcBorders>
            <w:shd w:val="clear" w:color="auto" w:fill="000000"/>
          </w:tcPr>
          <w:p w:rsidR="0071027C" w:rsidRPr="003E72E0" w:rsidRDefault="0071027C" w:rsidP="00AA771C">
            <w:pPr>
              <w:autoSpaceDE w:val="0"/>
              <w:autoSpaceDN w:val="0"/>
              <w:adjustRightInd w:val="0"/>
              <w:spacing w:beforeLines="120" w:before="288" w:afterLines="120" w:after="288"/>
              <w:jc w:val="both"/>
              <w:rPr>
                <w:rFonts w:ascii="Arial" w:hAnsi="Arial" w:cs="Arial"/>
                <w:b/>
                <w:bCs/>
                <w:iCs/>
              </w:rPr>
            </w:pPr>
            <w:r w:rsidRPr="003E72E0">
              <w:rPr>
                <w:rFonts w:ascii="Arial" w:hAnsi="Arial" w:cs="Arial"/>
                <w:b/>
                <w:bCs/>
                <w:iCs/>
              </w:rPr>
              <w:t xml:space="preserve">Medication </w:t>
            </w:r>
          </w:p>
        </w:tc>
        <w:tc>
          <w:tcPr>
            <w:tcW w:w="3330" w:type="dxa"/>
            <w:tcBorders>
              <w:top w:val="nil"/>
              <w:left w:val="single" w:sz="4" w:space="0" w:color="FFFFFF"/>
              <w:right w:val="single" w:sz="4" w:space="0" w:color="FFFFFF"/>
            </w:tcBorders>
            <w:shd w:val="clear" w:color="auto" w:fill="000000"/>
          </w:tcPr>
          <w:p w:rsidR="0071027C" w:rsidRPr="003E72E0" w:rsidRDefault="0071027C" w:rsidP="00AA771C">
            <w:pPr>
              <w:autoSpaceDE w:val="0"/>
              <w:autoSpaceDN w:val="0"/>
              <w:adjustRightInd w:val="0"/>
              <w:spacing w:beforeLines="120" w:before="288" w:afterLines="120" w:after="288"/>
              <w:jc w:val="both"/>
              <w:rPr>
                <w:rFonts w:ascii="Arial" w:hAnsi="Arial" w:cs="Arial"/>
                <w:b/>
                <w:bCs/>
                <w:iCs/>
              </w:rPr>
            </w:pPr>
            <w:r w:rsidRPr="003E72E0">
              <w:rPr>
                <w:rFonts w:ascii="Arial" w:hAnsi="Arial" w:cs="Arial"/>
                <w:b/>
                <w:bCs/>
                <w:iCs/>
              </w:rPr>
              <w:t>Dietary interactions and the Medication Side Effects</w:t>
            </w:r>
          </w:p>
        </w:tc>
        <w:tc>
          <w:tcPr>
            <w:tcW w:w="4170" w:type="dxa"/>
            <w:tcBorders>
              <w:top w:val="nil"/>
              <w:left w:val="single" w:sz="4" w:space="0" w:color="FFFFFF"/>
            </w:tcBorders>
            <w:shd w:val="clear" w:color="auto" w:fill="000000"/>
          </w:tcPr>
          <w:p w:rsidR="0071027C" w:rsidRPr="003E72E0" w:rsidRDefault="0071027C" w:rsidP="00AA771C">
            <w:pPr>
              <w:autoSpaceDE w:val="0"/>
              <w:autoSpaceDN w:val="0"/>
              <w:adjustRightInd w:val="0"/>
              <w:spacing w:beforeLines="120" w:before="288" w:afterLines="120" w:after="288"/>
              <w:jc w:val="both"/>
              <w:rPr>
                <w:rFonts w:ascii="Arial" w:hAnsi="Arial" w:cs="Arial"/>
                <w:b/>
                <w:bCs/>
              </w:rPr>
            </w:pPr>
            <w:r w:rsidRPr="003E72E0">
              <w:rPr>
                <w:rFonts w:ascii="Arial" w:hAnsi="Arial" w:cs="Arial"/>
                <w:b/>
                <w:bCs/>
                <w:iCs/>
              </w:rPr>
              <w:t>Dietary advise</w:t>
            </w:r>
          </w:p>
        </w:tc>
      </w:tr>
      <w:tr w:rsidR="0071027C" w:rsidRPr="003E72E0" w:rsidTr="0071027C">
        <w:trPr>
          <w:cantSplit/>
        </w:trPr>
        <w:tc>
          <w:tcPr>
            <w:tcW w:w="1728" w:type="dxa"/>
            <w:vMerge w:val="restart"/>
            <w:shd w:val="clear" w:color="auto" w:fill="D9D9D9"/>
          </w:tcPr>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Isoniazid TB treatment</w:t>
            </w:r>
          </w:p>
        </w:tc>
        <w:tc>
          <w:tcPr>
            <w:tcW w:w="3330" w:type="dxa"/>
            <w:shd w:val="clear" w:color="auto" w:fill="D9D9D9"/>
          </w:tcPr>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Food reduces absorption of Isoniazid</w:t>
            </w:r>
          </w:p>
        </w:tc>
        <w:tc>
          <w:tcPr>
            <w:tcW w:w="4170" w:type="dxa"/>
            <w:shd w:val="clear" w:color="auto" w:fill="D9D9D9"/>
          </w:tcPr>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Do not take Isoniazid during meals. Take one hour before or two hours after meals.</w:t>
            </w:r>
          </w:p>
        </w:tc>
      </w:tr>
      <w:tr w:rsidR="0071027C" w:rsidRPr="003E72E0" w:rsidTr="0071027C">
        <w:trPr>
          <w:cantSplit/>
          <w:trHeight w:val="593"/>
        </w:trPr>
        <w:tc>
          <w:tcPr>
            <w:tcW w:w="1728" w:type="dxa"/>
            <w:vMerge/>
          </w:tcPr>
          <w:p w:rsidR="0071027C" w:rsidRPr="003E72E0" w:rsidRDefault="0071027C" w:rsidP="00AA771C">
            <w:pPr>
              <w:autoSpaceDE w:val="0"/>
              <w:autoSpaceDN w:val="0"/>
              <w:adjustRightInd w:val="0"/>
              <w:spacing w:beforeLines="120" w:before="288" w:afterLines="120" w:after="288"/>
              <w:jc w:val="both"/>
              <w:rPr>
                <w:rFonts w:ascii="Arial" w:hAnsi="Arial" w:cs="Arial"/>
                <w:b/>
                <w:bCs/>
              </w:rPr>
            </w:pPr>
          </w:p>
        </w:tc>
        <w:tc>
          <w:tcPr>
            <w:tcW w:w="3330" w:type="dxa"/>
            <w:shd w:val="clear" w:color="auto" w:fill="D9D9D9"/>
          </w:tcPr>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May affect vitamin B6</w:t>
            </w:r>
          </w:p>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Metabolism</w:t>
            </w:r>
          </w:p>
        </w:tc>
        <w:tc>
          <w:tcPr>
            <w:tcW w:w="4170" w:type="dxa"/>
            <w:shd w:val="clear" w:color="auto" w:fill="D9D9D9"/>
          </w:tcPr>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Daily consumption of food sources of vitamin B6 such as white beans, maize avocado, meat, and fish, or vitamin B6 (25 to 50 mg daily) supplementation is recommended</w:t>
            </w:r>
          </w:p>
        </w:tc>
      </w:tr>
      <w:tr w:rsidR="0071027C" w:rsidRPr="003E72E0" w:rsidTr="0071027C">
        <w:trPr>
          <w:cantSplit/>
        </w:trPr>
        <w:tc>
          <w:tcPr>
            <w:tcW w:w="1728" w:type="dxa"/>
            <w:vMerge/>
          </w:tcPr>
          <w:p w:rsidR="0071027C" w:rsidRPr="003E72E0" w:rsidRDefault="0071027C" w:rsidP="00AA771C">
            <w:pPr>
              <w:autoSpaceDE w:val="0"/>
              <w:autoSpaceDN w:val="0"/>
              <w:adjustRightInd w:val="0"/>
              <w:spacing w:beforeLines="120" w:before="288" w:afterLines="120" w:after="288"/>
              <w:jc w:val="both"/>
              <w:rPr>
                <w:rFonts w:ascii="Arial" w:hAnsi="Arial" w:cs="Arial"/>
                <w:b/>
                <w:bCs/>
              </w:rPr>
            </w:pPr>
          </w:p>
        </w:tc>
        <w:tc>
          <w:tcPr>
            <w:tcW w:w="3330" w:type="dxa"/>
            <w:shd w:val="clear" w:color="auto" w:fill="D9D9D9"/>
          </w:tcPr>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Increased risk of hepatitis when combined with alcohol</w:t>
            </w:r>
          </w:p>
        </w:tc>
        <w:tc>
          <w:tcPr>
            <w:tcW w:w="4170" w:type="dxa"/>
            <w:shd w:val="clear" w:color="auto" w:fill="D9D9D9"/>
          </w:tcPr>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Avoid alcohol.</w:t>
            </w:r>
          </w:p>
        </w:tc>
      </w:tr>
      <w:tr w:rsidR="0071027C" w:rsidRPr="003E72E0" w:rsidTr="0071027C">
        <w:trPr>
          <w:cantSplit/>
          <w:trHeight w:val="152"/>
        </w:trPr>
        <w:tc>
          <w:tcPr>
            <w:tcW w:w="1728" w:type="dxa"/>
            <w:vMerge/>
          </w:tcPr>
          <w:p w:rsidR="0071027C" w:rsidRPr="003E72E0" w:rsidRDefault="0071027C" w:rsidP="00AA771C">
            <w:pPr>
              <w:autoSpaceDE w:val="0"/>
              <w:autoSpaceDN w:val="0"/>
              <w:adjustRightInd w:val="0"/>
              <w:spacing w:beforeLines="120" w:before="288" w:afterLines="120" w:after="288"/>
              <w:jc w:val="both"/>
              <w:rPr>
                <w:rFonts w:ascii="Arial" w:hAnsi="Arial" w:cs="Arial"/>
                <w:b/>
                <w:bCs/>
              </w:rPr>
            </w:pPr>
          </w:p>
        </w:tc>
        <w:tc>
          <w:tcPr>
            <w:tcW w:w="3330" w:type="dxa"/>
            <w:shd w:val="clear" w:color="auto" w:fill="D9D9D9"/>
          </w:tcPr>
          <w:p w:rsidR="0071027C" w:rsidRPr="003E72E0" w:rsidRDefault="0071027C" w:rsidP="00AA771C">
            <w:pPr>
              <w:autoSpaceDE w:val="0"/>
              <w:autoSpaceDN w:val="0"/>
              <w:adjustRightInd w:val="0"/>
              <w:spacing w:beforeLines="120" w:before="288" w:afterLines="120" w:after="288"/>
              <w:jc w:val="both"/>
              <w:rPr>
                <w:rFonts w:ascii="Arial" w:hAnsi="Arial" w:cs="Arial"/>
                <w:b/>
                <w:bCs/>
              </w:rPr>
            </w:pPr>
            <w:r w:rsidRPr="003E72E0">
              <w:rPr>
                <w:rFonts w:ascii="Arial" w:hAnsi="Arial" w:cs="Arial"/>
              </w:rPr>
              <w:t>Anorexia (i.e., loss of appetite)</w:t>
            </w:r>
          </w:p>
        </w:tc>
        <w:tc>
          <w:tcPr>
            <w:tcW w:w="4170" w:type="dxa"/>
            <w:shd w:val="clear" w:color="auto" w:fill="D9D9D9"/>
          </w:tcPr>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Eat small and frequent meals. Eat favorite foods.</w:t>
            </w:r>
          </w:p>
        </w:tc>
      </w:tr>
      <w:tr w:rsidR="0071027C" w:rsidRPr="003E72E0" w:rsidTr="0071027C">
        <w:trPr>
          <w:cantSplit/>
        </w:trPr>
        <w:tc>
          <w:tcPr>
            <w:tcW w:w="1728" w:type="dxa"/>
            <w:vMerge/>
          </w:tcPr>
          <w:p w:rsidR="0071027C" w:rsidRPr="003E72E0" w:rsidRDefault="0071027C" w:rsidP="00AA771C">
            <w:pPr>
              <w:autoSpaceDE w:val="0"/>
              <w:autoSpaceDN w:val="0"/>
              <w:adjustRightInd w:val="0"/>
              <w:spacing w:beforeLines="120" w:before="288" w:afterLines="120" w:after="288"/>
              <w:jc w:val="both"/>
              <w:rPr>
                <w:rFonts w:ascii="Arial" w:hAnsi="Arial" w:cs="Arial"/>
                <w:b/>
                <w:bCs/>
              </w:rPr>
            </w:pPr>
          </w:p>
        </w:tc>
        <w:tc>
          <w:tcPr>
            <w:tcW w:w="3330" w:type="dxa"/>
            <w:shd w:val="clear" w:color="auto" w:fill="D9D9D9"/>
          </w:tcPr>
          <w:p w:rsidR="0071027C" w:rsidRPr="003E72E0" w:rsidRDefault="0071027C" w:rsidP="00AA771C">
            <w:pPr>
              <w:autoSpaceDE w:val="0"/>
              <w:autoSpaceDN w:val="0"/>
              <w:adjustRightInd w:val="0"/>
              <w:spacing w:beforeLines="120" w:before="288" w:afterLines="120" w:after="288"/>
              <w:jc w:val="both"/>
              <w:rPr>
                <w:rFonts w:ascii="Arial" w:hAnsi="Arial" w:cs="Arial"/>
                <w:b/>
                <w:bCs/>
              </w:rPr>
            </w:pPr>
            <w:r w:rsidRPr="003E72E0">
              <w:rPr>
                <w:rFonts w:ascii="Arial" w:hAnsi="Arial" w:cs="Arial"/>
              </w:rPr>
              <w:t>Diarrhea</w:t>
            </w:r>
          </w:p>
        </w:tc>
        <w:tc>
          <w:tcPr>
            <w:tcW w:w="4170" w:type="dxa"/>
            <w:shd w:val="clear" w:color="auto" w:fill="D9D9D9"/>
          </w:tcPr>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Drink plenty of fluids and eat energy- and nutrient rich food. Avoid fried foods.</w:t>
            </w:r>
          </w:p>
        </w:tc>
      </w:tr>
    </w:tbl>
    <w:p w:rsidR="0071027C" w:rsidRPr="003E72E0" w:rsidRDefault="0071027C" w:rsidP="00AA771C">
      <w:pPr>
        <w:autoSpaceDE w:val="0"/>
        <w:autoSpaceDN w:val="0"/>
        <w:adjustRightInd w:val="0"/>
        <w:spacing w:beforeLines="120" w:before="288" w:afterLines="120" w:after="288"/>
        <w:jc w:val="both"/>
        <w:rPr>
          <w:rFonts w:ascii="Arial" w:hAnsi="Arial" w:cs="Arial"/>
          <w:b/>
        </w:rPr>
      </w:pPr>
      <w:r w:rsidRPr="003E72E0">
        <w:rPr>
          <w:rFonts w:ascii="Arial" w:hAnsi="Arial" w:cs="Arial"/>
          <w:b/>
        </w:rPr>
        <w:t>Monitoring of nutritional status</w:t>
      </w:r>
    </w:p>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Monitoring of nutritional status is an important aspect of nutritional care and support for PLHIV. This includes a comprehensive assessment by medical, psychosocial, dietary, review of patient file for biochemical results and anthropometry</w:t>
      </w:r>
    </w:p>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b/>
          <w:color w:val="292526"/>
        </w:rPr>
        <w:t>Medical history</w:t>
      </w:r>
    </w:p>
    <w:p w:rsidR="0071027C" w:rsidRPr="003E72E0" w:rsidRDefault="0071027C" w:rsidP="00AA771C">
      <w:pPr>
        <w:autoSpaceDE w:val="0"/>
        <w:autoSpaceDN w:val="0"/>
        <w:adjustRightInd w:val="0"/>
        <w:spacing w:beforeLines="120" w:before="288" w:afterLines="120" w:after="288"/>
        <w:ind w:left="720"/>
        <w:jc w:val="both"/>
        <w:rPr>
          <w:rFonts w:ascii="Arial" w:hAnsi="Arial" w:cs="Arial"/>
          <w:color w:val="000000"/>
        </w:rPr>
      </w:pPr>
      <w:r w:rsidRPr="003E72E0">
        <w:rPr>
          <w:rFonts w:ascii="Arial" w:hAnsi="Arial" w:cs="Arial"/>
          <w:color w:val="292526"/>
        </w:rPr>
        <w:t>Many diseases such as malaria or tuberculosis can affect an individual’s nutritional status hence, it is important to find out the past and present health status of the patient. It is also important to e</w:t>
      </w:r>
      <w:r w:rsidRPr="003E72E0">
        <w:rPr>
          <w:rFonts w:ascii="Arial" w:hAnsi="Arial" w:cs="Arial"/>
        </w:rPr>
        <w:t xml:space="preserve">valuate interactions between food and medications, as medications may interfere with </w:t>
      </w:r>
      <w:r w:rsidRPr="003E72E0">
        <w:rPr>
          <w:rFonts w:ascii="Arial" w:hAnsi="Arial" w:cs="Arial"/>
          <w:bCs/>
        </w:rPr>
        <w:t xml:space="preserve">nutrient absorption </w:t>
      </w:r>
      <w:r w:rsidRPr="003E72E0">
        <w:rPr>
          <w:rFonts w:ascii="Arial" w:hAnsi="Arial" w:cs="Arial"/>
        </w:rPr>
        <w:t xml:space="preserve">or increase the excretion of nutrients.  Vitamin, mineral, and </w:t>
      </w:r>
      <w:r w:rsidRPr="003E72E0">
        <w:rPr>
          <w:rFonts w:ascii="Arial" w:hAnsi="Arial" w:cs="Arial"/>
          <w:bCs/>
        </w:rPr>
        <w:t xml:space="preserve">herbal </w:t>
      </w:r>
      <w:r w:rsidRPr="003E72E0">
        <w:rPr>
          <w:rFonts w:ascii="Arial" w:hAnsi="Arial" w:cs="Arial"/>
        </w:rPr>
        <w:t xml:space="preserve">supplementation can also affect nutritional balance. </w:t>
      </w:r>
    </w:p>
    <w:p w:rsidR="0071027C" w:rsidRPr="003E72E0" w:rsidRDefault="0071027C" w:rsidP="00AA771C">
      <w:pPr>
        <w:pStyle w:val="NormalWeb"/>
        <w:spacing w:beforeLines="120" w:before="288" w:beforeAutospacing="0" w:afterLines="120" w:after="288" w:afterAutospacing="0" w:line="276" w:lineRule="auto"/>
        <w:ind w:left="720"/>
        <w:jc w:val="both"/>
        <w:rPr>
          <w:rFonts w:ascii="Arial" w:hAnsi="Arial" w:cs="Arial"/>
          <w:color w:val="000000"/>
          <w:sz w:val="22"/>
          <w:szCs w:val="22"/>
        </w:rPr>
      </w:pPr>
      <w:r w:rsidRPr="003E72E0">
        <w:rPr>
          <w:rFonts w:ascii="Arial" w:hAnsi="Arial" w:cs="Arial"/>
          <w:sz w:val="22"/>
          <w:szCs w:val="22"/>
        </w:rPr>
        <w:t>Medical history should also be used to detect signs and symptoms associated with malnutrition including diet related opportunistic infections.</w:t>
      </w:r>
      <w:r w:rsidRPr="003E72E0">
        <w:rPr>
          <w:rFonts w:ascii="Arial" w:hAnsi="Arial" w:cs="Arial"/>
          <w:color w:val="000000"/>
          <w:sz w:val="22"/>
          <w:szCs w:val="22"/>
        </w:rPr>
        <w:t xml:space="preserve"> The physical appearance of the hair, skin, and nails can assist in identifying </w:t>
      </w:r>
      <w:r w:rsidRPr="003E72E0">
        <w:rPr>
          <w:rFonts w:ascii="Arial" w:hAnsi="Arial" w:cs="Arial"/>
          <w:b/>
          <w:bCs/>
          <w:color w:val="000000"/>
          <w:sz w:val="22"/>
          <w:szCs w:val="22"/>
        </w:rPr>
        <w:t xml:space="preserve">nutritional deficiencies. </w:t>
      </w:r>
      <w:r w:rsidRPr="003E72E0">
        <w:rPr>
          <w:rFonts w:ascii="Arial" w:hAnsi="Arial" w:cs="Arial"/>
          <w:color w:val="000000"/>
          <w:sz w:val="22"/>
          <w:szCs w:val="22"/>
        </w:rPr>
        <w:t xml:space="preserve">For example, spoon-shaped, pale, and brittle fingernails may indicate </w:t>
      </w:r>
      <w:r w:rsidRPr="003E72E0">
        <w:rPr>
          <w:rFonts w:ascii="Arial" w:hAnsi="Arial" w:cs="Arial"/>
          <w:b/>
          <w:bCs/>
          <w:color w:val="000000"/>
          <w:sz w:val="22"/>
          <w:szCs w:val="22"/>
        </w:rPr>
        <w:t xml:space="preserve">iron </w:t>
      </w:r>
      <w:r w:rsidRPr="003E72E0">
        <w:rPr>
          <w:rFonts w:ascii="Arial" w:hAnsi="Arial" w:cs="Arial"/>
          <w:color w:val="000000"/>
          <w:sz w:val="22"/>
          <w:szCs w:val="22"/>
        </w:rPr>
        <w:t xml:space="preserve">deficiency. Opportunistic infections such as </w:t>
      </w:r>
      <w:r w:rsidRPr="003E72E0">
        <w:rPr>
          <w:rFonts w:ascii="Arial" w:hAnsi="Arial" w:cs="Arial"/>
          <w:b/>
          <w:color w:val="000000"/>
          <w:sz w:val="22"/>
          <w:szCs w:val="22"/>
        </w:rPr>
        <w:t>o</w:t>
      </w:r>
      <w:r w:rsidRPr="003E72E0">
        <w:rPr>
          <w:rFonts w:ascii="Arial" w:hAnsi="Arial" w:cs="Arial"/>
          <w:b/>
          <w:bCs/>
          <w:color w:val="000000"/>
          <w:sz w:val="22"/>
          <w:szCs w:val="22"/>
        </w:rPr>
        <w:t xml:space="preserve">ral thrush </w:t>
      </w:r>
      <w:r w:rsidRPr="003E72E0">
        <w:rPr>
          <w:rFonts w:ascii="Arial" w:hAnsi="Arial" w:cs="Arial"/>
          <w:color w:val="000000"/>
          <w:sz w:val="22"/>
          <w:szCs w:val="22"/>
        </w:rPr>
        <w:t xml:space="preserve">or </w:t>
      </w:r>
      <w:r w:rsidRPr="003E72E0">
        <w:rPr>
          <w:rFonts w:ascii="Arial" w:hAnsi="Arial" w:cs="Arial"/>
          <w:b/>
          <w:color w:val="000000"/>
          <w:sz w:val="22"/>
          <w:szCs w:val="22"/>
        </w:rPr>
        <w:t>sore throat</w:t>
      </w:r>
      <w:r w:rsidRPr="003E72E0">
        <w:rPr>
          <w:rFonts w:ascii="Arial" w:hAnsi="Arial" w:cs="Arial"/>
          <w:color w:val="000000"/>
          <w:sz w:val="22"/>
          <w:szCs w:val="22"/>
        </w:rPr>
        <w:t xml:space="preserve"> can affect a persons' ability to eat and increase risk of complications, such as wasting or weight loss. A person's weight history, such as rapid weight loss, can be an indicator of a nutritional problem. </w:t>
      </w:r>
    </w:p>
    <w:p w:rsidR="0071027C" w:rsidRPr="003E72E0" w:rsidRDefault="0071027C" w:rsidP="00AA771C">
      <w:pPr>
        <w:autoSpaceDE w:val="0"/>
        <w:autoSpaceDN w:val="0"/>
        <w:adjustRightInd w:val="0"/>
        <w:spacing w:beforeLines="120" w:before="288" w:afterLines="120" w:after="288"/>
        <w:ind w:left="720"/>
        <w:jc w:val="both"/>
        <w:rPr>
          <w:rFonts w:ascii="Arial" w:hAnsi="Arial" w:cs="Arial"/>
          <w:b/>
        </w:rPr>
      </w:pPr>
      <w:r w:rsidRPr="003E72E0">
        <w:rPr>
          <w:rFonts w:ascii="Arial" w:hAnsi="Arial" w:cs="Arial"/>
          <w:lang w:eastAsia="de-DE"/>
        </w:rPr>
        <w:t xml:space="preserve">PLHIV who are on ART need appropriate and adequate nutrition to achieve the full benefits of ART.  Dietary intake should be </w:t>
      </w:r>
      <w:r w:rsidRPr="003E72E0">
        <w:rPr>
          <w:rFonts w:ascii="Arial" w:hAnsi="Arial" w:cs="Arial"/>
          <w:color w:val="000000"/>
        </w:rPr>
        <w:t>modified to manage symptoms and increase intake though soft, minced texture, boiled form and use of herbs.</w:t>
      </w:r>
    </w:p>
    <w:p w:rsidR="0071027C" w:rsidRPr="003E72E0" w:rsidRDefault="0071027C" w:rsidP="00AA771C">
      <w:pPr>
        <w:spacing w:beforeLines="120" w:before="288" w:afterLines="120" w:after="288"/>
        <w:jc w:val="both"/>
        <w:rPr>
          <w:rFonts w:ascii="Arial" w:hAnsi="Arial" w:cs="Arial"/>
          <w:b/>
        </w:rPr>
      </w:pPr>
      <w:r w:rsidRPr="003E72E0">
        <w:rPr>
          <w:rFonts w:ascii="Arial" w:hAnsi="Arial" w:cs="Arial"/>
          <w:b/>
        </w:rPr>
        <w:t xml:space="preserve">Psychosocial history </w:t>
      </w:r>
    </w:p>
    <w:p w:rsidR="0071027C" w:rsidRPr="003E72E0" w:rsidRDefault="0071027C" w:rsidP="00AA771C">
      <w:pPr>
        <w:spacing w:beforeLines="120" w:before="288" w:afterLines="120" w:after="288"/>
        <w:ind w:left="720"/>
        <w:jc w:val="both"/>
        <w:rPr>
          <w:rFonts w:ascii="Arial" w:hAnsi="Arial" w:cs="Arial"/>
        </w:rPr>
      </w:pPr>
      <w:r w:rsidRPr="003E72E0">
        <w:rPr>
          <w:rFonts w:ascii="Arial" w:hAnsi="Arial" w:cs="Arial"/>
          <w:color w:val="000000"/>
        </w:rPr>
        <w:t xml:space="preserve">A psychosocial assessment includes reviewing a person's economic status, cultural background, living situation, education level, occupation, mental status, and access to adequate food sources to maintain good health.  Each of these components plays a role in determining a person's ability to follow through on specific dietary plans.  </w:t>
      </w:r>
    </w:p>
    <w:p w:rsidR="0071027C" w:rsidRPr="003E72E0" w:rsidRDefault="0071027C" w:rsidP="00AA771C">
      <w:pPr>
        <w:pStyle w:val="NormalWeb"/>
        <w:spacing w:beforeLines="120" w:before="288" w:beforeAutospacing="0" w:afterLines="120" w:after="288" w:afterAutospacing="0" w:line="276" w:lineRule="auto"/>
        <w:jc w:val="both"/>
        <w:rPr>
          <w:rFonts w:ascii="Arial" w:hAnsi="Arial" w:cs="Arial"/>
          <w:b/>
          <w:color w:val="000000"/>
          <w:sz w:val="22"/>
          <w:szCs w:val="22"/>
        </w:rPr>
      </w:pPr>
      <w:r w:rsidRPr="003E72E0">
        <w:rPr>
          <w:rFonts w:ascii="Arial" w:hAnsi="Arial" w:cs="Arial"/>
          <w:b/>
          <w:color w:val="000000"/>
          <w:sz w:val="22"/>
          <w:szCs w:val="22"/>
        </w:rPr>
        <w:t>Dietary history</w:t>
      </w:r>
    </w:p>
    <w:p w:rsidR="0071027C" w:rsidRPr="003E72E0" w:rsidRDefault="0071027C" w:rsidP="00AA771C">
      <w:pPr>
        <w:pStyle w:val="NormalWeb"/>
        <w:spacing w:beforeLines="120" w:before="288" w:beforeAutospacing="0" w:afterLines="120" w:after="288" w:afterAutospacing="0" w:line="276" w:lineRule="auto"/>
        <w:ind w:left="720"/>
        <w:jc w:val="both"/>
        <w:rPr>
          <w:rFonts w:ascii="Arial" w:hAnsi="Arial" w:cs="Arial"/>
          <w:sz w:val="22"/>
          <w:szCs w:val="22"/>
        </w:rPr>
      </w:pPr>
      <w:r w:rsidRPr="003E72E0">
        <w:rPr>
          <w:rFonts w:ascii="Arial" w:hAnsi="Arial" w:cs="Arial"/>
          <w:sz w:val="22"/>
          <w:szCs w:val="22"/>
        </w:rPr>
        <w:t xml:space="preserve">A dietary </w:t>
      </w:r>
      <w:hyperlink r:id="rId19" w:history="1"/>
      <w:r w:rsidRPr="003E72E0">
        <w:rPr>
          <w:rFonts w:ascii="Arial" w:hAnsi="Arial" w:cs="Arial"/>
          <w:sz w:val="22"/>
          <w:szCs w:val="22"/>
        </w:rPr>
        <w:t xml:space="preserve">history includes an assessment of a person's usual dietary intake. This can be done using a twenty-four-hour recall of food eaten. Reviewing food preparation methods is helpful in determining the amount of salt and </w:t>
      </w:r>
      <w:r w:rsidRPr="003E72E0">
        <w:rPr>
          <w:rFonts w:ascii="Arial" w:hAnsi="Arial" w:cs="Arial"/>
          <w:bCs/>
          <w:sz w:val="22"/>
          <w:szCs w:val="22"/>
        </w:rPr>
        <w:t>oil/fat which when taken in excess is harmful to health</w:t>
      </w:r>
      <w:r w:rsidRPr="003E72E0">
        <w:rPr>
          <w:rFonts w:ascii="Arial" w:hAnsi="Arial" w:cs="Arial"/>
          <w:sz w:val="22"/>
          <w:szCs w:val="22"/>
        </w:rPr>
        <w:t xml:space="preserve">. The frequency of meals eaten out is an important indicator of whether a person has access to cooking, or just prefers to eat out instead of cooking. These factors play a role in determining the details of a dietary counseling plan. </w:t>
      </w:r>
    </w:p>
    <w:p w:rsidR="0071027C" w:rsidRPr="003E72E0" w:rsidRDefault="0071027C" w:rsidP="00AA771C">
      <w:pPr>
        <w:pStyle w:val="NormalWeb"/>
        <w:spacing w:beforeLines="120" w:before="288" w:beforeAutospacing="0" w:afterLines="120" w:after="288" w:afterAutospacing="0" w:line="276" w:lineRule="auto"/>
        <w:jc w:val="both"/>
        <w:rPr>
          <w:rFonts w:ascii="Arial" w:hAnsi="Arial" w:cs="Arial"/>
          <w:color w:val="000000"/>
          <w:sz w:val="22"/>
          <w:szCs w:val="22"/>
        </w:rPr>
      </w:pPr>
      <w:r w:rsidRPr="003E72E0">
        <w:rPr>
          <w:rFonts w:ascii="Arial" w:hAnsi="Arial" w:cs="Arial"/>
          <w:b/>
          <w:sz w:val="22"/>
          <w:szCs w:val="22"/>
        </w:rPr>
        <w:t>Biochemical assessment</w:t>
      </w:r>
    </w:p>
    <w:p w:rsidR="0071027C" w:rsidRPr="003E72E0" w:rsidRDefault="0071027C" w:rsidP="00AA771C">
      <w:pPr>
        <w:autoSpaceDE w:val="0"/>
        <w:autoSpaceDN w:val="0"/>
        <w:adjustRightInd w:val="0"/>
        <w:spacing w:beforeLines="120" w:before="288" w:afterLines="120" w:after="288"/>
        <w:ind w:left="720"/>
        <w:jc w:val="both"/>
        <w:rPr>
          <w:rFonts w:ascii="Arial" w:hAnsi="Arial" w:cs="Arial"/>
        </w:rPr>
      </w:pPr>
      <w:r w:rsidRPr="003E72E0">
        <w:rPr>
          <w:rFonts w:ascii="Arial" w:hAnsi="Arial" w:cs="Arial"/>
        </w:rPr>
        <w:t xml:space="preserve">Biochemical assessment of nutritional status is done in the laboratory where nutrient deficiencies are detected. Where available test for blood protein (e.g. Serum albumin), micronutrients (e.g. iron) and Lipid (e.g. Cholesterol), can be used to monitor nutritional status of PLHIV. Hemoglobin level is one of the indicators used to monitor anemia </w:t>
      </w:r>
    </w:p>
    <w:p w:rsidR="0071027C" w:rsidRPr="003E72E0" w:rsidRDefault="0071027C" w:rsidP="00AA771C">
      <w:pPr>
        <w:pStyle w:val="NormalWeb"/>
        <w:spacing w:beforeLines="120" w:before="288" w:beforeAutospacing="0" w:afterLines="120" w:after="288" w:afterAutospacing="0" w:line="276" w:lineRule="auto"/>
        <w:jc w:val="both"/>
        <w:rPr>
          <w:rFonts w:ascii="Arial" w:hAnsi="Arial" w:cs="Arial"/>
          <w:b/>
          <w:color w:val="000000"/>
          <w:sz w:val="22"/>
          <w:szCs w:val="22"/>
        </w:rPr>
      </w:pPr>
      <w:r w:rsidRPr="003E72E0">
        <w:rPr>
          <w:rFonts w:ascii="Arial" w:hAnsi="Arial" w:cs="Arial"/>
          <w:b/>
          <w:color w:val="000000"/>
          <w:sz w:val="22"/>
          <w:szCs w:val="22"/>
        </w:rPr>
        <w:t>Anthropometry assessment</w:t>
      </w:r>
    </w:p>
    <w:p w:rsidR="0071027C" w:rsidRPr="003E72E0" w:rsidRDefault="0071027C" w:rsidP="00AA771C">
      <w:pPr>
        <w:pStyle w:val="NormalWeb"/>
        <w:spacing w:beforeLines="120" w:before="288" w:beforeAutospacing="0" w:afterLines="120" w:after="288" w:afterAutospacing="0" w:line="276" w:lineRule="auto"/>
        <w:ind w:left="720"/>
        <w:jc w:val="both"/>
        <w:rPr>
          <w:rFonts w:ascii="Arial" w:hAnsi="Arial" w:cs="Arial"/>
          <w:color w:val="000000"/>
          <w:sz w:val="22"/>
          <w:szCs w:val="22"/>
        </w:rPr>
      </w:pPr>
      <w:r w:rsidRPr="003E72E0">
        <w:rPr>
          <w:rFonts w:ascii="Arial" w:hAnsi="Arial" w:cs="Arial"/>
          <w:color w:val="000000"/>
          <w:sz w:val="22"/>
          <w:szCs w:val="22"/>
        </w:rPr>
        <w:t xml:space="preserve">Anthropometry assessment includes recording of age, sex and </w:t>
      </w:r>
      <w:r w:rsidRPr="003E72E0">
        <w:rPr>
          <w:rFonts w:ascii="Arial" w:hAnsi="Arial" w:cs="Arial"/>
          <w:b/>
          <w:bCs/>
          <w:color w:val="000000"/>
          <w:sz w:val="22"/>
          <w:szCs w:val="22"/>
        </w:rPr>
        <w:t xml:space="preserve">anthropometric </w:t>
      </w:r>
      <w:r w:rsidRPr="003E72E0">
        <w:rPr>
          <w:rFonts w:ascii="Arial" w:hAnsi="Arial" w:cs="Arial"/>
          <w:color w:val="000000"/>
          <w:sz w:val="22"/>
          <w:szCs w:val="22"/>
        </w:rPr>
        <w:t xml:space="preserve">measurements (Mid Upper Arm Circumference, height, weight). </w:t>
      </w:r>
    </w:p>
    <w:p w:rsidR="0071027C" w:rsidRPr="003E72E0" w:rsidRDefault="0071027C" w:rsidP="00AA771C">
      <w:pPr>
        <w:spacing w:beforeLines="120" w:before="288" w:afterLines="120" w:after="288"/>
        <w:ind w:left="720"/>
        <w:jc w:val="both"/>
        <w:rPr>
          <w:rFonts w:ascii="Arial" w:hAnsi="Arial" w:cs="Arial"/>
        </w:rPr>
      </w:pPr>
      <w:r w:rsidRPr="003E72E0">
        <w:rPr>
          <w:rFonts w:ascii="Arial" w:hAnsi="Arial" w:cs="Arial"/>
          <w:color w:val="000000"/>
        </w:rPr>
        <w:t>Patients who have a weight and height measured are plotted on a growth curve and designated low/high weight for height Z score (for children) or BMI Z score (older children), or BMI (adults).  MUAC tapes are also used</w:t>
      </w:r>
    </w:p>
    <w:p w:rsidR="0071027C" w:rsidRPr="003E72E0" w:rsidRDefault="0071027C" w:rsidP="00AA771C">
      <w:pPr>
        <w:autoSpaceDE w:val="0"/>
        <w:autoSpaceDN w:val="0"/>
        <w:adjustRightInd w:val="0"/>
        <w:spacing w:beforeLines="120" w:before="288" w:afterLines="120" w:after="288"/>
        <w:jc w:val="both"/>
        <w:rPr>
          <w:rFonts w:ascii="Arial" w:eastAsia="GaramondPremrPro" w:hAnsi="Arial" w:cs="Arial"/>
        </w:rPr>
      </w:pPr>
      <w:r w:rsidRPr="003E72E0">
        <w:rPr>
          <w:rFonts w:ascii="Arial" w:hAnsi="Arial" w:cs="Arial"/>
        </w:rPr>
        <w:t>One can monitor weight loss by using body mass index (BMI</w:t>
      </w:r>
      <w:r w:rsidRPr="003E72E0">
        <w:rPr>
          <w:rFonts w:ascii="Arial" w:hAnsi="Arial" w:cs="Arial"/>
          <w:b/>
        </w:rPr>
        <w:t>)</w:t>
      </w:r>
      <w:r w:rsidRPr="003E72E0">
        <w:rPr>
          <w:rFonts w:ascii="Arial" w:eastAsia="GaramondPremrPro" w:hAnsi="Arial" w:cs="Arial"/>
        </w:rPr>
        <w:t xml:space="preserve"> calculated as = Weight (Kg) divided by height (m2). A normal BMI is 18.5 – 24.9 kg/m2. A BMI &lt;18.5 denotes underweight; that between 25.0 and 29.9 kg/m2 is overweight, and &gt; 30.0 kg/m2 is obesity. For patients with BMI &lt;18.5 nutritional education is required and food supplementation to be recommended if any.</w:t>
      </w:r>
    </w:p>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eastAsia="GaramondPremrPro" w:hAnsi="Arial" w:cs="Arial"/>
        </w:rPr>
        <w:t>It should be noted though that even without using BMI, un intended weight loss of between 6-7 kg in one month is not a good sign. Therefore the weight of PLHIV needs to be closely monitored to ensure they don’t lose a lot of weight due to disease progression and that appropriate nutritional intervention is made and in a timely manner.</w:t>
      </w:r>
    </w:p>
    <w:p w:rsidR="0071027C" w:rsidRPr="003E72E0" w:rsidRDefault="0071027C" w:rsidP="00AA771C">
      <w:pPr>
        <w:spacing w:beforeLines="120" w:before="288" w:afterLines="120" w:after="288"/>
        <w:jc w:val="both"/>
        <w:rPr>
          <w:rFonts w:ascii="Arial" w:hAnsi="Arial" w:cs="Arial"/>
          <w:b/>
        </w:rPr>
      </w:pPr>
      <w:r w:rsidRPr="003E72E0">
        <w:rPr>
          <w:rFonts w:ascii="Arial" w:hAnsi="Arial" w:cs="Arial"/>
          <w:b/>
        </w:rPr>
        <w:t xml:space="preserve">Therapeutic foods for Moderate and Severe Acute Malnutrition </w:t>
      </w:r>
    </w:p>
    <w:p w:rsidR="0071027C" w:rsidRPr="003E72E0" w:rsidRDefault="0071027C" w:rsidP="00AA771C">
      <w:pPr>
        <w:spacing w:beforeLines="120" w:before="288" w:afterLines="120" w:after="288"/>
        <w:jc w:val="both"/>
        <w:rPr>
          <w:rFonts w:ascii="Arial" w:hAnsi="Arial" w:cs="Arial"/>
        </w:rPr>
      </w:pPr>
      <w:r w:rsidRPr="003E72E0">
        <w:rPr>
          <w:rFonts w:ascii="Arial" w:hAnsi="Arial" w:cs="Arial"/>
        </w:rPr>
        <w:t xml:space="preserve">After the assessment of nutritional status, those who will be categorized as severely or moderately malnourished, and have no medical complication (i.e. no other disease), will be given nutrition education and supplied with the Ready to use therapeutic food (RUTF) e.g. Plumpy nuts. Those with medical complications should not be given RUTF. Instead they should be referred for </w:t>
      </w:r>
      <w:r w:rsidRPr="003E72E0">
        <w:rPr>
          <w:rFonts w:ascii="Arial" w:eastAsia="Times New Roman" w:hAnsi="Arial" w:cs="Arial"/>
        </w:rPr>
        <w:t>in-patient</w:t>
      </w:r>
      <w:r w:rsidRPr="003E72E0">
        <w:rPr>
          <w:rFonts w:ascii="Arial" w:hAnsi="Arial" w:cs="Arial"/>
        </w:rPr>
        <w:t xml:space="preserve"> treatment.</w:t>
      </w:r>
    </w:p>
    <w:p w:rsidR="0071027C" w:rsidRPr="003E72E0" w:rsidRDefault="0071027C" w:rsidP="00AA771C">
      <w:pPr>
        <w:spacing w:beforeLines="120" w:before="288" w:afterLines="120" w:after="288"/>
        <w:jc w:val="both"/>
        <w:rPr>
          <w:rFonts w:ascii="Arial" w:hAnsi="Arial" w:cs="Arial"/>
          <w:i/>
        </w:rPr>
      </w:pPr>
      <w:r w:rsidRPr="003E72E0">
        <w:rPr>
          <w:rFonts w:ascii="Arial" w:hAnsi="Arial" w:cs="Arial"/>
          <w:i/>
        </w:rPr>
        <w:t xml:space="preserve">For Prescription criteria refer national guidelines for management of acute malnutrition </w:t>
      </w:r>
    </w:p>
    <w:tbl>
      <w:tblPr>
        <w:tblW w:w="9098" w:type="dxa"/>
        <w:tblInd w:w="270" w:type="dxa"/>
        <w:tblLayout w:type="fixed"/>
        <w:tblCellMar>
          <w:left w:w="0" w:type="dxa"/>
          <w:right w:w="0" w:type="dxa"/>
        </w:tblCellMar>
        <w:tblLook w:val="01E0" w:firstRow="1" w:lastRow="1" w:firstColumn="1" w:lastColumn="1" w:noHBand="0" w:noVBand="0"/>
      </w:tblPr>
      <w:tblGrid>
        <w:gridCol w:w="2610"/>
        <w:gridCol w:w="2250"/>
        <w:gridCol w:w="2168"/>
        <w:gridCol w:w="2070"/>
      </w:tblGrid>
      <w:tr w:rsidR="0071027C" w:rsidRPr="003E72E0" w:rsidTr="0071027C">
        <w:trPr>
          <w:trHeight w:hRule="exact" w:val="591"/>
        </w:trPr>
        <w:tc>
          <w:tcPr>
            <w:tcW w:w="9098" w:type="dxa"/>
            <w:gridSpan w:val="4"/>
            <w:shd w:val="clear" w:color="auto" w:fill="auto"/>
          </w:tcPr>
          <w:p w:rsidR="0071027C" w:rsidRPr="003E72E0" w:rsidRDefault="0071027C" w:rsidP="00AA771C">
            <w:pPr>
              <w:autoSpaceDE w:val="0"/>
              <w:autoSpaceDN w:val="0"/>
              <w:adjustRightInd w:val="0"/>
              <w:spacing w:beforeLines="120" w:before="288" w:afterLines="120" w:after="288"/>
              <w:jc w:val="both"/>
              <w:rPr>
                <w:rFonts w:ascii="Arial" w:hAnsi="Arial" w:cs="Arial"/>
                <w:b/>
              </w:rPr>
            </w:pPr>
            <w:r w:rsidRPr="003E72E0">
              <w:rPr>
                <w:rFonts w:ascii="Arial" w:hAnsi="Arial" w:cs="Arial"/>
                <w:b/>
              </w:rPr>
              <w:t>Table 13:4. Indicators for acute malnutrition</w:t>
            </w:r>
          </w:p>
          <w:p w:rsidR="0071027C" w:rsidRPr="003E72E0" w:rsidRDefault="0071027C" w:rsidP="00AA771C">
            <w:pPr>
              <w:spacing w:beforeLines="120" w:before="288" w:afterLines="120" w:after="288"/>
              <w:ind w:left="49" w:right="-20"/>
              <w:jc w:val="both"/>
              <w:rPr>
                <w:rFonts w:ascii="Arial" w:eastAsia="Times New Roman" w:hAnsi="Arial" w:cs="Arial"/>
                <w:color w:val="FFFFFF"/>
              </w:rPr>
            </w:pPr>
          </w:p>
        </w:tc>
      </w:tr>
      <w:tr w:rsidR="0071027C" w:rsidRPr="003E72E0" w:rsidTr="0071027C">
        <w:trPr>
          <w:trHeight w:hRule="exact" w:val="591"/>
        </w:trPr>
        <w:tc>
          <w:tcPr>
            <w:tcW w:w="2610" w:type="dxa"/>
            <w:tcBorders>
              <w:left w:val="single" w:sz="6" w:space="0" w:color="231F20"/>
              <w:bottom w:val="single" w:sz="6" w:space="0" w:color="231F20"/>
              <w:right w:val="single" w:sz="4" w:space="0" w:color="FFFFFF"/>
            </w:tcBorders>
            <w:shd w:val="clear" w:color="auto" w:fill="000000"/>
          </w:tcPr>
          <w:p w:rsidR="0071027C" w:rsidRPr="003E72E0" w:rsidRDefault="0071027C" w:rsidP="00AA771C">
            <w:pPr>
              <w:spacing w:beforeLines="120" w:before="288" w:afterLines="120" w:after="288"/>
              <w:ind w:left="49" w:right="-20"/>
              <w:jc w:val="both"/>
              <w:rPr>
                <w:rFonts w:ascii="Arial" w:eastAsia="Times New Roman" w:hAnsi="Arial" w:cs="Arial"/>
                <w:color w:val="FFFFFF"/>
              </w:rPr>
            </w:pPr>
            <w:r w:rsidRPr="003E72E0">
              <w:rPr>
                <w:rFonts w:ascii="Arial" w:eastAsia="Times New Roman" w:hAnsi="Arial" w:cs="Arial"/>
                <w:b/>
                <w:bCs/>
                <w:color w:val="FFFFFF"/>
              </w:rPr>
              <w:t>Age</w:t>
            </w:r>
          </w:p>
          <w:p w:rsidR="0071027C" w:rsidRPr="003E72E0" w:rsidRDefault="0071027C" w:rsidP="00AA771C">
            <w:pPr>
              <w:spacing w:beforeLines="120" w:before="288" w:afterLines="120" w:after="288"/>
              <w:ind w:left="49" w:right="-20"/>
              <w:jc w:val="both"/>
              <w:rPr>
                <w:rFonts w:ascii="Arial" w:eastAsia="Times New Roman" w:hAnsi="Arial" w:cs="Arial"/>
                <w:color w:val="FFFFFF"/>
              </w:rPr>
            </w:pPr>
            <w:r w:rsidRPr="003E72E0">
              <w:rPr>
                <w:rFonts w:ascii="Arial" w:eastAsia="Times New Roman" w:hAnsi="Arial" w:cs="Arial"/>
                <w:b/>
                <w:bCs/>
                <w:color w:val="FFFFFF"/>
              </w:rPr>
              <w:t>category</w:t>
            </w:r>
          </w:p>
        </w:tc>
        <w:tc>
          <w:tcPr>
            <w:tcW w:w="2250" w:type="dxa"/>
            <w:tcBorders>
              <w:left w:val="single" w:sz="4" w:space="0" w:color="FFFFFF"/>
              <w:bottom w:val="single" w:sz="6" w:space="0" w:color="231F20"/>
              <w:right w:val="single" w:sz="4" w:space="0" w:color="FFFFFF"/>
            </w:tcBorders>
            <w:shd w:val="clear" w:color="auto" w:fill="000000"/>
          </w:tcPr>
          <w:p w:rsidR="0071027C" w:rsidRPr="003E72E0" w:rsidRDefault="0071027C" w:rsidP="00AA771C">
            <w:pPr>
              <w:spacing w:beforeLines="120" w:before="288" w:afterLines="120" w:after="288"/>
              <w:ind w:left="49" w:right="-20"/>
              <w:jc w:val="both"/>
              <w:rPr>
                <w:rFonts w:ascii="Arial" w:eastAsia="Times New Roman" w:hAnsi="Arial" w:cs="Arial"/>
                <w:color w:val="FFFFFF"/>
              </w:rPr>
            </w:pPr>
            <w:r w:rsidRPr="003E72E0">
              <w:rPr>
                <w:rFonts w:ascii="Arial" w:eastAsia="Times New Roman" w:hAnsi="Arial" w:cs="Arial"/>
                <w:b/>
                <w:bCs/>
                <w:color w:val="FFFFFF"/>
              </w:rPr>
              <w:t>Mild</w:t>
            </w:r>
          </w:p>
        </w:tc>
        <w:tc>
          <w:tcPr>
            <w:tcW w:w="2168" w:type="dxa"/>
            <w:tcBorders>
              <w:left w:val="single" w:sz="4" w:space="0" w:color="FFFFFF"/>
              <w:bottom w:val="single" w:sz="6" w:space="0" w:color="231F20"/>
              <w:right w:val="single" w:sz="4" w:space="0" w:color="FFFFFF"/>
            </w:tcBorders>
            <w:shd w:val="clear" w:color="auto" w:fill="000000"/>
          </w:tcPr>
          <w:p w:rsidR="0071027C" w:rsidRPr="003E72E0" w:rsidRDefault="0071027C" w:rsidP="00AA771C">
            <w:pPr>
              <w:spacing w:beforeLines="120" w:before="288" w:afterLines="120" w:after="288"/>
              <w:ind w:left="49" w:right="-20"/>
              <w:jc w:val="both"/>
              <w:rPr>
                <w:rFonts w:ascii="Arial" w:eastAsia="Times New Roman" w:hAnsi="Arial" w:cs="Arial"/>
                <w:color w:val="FFFFFF"/>
              </w:rPr>
            </w:pPr>
            <w:r w:rsidRPr="003E72E0">
              <w:rPr>
                <w:rFonts w:ascii="Arial" w:eastAsia="Times New Roman" w:hAnsi="Arial" w:cs="Arial"/>
                <w:b/>
                <w:bCs/>
                <w:color w:val="FFFFFF"/>
              </w:rPr>
              <w:t>Moderate</w:t>
            </w:r>
          </w:p>
        </w:tc>
        <w:tc>
          <w:tcPr>
            <w:tcW w:w="2070" w:type="dxa"/>
            <w:tcBorders>
              <w:left w:val="single" w:sz="4" w:space="0" w:color="FFFFFF"/>
              <w:bottom w:val="single" w:sz="6" w:space="0" w:color="231F20"/>
              <w:right w:val="single" w:sz="6" w:space="0" w:color="231F20"/>
            </w:tcBorders>
            <w:shd w:val="clear" w:color="auto" w:fill="000000"/>
          </w:tcPr>
          <w:p w:rsidR="0071027C" w:rsidRPr="003E72E0" w:rsidRDefault="0071027C" w:rsidP="00AA771C">
            <w:pPr>
              <w:spacing w:beforeLines="120" w:before="288" w:afterLines="120" w:after="288"/>
              <w:ind w:left="49" w:right="-20"/>
              <w:jc w:val="both"/>
              <w:rPr>
                <w:rFonts w:ascii="Arial" w:eastAsia="Times New Roman" w:hAnsi="Arial" w:cs="Arial"/>
                <w:color w:val="FFFFFF"/>
              </w:rPr>
            </w:pPr>
            <w:r w:rsidRPr="003E72E0">
              <w:rPr>
                <w:rFonts w:ascii="Arial" w:eastAsia="Times New Roman" w:hAnsi="Arial" w:cs="Arial"/>
                <w:b/>
                <w:bCs/>
                <w:color w:val="FFFFFF"/>
              </w:rPr>
              <w:t>Seve</w:t>
            </w:r>
            <w:r w:rsidRPr="003E72E0">
              <w:rPr>
                <w:rFonts w:ascii="Arial" w:eastAsia="Times New Roman" w:hAnsi="Arial" w:cs="Arial"/>
                <w:b/>
                <w:bCs/>
                <w:color w:val="FFFFFF"/>
                <w:spacing w:val="-4"/>
              </w:rPr>
              <w:t>r</w:t>
            </w:r>
            <w:r w:rsidRPr="003E72E0">
              <w:rPr>
                <w:rFonts w:ascii="Arial" w:eastAsia="Times New Roman" w:hAnsi="Arial" w:cs="Arial"/>
                <w:b/>
                <w:bCs/>
                <w:color w:val="FFFFFF"/>
              </w:rPr>
              <w:t>e</w:t>
            </w:r>
          </w:p>
        </w:tc>
      </w:tr>
      <w:tr w:rsidR="0071027C" w:rsidRPr="003E72E0" w:rsidTr="0071027C">
        <w:trPr>
          <w:trHeight w:hRule="exact" w:val="2094"/>
        </w:trPr>
        <w:tc>
          <w:tcPr>
            <w:tcW w:w="2610" w:type="dxa"/>
            <w:tcBorders>
              <w:top w:val="single" w:sz="6" w:space="0" w:color="231F20"/>
              <w:left w:val="single" w:sz="6" w:space="0" w:color="231F20"/>
              <w:bottom w:val="single" w:sz="6" w:space="0" w:color="231F20"/>
              <w:right w:val="single" w:sz="6" w:space="0" w:color="231F20"/>
            </w:tcBorders>
            <w:shd w:val="clear" w:color="auto" w:fill="D9D9D9"/>
          </w:tcPr>
          <w:p w:rsidR="0071027C" w:rsidRPr="003E72E0" w:rsidRDefault="0071027C" w:rsidP="00AA771C">
            <w:pPr>
              <w:autoSpaceDE w:val="0"/>
              <w:autoSpaceDN w:val="0"/>
              <w:adjustRightInd w:val="0"/>
              <w:spacing w:beforeLines="120" w:before="288" w:afterLines="120" w:after="288"/>
              <w:jc w:val="both"/>
              <w:rPr>
                <w:rFonts w:ascii="Arial" w:hAnsi="Arial" w:cs="Arial"/>
              </w:rPr>
            </w:pPr>
            <w:r w:rsidRPr="003E72E0">
              <w:rPr>
                <w:rFonts w:ascii="Arial" w:hAnsi="Arial" w:cs="Arial"/>
              </w:rPr>
              <w:t xml:space="preserve">Children 6 -59 months old, </w:t>
            </w:r>
          </w:p>
          <w:p w:rsidR="0071027C" w:rsidRPr="003E72E0" w:rsidRDefault="0071027C" w:rsidP="00AA771C">
            <w:pPr>
              <w:spacing w:beforeLines="120" w:before="288" w:afterLines="120" w:after="288"/>
              <w:jc w:val="both"/>
              <w:rPr>
                <w:rFonts w:ascii="Arial" w:eastAsia="Times New Roman" w:hAnsi="Arial" w:cs="Arial"/>
                <w:color w:val="231F20"/>
              </w:rPr>
            </w:pPr>
          </w:p>
        </w:tc>
        <w:tc>
          <w:tcPr>
            <w:tcW w:w="2250" w:type="dxa"/>
            <w:tcBorders>
              <w:top w:val="single" w:sz="6" w:space="0" w:color="231F20"/>
              <w:left w:val="single" w:sz="6" w:space="0" w:color="231F20"/>
              <w:bottom w:val="single" w:sz="6" w:space="0" w:color="231F20"/>
              <w:right w:val="single" w:sz="6" w:space="0" w:color="231F20"/>
            </w:tcBorders>
            <w:shd w:val="clear" w:color="auto" w:fill="D9D9D9"/>
          </w:tcPr>
          <w:p w:rsidR="0071027C" w:rsidRPr="003E72E0" w:rsidRDefault="0071027C" w:rsidP="00AA771C">
            <w:pPr>
              <w:spacing w:beforeLines="120" w:before="288" w:afterLines="120" w:after="288"/>
              <w:ind w:left="49" w:right="-20"/>
              <w:jc w:val="both"/>
              <w:rPr>
                <w:rFonts w:ascii="Arial" w:eastAsia="Times New Roman" w:hAnsi="Arial" w:cs="Arial"/>
                <w:color w:val="231F20"/>
              </w:rPr>
            </w:pPr>
          </w:p>
        </w:tc>
        <w:tc>
          <w:tcPr>
            <w:tcW w:w="2168" w:type="dxa"/>
            <w:tcBorders>
              <w:top w:val="single" w:sz="6" w:space="0" w:color="231F20"/>
              <w:left w:val="single" w:sz="6" w:space="0" w:color="231F20"/>
              <w:bottom w:val="single" w:sz="6" w:space="0" w:color="231F20"/>
              <w:right w:val="single" w:sz="6" w:space="0" w:color="231F20"/>
            </w:tcBorders>
            <w:shd w:val="clear" w:color="auto" w:fill="D9D9D9"/>
          </w:tcPr>
          <w:p w:rsidR="0071027C" w:rsidRPr="003E72E0" w:rsidRDefault="0071027C" w:rsidP="00AA771C">
            <w:pPr>
              <w:pStyle w:val="yiv5445433586msonormal"/>
              <w:spacing w:beforeLines="120" w:before="288" w:beforeAutospacing="0" w:afterLines="120" w:after="288" w:afterAutospacing="0" w:line="276" w:lineRule="auto"/>
              <w:jc w:val="both"/>
              <w:textAlignment w:val="baseline"/>
              <w:rPr>
                <w:rFonts w:ascii="Arial" w:hAnsi="Arial" w:cs="Arial"/>
                <w:sz w:val="22"/>
                <w:szCs w:val="22"/>
              </w:rPr>
            </w:pPr>
            <w:r w:rsidRPr="003E72E0">
              <w:rPr>
                <w:rFonts w:ascii="Arial" w:hAnsi="Arial" w:cs="Arial"/>
                <w:color w:val="231F20"/>
                <w:sz w:val="22"/>
                <w:szCs w:val="22"/>
              </w:rPr>
              <w:t>MUAC</w:t>
            </w:r>
            <w:r w:rsidRPr="003E72E0">
              <w:rPr>
                <w:rFonts w:ascii="Arial" w:hAnsi="Arial" w:cs="Arial"/>
                <w:sz w:val="22"/>
                <w:szCs w:val="22"/>
              </w:rPr>
              <w:t>: 11.5 to &lt; 12.5 cm</w:t>
            </w:r>
          </w:p>
          <w:p w:rsidR="0071027C" w:rsidRPr="003E72E0" w:rsidRDefault="0071027C" w:rsidP="00AA771C">
            <w:pPr>
              <w:pStyle w:val="yiv5445433586msonormal"/>
              <w:spacing w:beforeLines="120" w:before="288" w:beforeAutospacing="0" w:afterLines="120" w:after="288" w:afterAutospacing="0" w:line="276" w:lineRule="auto"/>
              <w:jc w:val="both"/>
              <w:textAlignment w:val="baseline"/>
              <w:rPr>
                <w:rFonts w:ascii="Arial" w:hAnsi="Arial" w:cs="Arial"/>
                <w:sz w:val="22"/>
                <w:szCs w:val="22"/>
              </w:rPr>
            </w:pPr>
            <w:r w:rsidRPr="003E72E0">
              <w:rPr>
                <w:rFonts w:ascii="Arial" w:hAnsi="Arial" w:cs="Arial"/>
                <w:color w:val="231F20"/>
                <w:sz w:val="22"/>
                <w:szCs w:val="22"/>
              </w:rPr>
              <w:t xml:space="preserve">W/H -3 Z-scores to </w:t>
            </w:r>
            <w:r w:rsidRPr="003E72E0">
              <w:rPr>
                <w:rFonts w:ascii="Arial" w:hAnsi="Arial" w:cs="Arial"/>
                <w:sz w:val="22"/>
                <w:szCs w:val="22"/>
              </w:rPr>
              <w:t>-</w:t>
            </w:r>
            <w:r w:rsidRPr="003E72E0">
              <w:rPr>
                <w:rFonts w:ascii="Arial" w:hAnsi="Arial" w:cs="Arial"/>
                <w:color w:val="231F20"/>
                <w:sz w:val="22"/>
                <w:szCs w:val="22"/>
              </w:rPr>
              <w:t>2 Z-scores</w:t>
            </w:r>
          </w:p>
          <w:p w:rsidR="0071027C" w:rsidRPr="003E72E0" w:rsidRDefault="0071027C" w:rsidP="00AA771C">
            <w:pPr>
              <w:pStyle w:val="yiv5445433586msonormal"/>
              <w:spacing w:beforeLines="120" w:before="288" w:beforeAutospacing="0" w:afterLines="120" w:after="288" w:afterAutospacing="0" w:line="276" w:lineRule="auto"/>
              <w:jc w:val="both"/>
              <w:textAlignment w:val="baseline"/>
              <w:rPr>
                <w:rFonts w:ascii="Arial" w:hAnsi="Arial" w:cs="Arial"/>
                <w:sz w:val="22"/>
                <w:szCs w:val="22"/>
              </w:rPr>
            </w:pPr>
          </w:p>
          <w:p w:rsidR="0071027C" w:rsidRPr="003E72E0" w:rsidRDefault="0071027C" w:rsidP="00AA771C">
            <w:pPr>
              <w:pStyle w:val="yiv5445433586msonormal"/>
              <w:spacing w:beforeLines="120" w:before="288" w:beforeAutospacing="0" w:afterLines="120" w:after="288" w:afterAutospacing="0" w:line="276" w:lineRule="auto"/>
              <w:jc w:val="both"/>
              <w:rPr>
                <w:rFonts w:ascii="Arial" w:hAnsi="Arial" w:cs="Arial"/>
                <w:sz w:val="22"/>
                <w:szCs w:val="22"/>
              </w:rPr>
            </w:pPr>
            <w:r w:rsidRPr="003E72E0">
              <w:rPr>
                <w:rFonts w:ascii="Arial" w:hAnsi="Arial" w:cs="Arial"/>
                <w:color w:val="231F20"/>
                <w:sz w:val="22"/>
                <w:szCs w:val="22"/>
              </w:rPr>
              <w:t> </w:t>
            </w:r>
          </w:p>
          <w:p w:rsidR="0071027C" w:rsidRPr="003E72E0" w:rsidRDefault="0071027C" w:rsidP="00AA771C">
            <w:pPr>
              <w:pStyle w:val="yiv5445433586msonormal"/>
              <w:spacing w:beforeLines="120" w:before="288" w:beforeAutospacing="0" w:afterLines="120" w:after="288" w:afterAutospacing="0" w:line="276" w:lineRule="auto"/>
              <w:jc w:val="both"/>
              <w:rPr>
                <w:rFonts w:ascii="Arial" w:hAnsi="Arial" w:cs="Arial"/>
                <w:sz w:val="22"/>
                <w:szCs w:val="22"/>
              </w:rPr>
            </w:pPr>
            <w:r w:rsidRPr="003E72E0">
              <w:rPr>
                <w:rFonts w:ascii="Arial" w:hAnsi="Arial" w:cs="Arial"/>
                <w:color w:val="231F20"/>
                <w:sz w:val="22"/>
                <w:szCs w:val="22"/>
              </w:rPr>
              <w:t>W/H -3 Z-scores to &lt;</w:t>
            </w:r>
          </w:p>
          <w:p w:rsidR="0071027C" w:rsidRPr="003E72E0" w:rsidRDefault="0071027C" w:rsidP="00AA771C">
            <w:pPr>
              <w:pStyle w:val="yiv5445433586msonormal"/>
              <w:spacing w:beforeLines="120" w:before="288" w:beforeAutospacing="0" w:afterLines="120" w:after="288" w:afterAutospacing="0" w:line="276" w:lineRule="auto"/>
              <w:jc w:val="both"/>
              <w:rPr>
                <w:rFonts w:ascii="Arial" w:hAnsi="Arial" w:cs="Arial"/>
                <w:sz w:val="22"/>
                <w:szCs w:val="22"/>
              </w:rPr>
            </w:pPr>
            <w:r w:rsidRPr="003E72E0">
              <w:rPr>
                <w:rFonts w:ascii="Arial" w:hAnsi="Arial" w:cs="Arial"/>
                <w:color w:val="231F20"/>
                <w:sz w:val="22"/>
                <w:szCs w:val="22"/>
              </w:rPr>
              <w:t>-2 SD</w:t>
            </w:r>
          </w:p>
          <w:p w:rsidR="0071027C" w:rsidRPr="003E72E0" w:rsidRDefault="0071027C" w:rsidP="00AA771C">
            <w:pPr>
              <w:spacing w:beforeLines="120" w:before="288" w:afterLines="120" w:after="288"/>
              <w:ind w:left="49" w:right="-20"/>
              <w:jc w:val="both"/>
              <w:rPr>
                <w:rFonts w:ascii="Arial" w:eastAsia="Times New Roman" w:hAnsi="Arial" w:cs="Arial"/>
                <w:color w:val="231F20"/>
              </w:rPr>
            </w:pPr>
          </w:p>
        </w:tc>
        <w:tc>
          <w:tcPr>
            <w:tcW w:w="2070" w:type="dxa"/>
            <w:tcBorders>
              <w:top w:val="single" w:sz="6" w:space="0" w:color="231F20"/>
              <w:left w:val="single" w:sz="6" w:space="0" w:color="231F20"/>
              <w:bottom w:val="single" w:sz="6" w:space="0" w:color="231F20"/>
              <w:right w:val="single" w:sz="6" w:space="0" w:color="231F20"/>
            </w:tcBorders>
            <w:shd w:val="clear" w:color="auto" w:fill="D9D9D9"/>
          </w:tcPr>
          <w:p w:rsidR="0071027C" w:rsidRPr="003E72E0" w:rsidRDefault="0071027C" w:rsidP="00AA771C">
            <w:pPr>
              <w:pStyle w:val="yiv5445433586msonormal"/>
              <w:spacing w:beforeLines="120" w:before="288" w:beforeAutospacing="0" w:afterLines="120" w:after="288" w:afterAutospacing="0" w:line="276" w:lineRule="auto"/>
              <w:jc w:val="both"/>
              <w:rPr>
                <w:rFonts w:ascii="Arial" w:hAnsi="Arial" w:cs="Arial"/>
                <w:sz w:val="22"/>
                <w:szCs w:val="22"/>
              </w:rPr>
            </w:pPr>
            <w:r w:rsidRPr="003E72E0">
              <w:rPr>
                <w:rFonts w:ascii="Arial" w:hAnsi="Arial" w:cs="Arial"/>
                <w:color w:val="231F20"/>
                <w:sz w:val="22"/>
                <w:szCs w:val="22"/>
              </w:rPr>
              <w:t>MUAC</w:t>
            </w:r>
            <w:r w:rsidRPr="003E72E0">
              <w:rPr>
                <w:rFonts w:ascii="Arial" w:hAnsi="Arial" w:cs="Arial"/>
                <w:sz w:val="22"/>
                <w:szCs w:val="22"/>
              </w:rPr>
              <w:t>: &lt; 11.5 cm</w:t>
            </w:r>
          </w:p>
          <w:p w:rsidR="0071027C" w:rsidRPr="003E72E0" w:rsidRDefault="0071027C" w:rsidP="00AA771C">
            <w:pPr>
              <w:pStyle w:val="yiv5445433586msonormal"/>
              <w:spacing w:beforeLines="120" w:before="288" w:beforeAutospacing="0" w:afterLines="120" w:after="288" w:afterAutospacing="0" w:line="276" w:lineRule="auto"/>
              <w:jc w:val="both"/>
              <w:rPr>
                <w:rFonts w:ascii="Arial" w:hAnsi="Arial" w:cs="Arial"/>
                <w:sz w:val="22"/>
                <w:szCs w:val="22"/>
              </w:rPr>
            </w:pPr>
            <w:r w:rsidRPr="003E72E0">
              <w:rPr>
                <w:rFonts w:ascii="Arial" w:hAnsi="Arial" w:cs="Arial"/>
                <w:color w:val="231F20"/>
                <w:sz w:val="22"/>
                <w:szCs w:val="22"/>
              </w:rPr>
              <w:t> W/H &lt; -3 Z-scores</w:t>
            </w:r>
          </w:p>
          <w:p w:rsidR="0071027C" w:rsidRPr="003E72E0" w:rsidRDefault="0071027C" w:rsidP="00AA771C">
            <w:pPr>
              <w:spacing w:beforeLines="120" w:before="288" w:afterLines="120" w:after="288"/>
              <w:ind w:left="49" w:right="-20"/>
              <w:jc w:val="both"/>
              <w:rPr>
                <w:rFonts w:ascii="Arial" w:eastAsia="Times New Roman" w:hAnsi="Arial" w:cs="Arial"/>
                <w:color w:val="231F20"/>
              </w:rPr>
            </w:pPr>
          </w:p>
        </w:tc>
      </w:tr>
      <w:tr w:rsidR="0071027C" w:rsidRPr="003E72E0" w:rsidTr="0071027C">
        <w:trPr>
          <w:trHeight w:hRule="exact" w:val="2400"/>
        </w:trPr>
        <w:tc>
          <w:tcPr>
            <w:tcW w:w="2610" w:type="dxa"/>
            <w:tcBorders>
              <w:top w:val="single" w:sz="6" w:space="0" w:color="231F20"/>
              <w:left w:val="single" w:sz="6" w:space="0" w:color="231F20"/>
              <w:bottom w:val="single" w:sz="6" w:space="0" w:color="231F20"/>
              <w:right w:val="single" w:sz="6" w:space="0" w:color="231F20"/>
            </w:tcBorders>
            <w:shd w:val="clear" w:color="auto" w:fill="auto"/>
          </w:tcPr>
          <w:p w:rsidR="0071027C" w:rsidRPr="003E72E0" w:rsidRDefault="0071027C" w:rsidP="00AA771C">
            <w:pPr>
              <w:spacing w:beforeLines="120" w:before="288" w:afterLines="120" w:after="288"/>
              <w:jc w:val="both"/>
              <w:rPr>
                <w:rFonts w:ascii="Arial" w:hAnsi="Arial" w:cs="Arial"/>
              </w:rPr>
            </w:pPr>
            <w:r w:rsidRPr="003E72E0">
              <w:rPr>
                <w:rFonts w:ascii="Arial" w:hAnsi="Arial" w:cs="Arial"/>
              </w:rPr>
              <w:t>Pregnant women and women within the period of 6 months after delivery</w:t>
            </w:r>
          </w:p>
          <w:p w:rsidR="0071027C" w:rsidRPr="003E72E0" w:rsidRDefault="0071027C" w:rsidP="00AA771C">
            <w:pPr>
              <w:spacing w:beforeLines="120" w:before="288" w:afterLines="120" w:after="288"/>
              <w:jc w:val="both"/>
              <w:rPr>
                <w:rFonts w:ascii="Arial" w:hAnsi="Arial" w:cs="Arial"/>
              </w:rPr>
            </w:pPr>
            <w:r w:rsidRPr="003E72E0">
              <w:rPr>
                <w:rFonts w:ascii="Arial" w:hAnsi="Arial" w:cs="Arial"/>
              </w:rPr>
              <w:t>delivery</w:t>
            </w:r>
          </w:p>
          <w:p w:rsidR="0071027C" w:rsidRPr="003E72E0" w:rsidRDefault="0071027C" w:rsidP="00AA771C">
            <w:pPr>
              <w:autoSpaceDE w:val="0"/>
              <w:autoSpaceDN w:val="0"/>
              <w:adjustRightInd w:val="0"/>
              <w:spacing w:beforeLines="120" w:before="288" w:afterLines="120" w:after="288"/>
              <w:jc w:val="both"/>
              <w:rPr>
                <w:rFonts w:ascii="Arial" w:hAnsi="Arial" w:cs="Arial"/>
              </w:rPr>
            </w:pPr>
          </w:p>
        </w:tc>
        <w:tc>
          <w:tcPr>
            <w:tcW w:w="2250" w:type="dxa"/>
            <w:tcBorders>
              <w:top w:val="single" w:sz="6" w:space="0" w:color="231F20"/>
              <w:left w:val="single" w:sz="6" w:space="0" w:color="231F20"/>
              <w:bottom w:val="single" w:sz="6" w:space="0" w:color="231F20"/>
              <w:right w:val="single" w:sz="6" w:space="0" w:color="231F20"/>
            </w:tcBorders>
            <w:shd w:val="clear" w:color="auto" w:fill="auto"/>
          </w:tcPr>
          <w:p w:rsidR="0071027C" w:rsidRPr="003E72E0" w:rsidRDefault="0071027C" w:rsidP="00AA771C">
            <w:pPr>
              <w:spacing w:beforeLines="120" w:before="288" w:afterLines="120" w:after="288"/>
              <w:ind w:left="49" w:right="-20"/>
              <w:jc w:val="both"/>
              <w:rPr>
                <w:rFonts w:ascii="Arial" w:eastAsia="Times New Roman" w:hAnsi="Arial" w:cs="Arial"/>
                <w:color w:val="231F20"/>
              </w:rPr>
            </w:pPr>
          </w:p>
        </w:tc>
        <w:tc>
          <w:tcPr>
            <w:tcW w:w="2168" w:type="dxa"/>
            <w:tcBorders>
              <w:top w:val="single" w:sz="6" w:space="0" w:color="231F20"/>
              <w:left w:val="single" w:sz="6" w:space="0" w:color="231F20"/>
              <w:bottom w:val="single" w:sz="6" w:space="0" w:color="231F20"/>
              <w:right w:val="single" w:sz="6" w:space="0" w:color="231F20"/>
            </w:tcBorders>
            <w:shd w:val="clear" w:color="auto" w:fill="auto"/>
          </w:tcPr>
          <w:p w:rsidR="0071027C" w:rsidRPr="003E72E0" w:rsidRDefault="0071027C" w:rsidP="00AA771C">
            <w:pPr>
              <w:pStyle w:val="yiv5445433586msonormal"/>
              <w:spacing w:beforeLines="120" w:before="288" w:beforeAutospacing="0" w:afterLines="120" w:after="288" w:afterAutospacing="0" w:line="276" w:lineRule="auto"/>
              <w:jc w:val="both"/>
              <w:textAlignment w:val="baseline"/>
              <w:rPr>
                <w:rFonts w:ascii="Arial" w:hAnsi="Arial" w:cs="Arial"/>
                <w:color w:val="231F20"/>
                <w:sz w:val="22"/>
                <w:szCs w:val="22"/>
              </w:rPr>
            </w:pPr>
            <w:r w:rsidRPr="003E72E0">
              <w:rPr>
                <w:rFonts w:ascii="Arial" w:hAnsi="Arial" w:cs="Arial"/>
                <w:sz w:val="22"/>
                <w:szCs w:val="22"/>
              </w:rPr>
              <w:t>MUAC: 19 to &lt;23.0cm</w:t>
            </w:r>
          </w:p>
        </w:tc>
        <w:tc>
          <w:tcPr>
            <w:tcW w:w="2070" w:type="dxa"/>
            <w:tcBorders>
              <w:top w:val="single" w:sz="6" w:space="0" w:color="231F20"/>
              <w:left w:val="single" w:sz="6" w:space="0" w:color="231F20"/>
              <w:bottom w:val="single" w:sz="6" w:space="0" w:color="231F20"/>
              <w:right w:val="single" w:sz="6" w:space="0" w:color="231F20"/>
            </w:tcBorders>
            <w:shd w:val="clear" w:color="auto" w:fill="auto"/>
          </w:tcPr>
          <w:p w:rsidR="0071027C" w:rsidRPr="003E72E0" w:rsidRDefault="0071027C" w:rsidP="00AA771C">
            <w:pPr>
              <w:spacing w:beforeLines="120" w:before="288" w:afterLines="120" w:after="288"/>
              <w:ind w:left="49" w:right="-20"/>
              <w:jc w:val="both"/>
              <w:rPr>
                <w:rFonts w:ascii="Arial" w:eastAsia="Times New Roman" w:hAnsi="Arial" w:cs="Arial"/>
                <w:color w:val="231F20"/>
              </w:rPr>
            </w:pPr>
            <w:r w:rsidRPr="003E72E0">
              <w:rPr>
                <w:rFonts w:ascii="Arial" w:hAnsi="Arial" w:cs="Arial"/>
              </w:rPr>
              <w:t>MUAC &lt;19.0cm</w:t>
            </w:r>
          </w:p>
        </w:tc>
      </w:tr>
      <w:tr w:rsidR="0071027C" w:rsidRPr="003E72E0" w:rsidTr="0071027C">
        <w:trPr>
          <w:trHeight w:hRule="exact" w:val="1362"/>
        </w:trPr>
        <w:tc>
          <w:tcPr>
            <w:tcW w:w="2610" w:type="dxa"/>
            <w:tcBorders>
              <w:top w:val="single" w:sz="6" w:space="0" w:color="231F20"/>
              <w:left w:val="single" w:sz="6" w:space="0" w:color="231F20"/>
              <w:bottom w:val="single" w:sz="6" w:space="0" w:color="231F20"/>
              <w:right w:val="single" w:sz="6" w:space="0" w:color="231F20"/>
            </w:tcBorders>
            <w:shd w:val="clear" w:color="auto" w:fill="D9D9D9"/>
          </w:tcPr>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Children 5 -</w:t>
            </w:r>
          </w:p>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9 years</w:t>
            </w:r>
          </w:p>
        </w:tc>
        <w:tc>
          <w:tcPr>
            <w:tcW w:w="2250" w:type="dxa"/>
            <w:tcBorders>
              <w:top w:val="single" w:sz="6" w:space="0" w:color="231F20"/>
              <w:left w:val="single" w:sz="6" w:space="0" w:color="231F20"/>
              <w:bottom w:val="single" w:sz="6" w:space="0" w:color="231F20"/>
              <w:right w:val="single" w:sz="6" w:space="0" w:color="231F20"/>
            </w:tcBorders>
            <w:shd w:val="clear" w:color="auto" w:fill="D9D9D9"/>
          </w:tcPr>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MUAC</w:t>
            </w:r>
          </w:p>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W/H -2 Z-scores</w:t>
            </w:r>
          </w:p>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to &lt;  +1 Z-scores</w:t>
            </w:r>
          </w:p>
        </w:tc>
        <w:tc>
          <w:tcPr>
            <w:tcW w:w="2168" w:type="dxa"/>
            <w:tcBorders>
              <w:top w:val="single" w:sz="6" w:space="0" w:color="231F20"/>
              <w:left w:val="single" w:sz="6" w:space="0" w:color="231F20"/>
              <w:bottom w:val="single" w:sz="6" w:space="0" w:color="231F20"/>
              <w:right w:val="single" w:sz="6" w:space="0" w:color="231F20"/>
            </w:tcBorders>
            <w:shd w:val="clear" w:color="auto" w:fill="D9D9D9"/>
          </w:tcPr>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MUAC 13.5 –</w:t>
            </w:r>
          </w:p>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14.4 cm</w:t>
            </w:r>
          </w:p>
          <w:p w:rsidR="0071027C" w:rsidRPr="003E72E0" w:rsidRDefault="0071027C" w:rsidP="00AA771C">
            <w:pPr>
              <w:spacing w:beforeLines="120" w:before="288" w:afterLines="120" w:after="288"/>
              <w:jc w:val="both"/>
              <w:rPr>
                <w:rFonts w:ascii="Arial" w:hAnsi="Arial" w:cs="Arial"/>
              </w:rPr>
            </w:pPr>
          </w:p>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W/H -3 Z-scores to &lt;</w:t>
            </w:r>
          </w:p>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-2 SD</w:t>
            </w:r>
          </w:p>
        </w:tc>
        <w:tc>
          <w:tcPr>
            <w:tcW w:w="2070" w:type="dxa"/>
            <w:tcBorders>
              <w:top w:val="single" w:sz="6" w:space="0" w:color="231F20"/>
              <w:left w:val="single" w:sz="6" w:space="0" w:color="231F20"/>
              <w:bottom w:val="single" w:sz="6" w:space="0" w:color="231F20"/>
              <w:right w:val="single" w:sz="6" w:space="0" w:color="231F20"/>
            </w:tcBorders>
            <w:shd w:val="clear" w:color="auto" w:fill="D9D9D9"/>
          </w:tcPr>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MUAC &lt; 13.5 cm</w:t>
            </w:r>
          </w:p>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W/H &lt; -3 Z-scores</w:t>
            </w:r>
          </w:p>
        </w:tc>
      </w:tr>
      <w:tr w:rsidR="0071027C" w:rsidRPr="003E72E0" w:rsidTr="0071027C">
        <w:trPr>
          <w:trHeight w:hRule="exact" w:val="2346"/>
        </w:trPr>
        <w:tc>
          <w:tcPr>
            <w:tcW w:w="2610" w:type="dxa"/>
            <w:tcBorders>
              <w:top w:val="single" w:sz="6" w:space="0" w:color="231F20"/>
              <w:left w:val="single" w:sz="6" w:space="0" w:color="231F20"/>
              <w:bottom w:val="single" w:sz="6" w:space="0" w:color="231F20"/>
              <w:right w:val="single" w:sz="6" w:space="0" w:color="231F20"/>
            </w:tcBorders>
            <w:shd w:val="clear" w:color="auto" w:fill="auto"/>
          </w:tcPr>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Children 10 -</w:t>
            </w:r>
          </w:p>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14 years</w:t>
            </w:r>
          </w:p>
        </w:tc>
        <w:tc>
          <w:tcPr>
            <w:tcW w:w="2250" w:type="dxa"/>
            <w:tcBorders>
              <w:top w:val="single" w:sz="6" w:space="0" w:color="231F20"/>
              <w:left w:val="single" w:sz="6" w:space="0" w:color="231F20"/>
              <w:bottom w:val="single" w:sz="6" w:space="0" w:color="231F20"/>
              <w:right w:val="single" w:sz="6" w:space="0" w:color="231F20"/>
            </w:tcBorders>
            <w:shd w:val="clear" w:color="auto" w:fill="auto"/>
          </w:tcPr>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MUAC</w:t>
            </w:r>
          </w:p>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W/H -2 Z-scores</w:t>
            </w:r>
          </w:p>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to  &lt; +1 Z-scores</w:t>
            </w:r>
          </w:p>
        </w:tc>
        <w:tc>
          <w:tcPr>
            <w:tcW w:w="2168" w:type="dxa"/>
            <w:tcBorders>
              <w:top w:val="single" w:sz="6" w:space="0" w:color="231F20"/>
              <w:left w:val="single" w:sz="6" w:space="0" w:color="231F20"/>
              <w:bottom w:val="single" w:sz="6" w:space="0" w:color="231F20"/>
              <w:right w:val="single" w:sz="6" w:space="0" w:color="231F20"/>
            </w:tcBorders>
            <w:shd w:val="clear" w:color="auto" w:fill="auto"/>
          </w:tcPr>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MUAC 16 –18.4cm</w:t>
            </w:r>
          </w:p>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W/H -3 Z-scores to  &lt;</w:t>
            </w:r>
          </w:p>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-2 Z-scores</w:t>
            </w:r>
          </w:p>
        </w:tc>
        <w:tc>
          <w:tcPr>
            <w:tcW w:w="2070" w:type="dxa"/>
            <w:tcBorders>
              <w:top w:val="single" w:sz="6" w:space="0" w:color="231F20"/>
              <w:left w:val="single" w:sz="6" w:space="0" w:color="231F20"/>
              <w:bottom w:val="single" w:sz="6" w:space="0" w:color="231F20"/>
              <w:right w:val="single" w:sz="6" w:space="0" w:color="231F20"/>
            </w:tcBorders>
            <w:shd w:val="clear" w:color="auto" w:fill="auto"/>
          </w:tcPr>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MUAC &lt; 16.0 cm</w:t>
            </w:r>
          </w:p>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W/H &lt; -3 Z-scores</w:t>
            </w:r>
          </w:p>
        </w:tc>
      </w:tr>
      <w:tr w:rsidR="0071027C" w:rsidRPr="003E72E0" w:rsidTr="0071027C">
        <w:trPr>
          <w:trHeight w:hRule="exact" w:val="1536"/>
        </w:trPr>
        <w:tc>
          <w:tcPr>
            <w:tcW w:w="2610" w:type="dxa"/>
            <w:tcBorders>
              <w:top w:val="single" w:sz="6" w:space="0" w:color="231F20"/>
              <w:left w:val="single" w:sz="6" w:space="0" w:color="231F20"/>
              <w:bottom w:val="single" w:sz="6" w:space="0" w:color="231F20"/>
              <w:right w:val="single" w:sz="6" w:space="0" w:color="231F20"/>
            </w:tcBorders>
            <w:shd w:val="clear" w:color="auto" w:fill="D9D9D9"/>
          </w:tcPr>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Adolescents</w:t>
            </w:r>
          </w:p>
          <w:p w:rsidR="0071027C" w:rsidRPr="003E72E0" w:rsidRDefault="0071027C" w:rsidP="00AA771C">
            <w:pPr>
              <w:spacing w:beforeLines="120" w:before="288" w:afterLines="120" w:after="288"/>
              <w:ind w:left="49" w:right="19"/>
              <w:jc w:val="both"/>
              <w:rPr>
                <w:rFonts w:ascii="Arial" w:eastAsia="Times New Roman" w:hAnsi="Arial" w:cs="Arial"/>
              </w:rPr>
            </w:pPr>
            <w:r w:rsidRPr="003E72E0">
              <w:rPr>
                <w:rFonts w:ascii="Arial" w:eastAsia="Times New Roman" w:hAnsi="Arial" w:cs="Arial"/>
                <w:color w:val="231F20"/>
              </w:rPr>
              <w:t>(15 years and above) and adults</w:t>
            </w:r>
          </w:p>
        </w:tc>
        <w:tc>
          <w:tcPr>
            <w:tcW w:w="2250" w:type="dxa"/>
            <w:tcBorders>
              <w:top w:val="single" w:sz="6" w:space="0" w:color="231F20"/>
              <w:left w:val="single" w:sz="6" w:space="0" w:color="231F20"/>
              <w:bottom w:val="single" w:sz="6" w:space="0" w:color="231F20"/>
              <w:right w:val="single" w:sz="6" w:space="0" w:color="231F20"/>
            </w:tcBorders>
            <w:shd w:val="clear" w:color="auto" w:fill="D9D9D9"/>
          </w:tcPr>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MUAC</w:t>
            </w:r>
          </w:p>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BMI ≥ 17 –</w:t>
            </w:r>
          </w:p>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18.4</w:t>
            </w:r>
          </w:p>
        </w:tc>
        <w:tc>
          <w:tcPr>
            <w:tcW w:w="2168" w:type="dxa"/>
            <w:tcBorders>
              <w:top w:val="single" w:sz="6" w:space="0" w:color="231F20"/>
              <w:left w:val="single" w:sz="6" w:space="0" w:color="231F20"/>
              <w:bottom w:val="single" w:sz="6" w:space="0" w:color="231F20"/>
              <w:right w:val="single" w:sz="6" w:space="0" w:color="231F20"/>
            </w:tcBorders>
            <w:shd w:val="clear" w:color="auto" w:fill="D9D9D9"/>
          </w:tcPr>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MUAC 19 cm –21.9 cm</w:t>
            </w:r>
          </w:p>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BMI ≥ 16 – 17</w:t>
            </w:r>
          </w:p>
        </w:tc>
        <w:tc>
          <w:tcPr>
            <w:tcW w:w="2070" w:type="dxa"/>
            <w:tcBorders>
              <w:top w:val="single" w:sz="6" w:space="0" w:color="231F20"/>
              <w:left w:val="single" w:sz="6" w:space="0" w:color="231F20"/>
              <w:bottom w:val="single" w:sz="6" w:space="0" w:color="231F20"/>
              <w:right w:val="single" w:sz="6" w:space="0" w:color="231F20"/>
            </w:tcBorders>
            <w:shd w:val="clear" w:color="auto" w:fill="D9D9D9"/>
          </w:tcPr>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BMI &lt; 16.0</w:t>
            </w:r>
          </w:p>
          <w:p w:rsidR="0071027C" w:rsidRPr="003E72E0" w:rsidRDefault="0071027C" w:rsidP="00AA771C">
            <w:pPr>
              <w:spacing w:beforeLines="120" w:before="288" w:afterLines="120" w:after="288"/>
              <w:ind w:left="49" w:right="-20"/>
              <w:jc w:val="both"/>
              <w:rPr>
                <w:rFonts w:ascii="Arial" w:eastAsia="Times New Roman" w:hAnsi="Arial" w:cs="Arial"/>
              </w:rPr>
            </w:pPr>
            <w:r w:rsidRPr="003E72E0">
              <w:rPr>
                <w:rFonts w:ascii="Arial" w:eastAsia="Times New Roman" w:hAnsi="Arial" w:cs="Arial"/>
                <w:color w:val="231F20"/>
              </w:rPr>
              <w:t>MUAC &lt; 19.0 cm</w:t>
            </w:r>
          </w:p>
        </w:tc>
      </w:tr>
    </w:tbl>
    <w:p w:rsidR="0071027C" w:rsidRPr="003E72E0" w:rsidRDefault="0071027C" w:rsidP="0071027C">
      <w:pPr>
        <w:spacing w:before="120" w:after="120" w:line="240" w:lineRule="auto"/>
        <w:ind w:right="1496" w:firstLine="720"/>
        <w:jc w:val="both"/>
        <w:rPr>
          <w:rFonts w:ascii="Arial" w:eastAsia="Times New Roman" w:hAnsi="Arial" w:cs="Arial"/>
          <w:b/>
          <w:color w:val="231F20"/>
          <w:spacing w:val="-13"/>
          <w:sz w:val="24"/>
          <w:szCs w:val="24"/>
        </w:rPr>
      </w:pPr>
      <w:r w:rsidRPr="003E72E0">
        <w:rPr>
          <w:rFonts w:ascii="Arial" w:hAnsi="Arial" w:cs="Arial"/>
          <w:b/>
          <w:color w:val="000000"/>
          <w:sz w:val="24"/>
          <w:szCs w:val="24"/>
        </w:rPr>
        <w:t>Note:</w:t>
      </w:r>
    </w:p>
    <w:p w:rsidR="0071027C" w:rsidRPr="003E72E0" w:rsidRDefault="0071027C" w:rsidP="00274941">
      <w:pPr>
        <w:pStyle w:val="ListParagraph"/>
        <w:numPr>
          <w:ilvl w:val="0"/>
          <w:numId w:val="126"/>
        </w:numPr>
        <w:contextualSpacing w:val="0"/>
        <w:jc w:val="both"/>
        <w:rPr>
          <w:rFonts w:ascii="Arial" w:hAnsi="Arial" w:cs="Arial"/>
        </w:rPr>
      </w:pPr>
      <w:r w:rsidRPr="003E72E0">
        <w:rPr>
          <w:rFonts w:ascii="Arial" w:hAnsi="Arial" w:cs="Arial"/>
          <w:color w:val="231F20"/>
        </w:rPr>
        <w:t>V</w:t>
      </w:r>
      <w:r w:rsidRPr="003E72E0">
        <w:rPr>
          <w:rFonts w:ascii="Arial" w:hAnsi="Arial" w:cs="Arial"/>
          <w:color w:val="000000"/>
        </w:rPr>
        <w:t>isual assessment is not recommended as the primary method for screening or nutritional assessment.</w:t>
      </w:r>
    </w:p>
    <w:p w:rsidR="0071027C" w:rsidRPr="003E72E0" w:rsidRDefault="0071027C" w:rsidP="00274941">
      <w:pPr>
        <w:pStyle w:val="ListParagraph"/>
        <w:numPr>
          <w:ilvl w:val="0"/>
          <w:numId w:val="126"/>
        </w:numPr>
        <w:contextualSpacing w:val="0"/>
        <w:jc w:val="both"/>
        <w:rPr>
          <w:rFonts w:ascii="Arial" w:hAnsi="Arial" w:cs="Arial"/>
        </w:rPr>
      </w:pPr>
      <w:r w:rsidRPr="003E72E0">
        <w:rPr>
          <w:rFonts w:ascii="Arial" w:hAnsi="Arial" w:cs="Arial"/>
          <w:color w:val="231F20"/>
        </w:rPr>
        <w:t>M</w:t>
      </w:r>
      <w:r w:rsidRPr="003E72E0">
        <w:rPr>
          <w:rFonts w:ascii="Arial" w:hAnsi="Arial" w:cs="Arial"/>
          <w:color w:val="231F20"/>
          <w:spacing w:val="-13"/>
        </w:rPr>
        <w:t>UAC</w:t>
      </w:r>
      <w:r w:rsidRPr="003E72E0">
        <w:rPr>
          <w:rFonts w:ascii="Arial" w:hAnsi="Arial" w:cs="Arial"/>
          <w:color w:val="231F20"/>
        </w:rPr>
        <w:t>isrecommendedastheprimarymethod for screening or nutritional assessment for pregnant women.</w:t>
      </w:r>
    </w:p>
    <w:p w:rsidR="0071027C" w:rsidRPr="003E72E0" w:rsidRDefault="0071027C" w:rsidP="00274941">
      <w:pPr>
        <w:pStyle w:val="ListParagraph"/>
        <w:numPr>
          <w:ilvl w:val="0"/>
          <w:numId w:val="126"/>
        </w:numPr>
        <w:contextualSpacing w:val="0"/>
        <w:jc w:val="both"/>
        <w:rPr>
          <w:rFonts w:ascii="Arial" w:hAnsi="Arial" w:cs="Arial"/>
        </w:rPr>
      </w:pPr>
      <w:r w:rsidRPr="003E72E0">
        <w:rPr>
          <w:rFonts w:ascii="Arial" w:hAnsi="Arial" w:cs="Arial"/>
          <w:color w:val="231F20"/>
        </w:rPr>
        <w:t xml:space="preserve"> consideration for PLHIV with normal nutritional status, overweight or obese e.g. recommendations for reducing </w:t>
      </w:r>
      <w:r w:rsidRPr="003E72E0">
        <w:rPr>
          <w:rFonts w:ascii="Arial" w:hAnsi="Arial" w:cs="Arial"/>
        </w:rPr>
        <w:t>intakes of sweetened foods and drinks, and regular physical activities.</w:t>
      </w:r>
    </w:p>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rsidP="0071027C">
      <w:pPr>
        <w:pStyle w:val="Heading1"/>
      </w:pPr>
      <w:bookmarkStart w:id="1000" w:name="_Toc382214158"/>
      <w:r>
        <w:t xml:space="preserve">CHAPTER 14: </w:t>
      </w:r>
      <w:r w:rsidRPr="000119E6">
        <w:t>COMMUNITY BASED HIV AND AIDS SERVICES</w:t>
      </w:r>
      <w:bookmarkEnd w:id="1000"/>
    </w:p>
    <w:p w:rsidR="0071027C" w:rsidRPr="000119E6" w:rsidRDefault="0071027C" w:rsidP="0071027C"/>
    <w:p w:rsidR="0071027C" w:rsidRPr="000119E6" w:rsidRDefault="0071027C" w:rsidP="0071027C">
      <w:pPr>
        <w:pStyle w:val="Heading2"/>
      </w:pPr>
      <w:bookmarkStart w:id="1001" w:name="_Toc382214159"/>
      <w:r w:rsidRPr="000119E6">
        <w:t>14.1 Background</w:t>
      </w:r>
      <w:bookmarkEnd w:id="1001"/>
      <w:r w:rsidRPr="000119E6">
        <w:t xml:space="preserve"> </w:t>
      </w:r>
    </w:p>
    <w:p w:rsidR="0071027C" w:rsidRPr="000119E6" w:rsidRDefault="0071027C" w:rsidP="0071027C">
      <w:pPr>
        <w:pStyle w:val="PlainText"/>
        <w:spacing w:before="120" w:after="120"/>
        <w:jc w:val="both"/>
        <w:rPr>
          <w:rFonts w:ascii="Arial" w:hAnsi="Arial" w:cs="Arial"/>
          <w:sz w:val="22"/>
          <w:szCs w:val="22"/>
        </w:rPr>
      </w:pPr>
      <w:r w:rsidRPr="000119E6">
        <w:rPr>
          <w:rFonts w:ascii="Arial" w:hAnsi="Arial" w:cs="Arial"/>
          <w:sz w:val="22"/>
          <w:szCs w:val="22"/>
        </w:rPr>
        <w:t xml:space="preserve">The Health Sector HIV and AIDS Strategic Plan III (HSHSP) 2013 - 2017 calls for comprehensive quality HIV care services at three levels, namely: facility, community and household. Patients should have access to care at all three levels, and an effective referral system needs to be put in place to link all the levels with each other. The availability and use of antiretroviral treatment has reinforced and added new perspectives to this concept of across a </w:t>
      </w:r>
      <w:r w:rsidRPr="000119E6">
        <w:rPr>
          <w:rFonts w:ascii="Arial" w:hAnsi="Arial" w:cs="Arial"/>
          <w:b/>
          <w:sz w:val="22"/>
          <w:szCs w:val="22"/>
        </w:rPr>
        <w:t>comprehensive continuum of care</w:t>
      </w:r>
      <w:r w:rsidRPr="000119E6">
        <w:rPr>
          <w:rFonts w:ascii="Arial" w:hAnsi="Arial" w:cs="Arial"/>
          <w:sz w:val="22"/>
          <w:szCs w:val="22"/>
        </w:rPr>
        <w:t xml:space="preserve">. The importance of compliance with treatment regimens and adherence to treatment has resulted in new roles for Community Based HIV and AIDS services. </w:t>
      </w:r>
    </w:p>
    <w:p w:rsidR="0071027C" w:rsidRPr="000119E6" w:rsidRDefault="0071027C" w:rsidP="0071027C">
      <w:pPr>
        <w:pStyle w:val="PlainText"/>
        <w:spacing w:before="120" w:after="120"/>
        <w:jc w:val="both"/>
        <w:rPr>
          <w:rFonts w:ascii="Arial" w:hAnsi="Arial" w:cs="Arial"/>
          <w:sz w:val="22"/>
          <w:szCs w:val="22"/>
        </w:rPr>
      </w:pPr>
      <w:r w:rsidRPr="000119E6">
        <w:rPr>
          <w:rFonts w:ascii="Arial" w:hAnsi="Arial" w:cs="Arial"/>
          <w:sz w:val="22"/>
          <w:szCs w:val="22"/>
        </w:rPr>
        <w:t>PLHIVs and their affected families and households have a variety of needs beyond the mere clinical needs. Such needs include psychological, spiritual, nutritional, educational, economic and legal care and support. It is the community Based HIV and AIDS services that cater for these needs of PLHIVs and the community surrounding them.</w:t>
      </w:r>
    </w:p>
    <w:p w:rsidR="0071027C" w:rsidRPr="000119E6" w:rsidRDefault="0071027C" w:rsidP="0071027C">
      <w:pPr>
        <w:pStyle w:val="NoSpacing"/>
        <w:spacing w:before="120" w:after="120"/>
        <w:jc w:val="both"/>
        <w:rPr>
          <w:rFonts w:ascii="Arial" w:hAnsi="Arial" w:cs="Arial"/>
          <w:color w:val="000000"/>
          <w:lang w:val="en-GB"/>
        </w:rPr>
      </w:pPr>
      <w:r w:rsidRPr="000119E6">
        <w:rPr>
          <w:rFonts w:ascii="Arial" w:hAnsi="Arial" w:cs="Arial"/>
          <w:color w:val="000000"/>
          <w:lang w:val="en-GB"/>
        </w:rPr>
        <w:t xml:space="preserve">In Tanzania, Community Based HIV and AIDS Services was formally introduced by the MOHSW as Home Based Care Services mainly for bedridden patients. Due to the advancement in the management of HIV and AIDS, the scope of HBC changed significantly, from taking care of bedridden clients to ambulatory. Up to the end of December, 2012, these services expanded to reach 134 councils where a total of 275,547 clients benefitted from these services. The coordination of HBC services in regions and districts has improved significantly following the introduction of regional and Districts HBC coordinators respectively. With increased partner support, 9719 HBC service providers were trained and resulted to increased coverage of services. However, the coverage of Community Based HIV and AIDS services (CBHS) is still partial.  In 134 out of 167 councils that have been reached, only 4,707 (35%) health facilities have CBHS in their catchment areas. </w:t>
      </w:r>
    </w:p>
    <w:p w:rsidR="0071027C" w:rsidRPr="00D20E1C" w:rsidRDefault="0071027C" w:rsidP="0071027C">
      <w:pPr>
        <w:pStyle w:val="ListParagraph"/>
        <w:spacing w:line="276" w:lineRule="auto"/>
        <w:ind w:left="0"/>
        <w:jc w:val="both"/>
        <w:rPr>
          <w:rFonts w:eastAsiaTheme="majorEastAsia"/>
          <w:bCs/>
          <w:color w:val="000000" w:themeColor="text1"/>
          <w:kern w:val="24"/>
        </w:rPr>
      </w:pPr>
    </w:p>
    <w:p w:rsidR="0071027C" w:rsidRPr="00EA4EBB" w:rsidRDefault="0071027C" w:rsidP="0071027C">
      <w:pPr>
        <w:pStyle w:val="Heading2"/>
        <w:rPr>
          <w:kern w:val="24"/>
        </w:rPr>
      </w:pPr>
      <w:bookmarkStart w:id="1002" w:name="_Toc382214160"/>
      <w:r>
        <w:rPr>
          <w:kern w:val="24"/>
        </w:rPr>
        <w:t xml:space="preserve">14.2 </w:t>
      </w:r>
      <w:r w:rsidRPr="00EA4EBB">
        <w:rPr>
          <w:kern w:val="24"/>
        </w:rPr>
        <w:t>Overall Goal</w:t>
      </w:r>
      <w:bookmarkEnd w:id="1002"/>
    </w:p>
    <w:p w:rsidR="0071027C" w:rsidRPr="000119E6" w:rsidRDefault="0071027C" w:rsidP="0071027C">
      <w:pPr>
        <w:pStyle w:val="NoSpacing"/>
        <w:spacing w:before="120" w:after="120"/>
        <w:jc w:val="both"/>
        <w:rPr>
          <w:rFonts w:ascii="Arial" w:hAnsi="Arial" w:cs="Arial"/>
          <w:color w:val="000000"/>
          <w:lang w:val="en-GB"/>
        </w:rPr>
      </w:pPr>
      <w:r w:rsidRPr="000119E6">
        <w:rPr>
          <w:rFonts w:ascii="Arial" w:hAnsi="Arial" w:cs="Arial"/>
          <w:color w:val="000000"/>
          <w:lang w:val="en-GB"/>
        </w:rPr>
        <w:t xml:space="preserve">People living with HIV in all councils have access to quality comprehensive Community Based HIV Services integrated with other services. </w:t>
      </w:r>
    </w:p>
    <w:p w:rsidR="0071027C" w:rsidRDefault="0071027C" w:rsidP="0071027C">
      <w:pPr>
        <w:jc w:val="both"/>
        <w:rPr>
          <w:rFonts w:eastAsiaTheme="majorEastAsia"/>
          <w:bCs/>
          <w:color w:val="000000" w:themeColor="text1"/>
          <w:kern w:val="24"/>
        </w:rPr>
      </w:pPr>
    </w:p>
    <w:p w:rsidR="0071027C" w:rsidRPr="000119E6" w:rsidRDefault="0071027C" w:rsidP="0071027C">
      <w:pPr>
        <w:pStyle w:val="Heading2"/>
        <w:rPr>
          <w:kern w:val="24"/>
        </w:rPr>
      </w:pPr>
      <w:bookmarkStart w:id="1003" w:name="_Toc382214161"/>
      <w:r>
        <w:rPr>
          <w:kern w:val="24"/>
        </w:rPr>
        <w:t xml:space="preserve">14.3 </w:t>
      </w:r>
      <w:r w:rsidRPr="000119E6">
        <w:rPr>
          <w:kern w:val="24"/>
        </w:rPr>
        <w:t>Scope of CBHS</w:t>
      </w:r>
      <w:bookmarkEnd w:id="1003"/>
      <w:r w:rsidRPr="000119E6">
        <w:rPr>
          <w:kern w:val="24"/>
        </w:rPr>
        <w:t xml:space="preserve"> </w:t>
      </w:r>
    </w:p>
    <w:p w:rsidR="0071027C" w:rsidRPr="000119E6" w:rsidRDefault="0071027C" w:rsidP="0071027C">
      <w:pPr>
        <w:pStyle w:val="NoSpacing"/>
        <w:spacing w:before="120" w:after="120"/>
        <w:jc w:val="both"/>
        <w:rPr>
          <w:rFonts w:ascii="Arial" w:hAnsi="Arial" w:cs="Arial"/>
          <w:color w:val="000000"/>
          <w:lang w:val="en-GB"/>
        </w:rPr>
      </w:pPr>
      <w:r w:rsidRPr="000119E6">
        <w:rPr>
          <w:rFonts w:ascii="Arial" w:hAnsi="Arial" w:cs="Arial"/>
          <w:color w:val="000000"/>
          <w:lang w:val="en-GB"/>
        </w:rPr>
        <w:t xml:space="preserve">Community based HIV and AIDS services are the holistic approach within the community that focuses to PLHIV and the community surrounding him/hertowards their health improvement. It involves prevention, care and support provided beyond the health institution that aims at meeting the overall needs of people suffering from chronic illnesses and their family members, including those taking lifelong medications such as ARV drugs. </w:t>
      </w:r>
      <w:r w:rsidRPr="000119E6">
        <w:rPr>
          <w:rFonts w:ascii="Arial" w:hAnsi="Arial"/>
        </w:rPr>
        <w:t>Families are the central focus and form the basis of CBHS.</w:t>
      </w:r>
    </w:p>
    <w:p w:rsidR="0071027C" w:rsidRPr="000119E6" w:rsidRDefault="0071027C" w:rsidP="0071027C">
      <w:pPr>
        <w:pStyle w:val="NoSpacing"/>
        <w:spacing w:before="120" w:after="120"/>
        <w:jc w:val="both"/>
        <w:rPr>
          <w:rFonts w:ascii="Arial" w:hAnsi="Arial" w:cs="Arial"/>
          <w:color w:val="000000"/>
          <w:lang w:val="en-GB"/>
        </w:rPr>
      </w:pPr>
      <w:r w:rsidRPr="000119E6">
        <w:rPr>
          <w:rFonts w:ascii="Arial" w:hAnsi="Arial" w:cs="Arial"/>
          <w:color w:val="000000"/>
          <w:lang w:val="en-GB"/>
        </w:rPr>
        <w:t xml:space="preserve">Community Based HIV and AIDS Services ensure the continuity of care provided to the PLHIV client at the health facility through the continuum of care. This is a set of comprehensive and linked care, treatment, and support services provided at all levels: from health facility to community to home. Services are provided by the government, NGOs, community-based organizations (CBOs), faith-based organizations (FBOs), community members and by PLHIV and their family members. Furthermore, Care and support programs are developed as a response to these psychological, social, nutritional, economic, legal, clinical, and nursing-care needs and demands. </w:t>
      </w:r>
    </w:p>
    <w:p w:rsidR="0071027C" w:rsidRPr="000119E6" w:rsidRDefault="0071027C" w:rsidP="0071027C">
      <w:pPr>
        <w:pStyle w:val="NoSpacing"/>
        <w:spacing w:before="120" w:after="120"/>
        <w:jc w:val="both"/>
        <w:rPr>
          <w:rFonts w:ascii="Arial" w:hAnsi="Arial" w:cs="Arial"/>
          <w:color w:val="000000"/>
          <w:lang w:val="en-GB"/>
        </w:rPr>
      </w:pPr>
      <w:r w:rsidRPr="000119E6">
        <w:rPr>
          <w:rFonts w:ascii="Arial" w:hAnsi="Arial" w:cs="Arial"/>
          <w:color w:val="000000"/>
          <w:lang w:val="en-GB"/>
        </w:rPr>
        <w:t>In Tanzania and other countries in sub-Saharan Africa, clinical and psychosocial interventions have been shown to be more effective and sustainable if they are built upon a foundation of mutual trust between programs and facilities and then followed up by community care programs. The fulﬁlment of these conditions constitutes the continuum of care for PLHIV.</w:t>
      </w:r>
    </w:p>
    <w:p w:rsidR="0071027C" w:rsidRPr="00CE6A9C" w:rsidRDefault="0071027C" w:rsidP="0071027C">
      <w:pPr>
        <w:pStyle w:val="Heading3"/>
        <w:rPr>
          <w:kern w:val="24"/>
        </w:rPr>
      </w:pPr>
      <w:bookmarkStart w:id="1004" w:name="_Toc382214162"/>
      <w:r w:rsidRPr="00CE6A9C">
        <w:rPr>
          <w:kern w:val="24"/>
        </w:rPr>
        <w:t>14.3.1 Contribution of CBHS in Treatment support</w:t>
      </w:r>
      <w:bookmarkEnd w:id="1004"/>
    </w:p>
    <w:p w:rsidR="0071027C" w:rsidRPr="000119E6" w:rsidRDefault="0071027C" w:rsidP="0071027C">
      <w:pPr>
        <w:pStyle w:val="NoSpacing"/>
        <w:spacing w:before="120" w:after="120"/>
        <w:jc w:val="both"/>
        <w:rPr>
          <w:rFonts w:ascii="Arial" w:hAnsi="Arial" w:cs="Arial"/>
          <w:color w:val="000000"/>
          <w:lang w:val="en-GB"/>
        </w:rPr>
      </w:pPr>
      <w:r w:rsidRPr="000119E6">
        <w:rPr>
          <w:rFonts w:ascii="Arial" w:hAnsi="Arial" w:cs="Arial"/>
          <w:color w:val="000000"/>
          <w:lang w:val="en-GB"/>
        </w:rPr>
        <w:t>The establishment of Community Based HIV and AIDS Services programs by the Ministry of Health and Social Welfare is among the Ministry’s strategies to compliment the initiatives of the government to combat HIV and AIDS in ART era. The following are the key areas that the CBHS are contributing in the treatment support:</w:t>
      </w:r>
    </w:p>
    <w:p w:rsidR="0071027C" w:rsidRDefault="0071027C" w:rsidP="0071027C">
      <w:pPr>
        <w:pStyle w:val="ListParagraph"/>
        <w:spacing w:line="276" w:lineRule="auto"/>
        <w:ind w:left="0"/>
        <w:jc w:val="both"/>
        <w:rPr>
          <w:rFonts w:ascii="Arial Narrow" w:eastAsiaTheme="majorEastAsia" w:hAnsi="Arial Narrow"/>
          <w:bCs/>
          <w:color w:val="000000" w:themeColor="text1"/>
          <w:kern w:val="24"/>
        </w:rPr>
      </w:pPr>
    </w:p>
    <w:p w:rsidR="0071027C" w:rsidRPr="006C603E" w:rsidRDefault="0071027C" w:rsidP="00274941">
      <w:pPr>
        <w:pStyle w:val="ListParagraph"/>
        <w:numPr>
          <w:ilvl w:val="0"/>
          <w:numId w:val="129"/>
        </w:numPr>
        <w:spacing w:line="360" w:lineRule="auto"/>
        <w:ind w:hanging="180"/>
        <w:jc w:val="both"/>
        <w:rPr>
          <w:rFonts w:ascii="Arial Narrow" w:eastAsiaTheme="majorEastAsia" w:hAnsi="Arial Narrow"/>
          <w:b/>
          <w:bCs/>
          <w:color w:val="000000" w:themeColor="text1"/>
          <w:kern w:val="24"/>
        </w:rPr>
      </w:pPr>
      <w:r>
        <w:rPr>
          <w:rFonts w:ascii="Arial Narrow" w:eastAsiaTheme="majorEastAsia" w:hAnsi="Arial Narrow"/>
          <w:b/>
          <w:bCs/>
          <w:color w:val="000000" w:themeColor="text1"/>
          <w:kern w:val="24"/>
        </w:rPr>
        <w:t>Early c</w:t>
      </w:r>
      <w:r w:rsidRPr="006C603E">
        <w:rPr>
          <w:rFonts w:ascii="Arial Narrow" w:eastAsiaTheme="majorEastAsia" w:hAnsi="Arial Narrow"/>
          <w:b/>
          <w:bCs/>
          <w:color w:val="000000" w:themeColor="text1"/>
          <w:kern w:val="24"/>
        </w:rPr>
        <w:t>ase identification and enrollment</w:t>
      </w:r>
    </w:p>
    <w:p w:rsidR="0071027C" w:rsidRDefault="0071027C" w:rsidP="0071027C">
      <w:pPr>
        <w:pStyle w:val="NoSpacing"/>
        <w:spacing w:before="120" w:after="120"/>
        <w:jc w:val="both"/>
        <w:rPr>
          <w:rFonts w:ascii="Arial" w:hAnsi="Arial" w:cs="Arial"/>
          <w:color w:val="000000"/>
          <w:lang w:val="en-GB"/>
        </w:rPr>
      </w:pPr>
      <w:r w:rsidRPr="000119E6">
        <w:rPr>
          <w:rFonts w:ascii="Arial" w:hAnsi="Arial" w:cs="Arial"/>
          <w:color w:val="000000"/>
          <w:lang w:val="en-GB"/>
        </w:rPr>
        <w:t>The ultimate purpose of Care and Treatment program is to make sure that all HIV positive clients are enrolled into care and those eligible for treatment are started on ARV as early as possible. In order to achieve that, CBHS have strategized to ensure that those who develop symptoms</w:t>
      </w:r>
      <w:r>
        <w:rPr>
          <w:rFonts w:ascii="Arial" w:hAnsi="Arial" w:cs="Arial"/>
          <w:color w:val="000000"/>
          <w:lang w:val="en-GB"/>
        </w:rPr>
        <w:t xml:space="preserve"> </w:t>
      </w:r>
      <w:r w:rsidRPr="000119E6">
        <w:rPr>
          <w:rFonts w:ascii="Arial" w:hAnsi="Arial" w:cs="Arial"/>
          <w:color w:val="000000"/>
          <w:lang w:val="en-GB"/>
        </w:rPr>
        <w:t>have access to HIV testing and counseling and those who test positive in the community have access to care and treatment services respectively. The CBHS providers in the community will refer people who have symptoms for HIV counseling and testing in the nearest health facility while those who test HIV positive will be enrolled into CBHS for further follow up.</w:t>
      </w:r>
      <w:r>
        <w:rPr>
          <w:rFonts w:ascii="Arial" w:hAnsi="Arial" w:cs="Arial"/>
          <w:color w:val="000000"/>
          <w:lang w:val="en-GB"/>
        </w:rPr>
        <w:t xml:space="preserve"> </w:t>
      </w:r>
    </w:p>
    <w:p w:rsidR="0071027C" w:rsidRPr="000119E6" w:rsidRDefault="0071027C" w:rsidP="0071027C">
      <w:pPr>
        <w:pStyle w:val="NoSpacing"/>
        <w:spacing w:before="120" w:after="120"/>
        <w:jc w:val="both"/>
        <w:rPr>
          <w:rFonts w:ascii="Arial" w:hAnsi="Arial" w:cs="Arial"/>
          <w:color w:val="000000"/>
          <w:lang w:val="en-GB"/>
        </w:rPr>
      </w:pPr>
      <w:r w:rsidRPr="000119E6">
        <w:rPr>
          <w:rFonts w:ascii="Arial" w:hAnsi="Arial" w:cs="Arial"/>
          <w:color w:val="000000"/>
          <w:lang w:val="en-GB"/>
        </w:rPr>
        <w:t>After enrolment</w:t>
      </w:r>
      <w:r>
        <w:rPr>
          <w:rFonts w:ascii="Arial" w:hAnsi="Arial" w:cs="Arial"/>
          <w:color w:val="000000"/>
          <w:lang w:val="en-GB"/>
        </w:rPr>
        <w:t xml:space="preserve"> </w:t>
      </w:r>
      <w:r w:rsidRPr="000119E6">
        <w:rPr>
          <w:rFonts w:ascii="Arial" w:hAnsi="Arial" w:cs="Arial"/>
          <w:color w:val="000000"/>
          <w:lang w:val="en-GB"/>
        </w:rPr>
        <w:t>to CBHS, the CBHS provider will ensure that the client reach their first referral point (</w:t>
      </w:r>
      <w:smartTag w:uri="urn:schemas-microsoft-com:office:smarttags" w:element="stockticker">
        <w:r w:rsidRPr="000119E6">
          <w:rPr>
            <w:rFonts w:ascii="Arial" w:hAnsi="Arial" w:cs="Arial"/>
            <w:color w:val="000000"/>
            <w:lang w:val="en-GB"/>
          </w:rPr>
          <w:t>CTC</w:t>
        </w:r>
      </w:smartTag>
      <w:r w:rsidRPr="000119E6">
        <w:rPr>
          <w:rFonts w:ascii="Arial" w:hAnsi="Arial" w:cs="Arial"/>
          <w:color w:val="000000"/>
          <w:lang w:val="en-GB"/>
        </w:rPr>
        <w:t>/PMTCT/Pediatric HIV Clinics/TB Clinics etc.). Using the enrolled CBHS clients as an entry point to the household, CBHS providers will provide pretest information to the clients to facilitate HIV counseling and testing at home by the trained counselors. Furthermore, at the community level, efforts are being made by CBHS to ensure that all pregnant women, mothers and their exposed children return to the health facility for follow up. Also, CBHS have special attention in the identification and enrollment of Injective Drug users and Commercial sex workers as they are among the key population groups that have a very high risk of contracting HIV infection.</w:t>
      </w:r>
    </w:p>
    <w:p w:rsidR="0071027C" w:rsidRDefault="0071027C" w:rsidP="0071027C">
      <w:pPr>
        <w:pStyle w:val="ListParagraph"/>
        <w:spacing w:line="276" w:lineRule="auto"/>
        <w:ind w:left="0"/>
        <w:jc w:val="both"/>
        <w:rPr>
          <w:rFonts w:ascii="Arial Narrow" w:eastAsiaTheme="majorEastAsia" w:hAnsi="Arial Narrow"/>
          <w:bCs/>
          <w:color w:val="000000" w:themeColor="text1"/>
          <w:kern w:val="24"/>
        </w:rPr>
      </w:pPr>
    </w:p>
    <w:p w:rsidR="0071027C" w:rsidRPr="006C603E" w:rsidRDefault="0071027C" w:rsidP="00274941">
      <w:pPr>
        <w:pStyle w:val="ListParagraph"/>
        <w:numPr>
          <w:ilvl w:val="0"/>
          <w:numId w:val="129"/>
        </w:numPr>
        <w:spacing w:line="360" w:lineRule="auto"/>
        <w:ind w:hanging="180"/>
        <w:jc w:val="both"/>
        <w:rPr>
          <w:rFonts w:ascii="Arial Narrow" w:eastAsiaTheme="majorEastAsia" w:hAnsi="Arial Narrow"/>
          <w:b/>
          <w:bCs/>
          <w:color w:val="000000" w:themeColor="text1"/>
          <w:kern w:val="24"/>
        </w:rPr>
      </w:pPr>
      <w:r w:rsidRPr="006C603E">
        <w:rPr>
          <w:rFonts w:ascii="Arial Narrow" w:eastAsiaTheme="majorEastAsia" w:hAnsi="Arial Narrow"/>
          <w:b/>
          <w:bCs/>
          <w:color w:val="000000" w:themeColor="text1"/>
          <w:kern w:val="24"/>
        </w:rPr>
        <w:t>Retention of clients</w:t>
      </w:r>
      <w:r>
        <w:rPr>
          <w:rFonts w:ascii="Arial Narrow" w:eastAsiaTheme="majorEastAsia" w:hAnsi="Arial Narrow"/>
          <w:b/>
          <w:bCs/>
          <w:color w:val="000000" w:themeColor="text1"/>
          <w:kern w:val="24"/>
        </w:rPr>
        <w:t xml:space="preserve"> to treatment</w:t>
      </w:r>
    </w:p>
    <w:p w:rsidR="0071027C" w:rsidRPr="000119E6" w:rsidRDefault="0071027C" w:rsidP="0071027C">
      <w:pPr>
        <w:pStyle w:val="NoSpacing"/>
        <w:spacing w:before="120" w:after="120"/>
        <w:jc w:val="both"/>
        <w:rPr>
          <w:rFonts w:ascii="Arial" w:hAnsi="Arial" w:cs="Arial"/>
          <w:color w:val="000000"/>
          <w:lang w:val="en-GB"/>
        </w:rPr>
      </w:pPr>
      <w:r w:rsidRPr="000119E6">
        <w:rPr>
          <w:rFonts w:ascii="Arial" w:hAnsi="Arial" w:cs="Arial"/>
          <w:color w:val="000000"/>
          <w:lang w:val="en-GB"/>
        </w:rPr>
        <w:t xml:space="preserve">ART is a lifelong treatment, and its success depends very much on how the clients adhere to the prescribed treatment regimen. For a patient to get the desired treatment results, they need to continue with ART throughout their lives. Achieving such results is a challenge; therefore, different approaches to improving adherence were established by the Ministry of Health and Social Welfare. </w:t>
      </w:r>
    </w:p>
    <w:p w:rsidR="0071027C" w:rsidRPr="000119E6" w:rsidRDefault="0071027C" w:rsidP="0071027C">
      <w:pPr>
        <w:pStyle w:val="NoSpacing"/>
        <w:spacing w:before="120" w:after="120"/>
        <w:jc w:val="both"/>
        <w:rPr>
          <w:rFonts w:ascii="Arial" w:hAnsi="Arial" w:cs="Arial"/>
          <w:color w:val="000000"/>
          <w:lang w:val="en-GB"/>
        </w:rPr>
      </w:pPr>
      <w:r w:rsidRPr="000119E6">
        <w:rPr>
          <w:rFonts w:ascii="Arial" w:hAnsi="Arial" w:cs="Arial"/>
          <w:color w:val="000000"/>
          <w:lang w:val="en-GB"/>
        </w:rPr>
        <w:t>Among those, CBHS uses CBHS providers through home visits to provide adherence counseling and health education to the clients who are on treatment to stay on treatment. Also, The CBHS providers are trained to assist the client in choosing a primary care giver who is a relative of a client to help the client in taking medication by reminding or  assisting in taking medication.</w:t>
      </w:r>
    </w:p>
    <w:p w:rsidR="0071027C" w:rsidRPr="000119E6" w:rsidRDefault="0071027C" w:rsidP="0071027C">
      <w:pPr>
        <w:pStyle w:val="NoSpacing"/>
        <w:spacing w:before="120" w:after="120"/>
        <w:jc w:val="both"/>
        <w:rPr>
          <w:rFonts w:ascii="Arial" w:hAnsi="Arial" w:cs="Arial"/>
          <w:color w:val="000000"/>
          <w:lang w:val="en-GB"/>
        </w:rPr>
      </w:pPr>
      <w:r w:rsidRPr="000119E6">
        <w:rPr>
          <w:rFonts w:ascii="Arial" w:hAnsi="Arial" w:cs="Arial"/>
          <w:color w:val="000000"/>
          <w:lang w:val="en-GB"/>
        </w:rPr>
        <w:t>CBHS providers will link clients who are HIV positive and those who are on treatment to PLHIV support groups which is a platform for PLHIV peer education, psychosocial support, and economic strengthening through income generating activities. Through these groups, the newly diagnosed clients will get experience and testimonies from other clients who are on treatment for long time hence helps them with adherence and acceptance of HIV status which will eventually help them in status disclosure.</w:t>
      </w:r>
    </w:p>
    <w:p w:rsidR="0071027C" w:rsidRDefault="0071027C" w:rsidP="00274941">
      <w:pPr>
        <w:pStyle w:val="ListParagraph"/>
        <w:numPr>
          <w:ilvl w:val="0"/>
          <w:numId w:val="129"/>
        </w:numPr>
        <w:spacing w:line="360" w:lineRule="auto"/>
        <w:ind w:hanging="180"/>
        <w:jc w:val="both"/>
        <w:rPr>
          <w:rFonts w:ascii="Arial Narrow" w:eastAsiaTheme="majorEastAsia" w:hAnsi="Arial Narrow"/>
          <w:b/>
          <w:bCs/>
          <w:color w:val="000000" w:themeColor="text1"/>
          <w:kern w:val="24"/>
        </w:rPr>
      </w:pPr>
      <w:r>
        <w:rPr>
          <w:rFonts w:ascii="Arial Narrow" w:eastAsiaTheme="majorEastAsia" w:hAnsi="Arial Narrow"/>
          <w:b/>
          <w:bCs/>
          <w:color w:val="000000" w:themeColor="text1"/>
          <w:kern w:val="24"/>
        </w:rPr>
        <w:t>Tracking Loss to follow up clients from CTC/PMTCT clinics</w:t>
      </w:r>
    </w:p>
    <w:p w:rsidR="0071027C" w:rsidRPr="000119E6" w:rsidRDefault="0071027C" w:rsidP="0071027C">
      <w:pPr>
        <w:pStyle w:val="NoSpacing"/>
        <w:spacing w:before="120" w:after="120"/>
        <w:jc w:val="both"/>
        <w:rPr>
          <w:rFonts w:ascii="Arial" w:hAnsi="Arial" w:cs="Arial"/>
          <w:color w:val="000000"/>
          <w:lang w:val="en-GB"/>
        </w:rPr>
      </w:pPr>
      <w:r w:rsidRPr="000119E6">
        <w:rPr>
          <w:rFonts w:ascii="Arial" w:hAnsi="Arial" w:cs="Arial"/>
          <w:color w:val="000000"/>
          <w:lang w:val="en-GB"/>
        </w:rPr>
        <w:t xml:space="preserve">CBHS has a very important role to play in ensuring that clients who are loss to follow up are tracked back to the health facility. After identification of loss to follow up clients by the health facilities, CBHS providers of the catchment areas will be given the names of the clients lost for tracking them. The status of the clients who happen to be enrolled in the CBHS will be provided to the facilities, while those who are not enrolled in CBHS will be tracked manually and provide the report/feedback through the recommended system. In tracking loss to follow up clients, CBHS have increased efforts to those HIV positive mothers who have delivered and haven’t return back with their children for DBS results of their children. </w:t>
      </w:r>
    </w:p>
    <w:p w:rsidR="0071027C" w:rsidRDefault="0071027C" w:rsidP="0071027C">
      <w:pPr>
        <w:pStyle w:val="ListParagraph"/>
        <w:spacing w:line="360" w:lineRule="auto"/>
        <w:ind w:left="0"/>
        <w:jc w:val="both"/>
        <w:rPr>
          <w:rFonts w:ascii="Arial Narrow" w:eastAsiaTheme="majorEastAsia" w:hAnsi="Arial Narrow"/>
          <w:bCs/>
          <w:color w:val="000000" w:themeColor="text1"/>
          <w:kern w:val="24"/>
        </w:rPr>
      </w:pPr>
    </w:p>
    <w:p w:rsidR="0071027C" w:rsidRPr="00514862" w:rsidRDefault="0071027C" w:rsidP="00274941">
      <w:pPr>
        <w:pStyle w:val="ListParagraph"/>
        <w:numPr>
          <w:ilvl w:val="0"/>
          <w:numId w:val="129"/>
        </w:numPr>
        <w:spacing w:line="360" w:lineRule="auto"/>
        <w:ind w:hanging="180"/>
        <w:jc w:val="both"/>
        <w:rPr>
          <w:rFonts w:ascii="Arial Narrow" w:eastAsiaTheme="majorEastAsia" w:hAnsi="Arial Narrow"/>
          <w:b/>
          <w:bCs/>
          <w:color w:val="000000" w:themeColor="text1"/>
          <w:kern w:val="24"/>
        </w:rPr>
      </w:pPr>
      <w:r w:rsidRPr="00514862">
        <w:rPr>
          <w:rFonts w:ascii="Arial Narrow" w:eastAsiaTheme="majorEastAsia" w:hAnsi="Arial Narrow"/>
          <w:b/>
          <w:bCs/>
          <w:color w:val="000000" w:themeColor="text1"/>
          <w:kern w:val="24"/>
        </w:rPr>
        <w:t>Referral and networking</w:t>
      </w:r>
    </w:p>
    <w:p w:rsidR="0071027C" w:rsidRPr="000119E6" w:rsidRDefault="0071027C" w:rsidP="0071027C">
      <w:pPr>
        <w:pStyle w:val="NoSpacing"/>
        <w:spacing w:before="120" w:after="120"/>
        <w:jc w:val="both"/>
        <w:rPr>
          <w:rFonts w:ascii="Arial" w:hAnsi="Arial" w:cs="Arial"/>
          <w:color w:val="000000"/>
          <w:lang w:val="en-GB"/>
        </w:rPr>
      </w:pPr>
      <w:r w:rsidRPr="000119E6">
        <w:rPr>
          <w:rFonts w:ascii="Arial" w:hAnsi="Arial" w:cs="Arial"/>
          <w:color w:val="000000"/>
          <w:lang w:val="en-GB"/>
        </w:rPr>
        <w:t>CBHS services are part and parcel of the continuum of care and the provision of support at different levels. An effective continuum of care requires that a functional network and referral system is in place to improve access to appropriate services for all PLHIVs and chronically ill patients at all times. Through an effective and functioning referral system, these patients will continue to receive relevant services within their respective communities and homes after being discharged from healthcare facilities, and they can revert back to facility care as and when needed.</w:t>
      </w:r>
    </w:p>
    <w:p w:rsidR="0071027C" w:rsidRPr="000119E6" w:rsidRDefault="0071027C" w:rsidP="0071027C">
      <w:pPr>
        <w:pStyle w:val="NoSpacing"/>
        <w:spacing w:before="120" w:after="120"/>
        <w:jc w:val="both"/>
        <w:rPr>
          <w:rFonts w:ascii="Arial" w:hAnsi="Arial" w:cs="Arial"/>
          <w:color w:val="000000"/>
          <w:lang w:val="en-GB"/>
        </w:rPr>
      </w:pPr>
      <w:r w:rsidRPr="000119E6">
        <w:rPr>
          <w:rFonts w:ascii="Arial" w:hAnsi="Arial" w:cs="Arial"/>
          <w:color w:val="000000"/>
          <w:lang w:val="en-GB"/>
        </w:rPr>
        <w:t>To enhance this system, service providers ensures that the national CBHS referral forms are used in all referrals. The provider receiving the referral form also ensures that the feedback portion is ﬁlled in and returned to the referring provider.</w:t>
      </w:r>
    </w:p>
    <w:p w:rsidR="0071027C" w:rsidRPr="000119E6" w:rsidRDefault="0071027C" w:rsidP="0071027C">
      <w:pPr>
        <w:pStyle w:val="NoSpacing"/>
        <w:spacing w:before="120" w:after="120"/>
        <w:jc w:val="both"/>
        <w:rPr>
          <w:rFonts w:ascii="Arial" w:hAnsi="Arial" w:cs="Arial"/>
          <w:color w:val="000000"/>
          <w:lang w:val="en-GB"/>
        </w:rPr>
      </w:pPr>
      <w:r w:rsidRPr="000119E6">
        <w:rPr>
          <w:rFonts w:ascii="Arial" w:hAnsi="Arial" w:cs="Arial"/>
          <w:color w:val="000000"/>
          <w:lang w:val="en-GB"/>
        </w:rPr>
        <w:t>Referrals of CBHS clients will depend on what their needs are and what is available to them in their communities by way of spiritual, legal, income, nutrition and food, and socioeconomic support. These support services should be known at all levels and form part of a networking mechanism. A service directory and referral network is developed by service providers to enhance this referral system.</w:t>
      </w:r>
    </w:p>
    <w:p w:rsidR="0071027C" w:rsidRPr="00DA23AB" w:rsidRDefault="0071027C" w:rsidP="0071027C">
      <w:pPr>
        <w:pStyle w:val="ListParagraph"/>
        <w:spacing w:line="360" w:lineRule="auto"/>
        <w:ind w:left="0"/>
        <w:jc w:val="both"/>
        <w:rPr>
          <w:rFonts w:ascii="Arial Narrow" w:eastAsiaTheme="majorEastAsia" w:hAnsi="Arial Narrow"/>
          <w:bCs/>
          <w:color w:val="000000" w:themeColor="text1"/>
          <w:kern w:val="24"/>
        </w:rPr>
      </w:pPr>
    </w:p>
    <w:p w:rsidR="0071027C" w:rsidRPr="009A5666" w:rsidRDefault="0071027C" w:rsidP="0071027C">
      <w:pPr>
        <w:pStyle w:val="Heading2"/>
        <w:rPr>
          <w:kern w:val="24"/>
        </w:rPr>
      </w:pPr>
      <w:bookmarkStart w:id="1005" w:name="_Toc382214163"/>
      <w:r>
        <w:rPr>
          <w:kern w:val="24"/>
        </w:rPr>
        <w:t xml:space="preserve">14.4 </w:t>
      </w:r>
      <w:r w:rsidRPr="009A5666">
        <w:rPr>
          <w:kern w:val="24"/>
        </w:rPr>
        <w:t>Target group</w:t>
      </w:r>
      <w:bookmarkEnd w:id="1005"/>
      <w:r w:rsidRPr="009A5666">
        <w:rPr>
          <w:kern w:val="24"/>
        </w:rPr>
        <w:t xml:space="preserve"> </w:t>
      </w:r>
    </w:p>
    <w:p w:rsidR="0071027C" w:rsidRPr="000119E6" w:rsidRDefault="0071027C" w:rsidP="0071027C">
      <w:pPr>
        <w:pStyle w:val="NoSpacing"/>
        <w:spacing w:before="120" w:after="120"/>
        <w:jc w:val="both"/>
        <w:rPr>
          <w:rFonts w:ascii="Arial" w:hAnsi="Arial" w:cs="Arial"/>
          <w:color w:val="000000"/>
          <w:lang w:val="en-GB"/>
        </w:rPr>
      </w:pPr>
      <w:r w:rsidRPr="000119E6">
        <w:rPr>
          <w:rFonts w:ascii="Arial" w:hAnsi="Arial" w:cs="Arial"/>
          <w:color w:val="000000"/>
          <w:lang w:val="en-GB"/>
        </w:rPr>
        <w:t>Community Based HIV and AIDS services targets all HIV positive clients including HIV positive Adults, pediatrics, exposed children, pregnant women, IDUs, CSWs as primary target groups and chronically ill clients as secondary target groups.</w:t>
      </w:r>
    </w:p>
    <w:p w:rsidR="0071027C" w:rsidRPr="000119E6" w:rsidRDefault="0071027C" w:rsidP="0071027C">
      <w:pPr>
        <w:pStyle w:val="NoSpacing"/>
        <w:spacing w:before="120" w:after="120"/>
        <w:jc w:val="both"/>
        <w:rPr>
          <w:rFonts w:ascii="Arial" w:hAnsi="Arial" w:cs="Arial"/>
          <w:color w:val="000000"/>
          <w:lang w:val="en-GB"/>
        </w:rPr>
      </w:pPr>
    </w:p>
    <w:p w:rsidR="0071027C" w:rsidRPr="009A5666" w:rsidRDefault="0071027C" w:rsidP="0071027C">
      <w:pPr>
        <w:pStyle w:val="Heading2"/>
        <w:rPr>
          <w:kern w:val="24"/>
        </w:rPr>
      </w:pPr>
      <w:bookmarkStart w:id="1006" w:name="_Toc382214164"/>
      <w:r>
        <w:rPr>
          <w:kern w:val="24"/>
        </w:rPr>
        <w:t xml:space="preserve">14.5 </w:t>
      </w:r>
      <w:r w:rsidRPr="009A5666">
        <w:rPr>
          <w:kern w:val="24"/>
        </w:rPr>
        <w:t>Key service provider in CBHS</w:t>
      </w:r>
      <w:bookmarkEnd w:id="1006"/>
      <w:r w:rsidRPr="009A5666">
        <w:rPr>
          <w:kern w:val="24"/>
        </w:rPr>
        <w:t xml:space="preserve"> </w:t>
      </w:r>
    </w:p>
    <w:p w:rsidR="0071027C" w:rsidRPr="000119E6" w:rsidRDefault="0071027C" w:rsidP="0071027C">
      <w:pPr>
        <w:pStyle w:val="NoSpacing"/>
        <w:spacing w:before="120" w:after="120"/>
        <w:jc w:val="both"/>
        <w:rPr>
          <w:rFonts w:ascii="Arial" w:hAnsi="Arial" w:cs="Arial"/>
          <w:color w:val="000000"/>
          <w:lang w:val="en-GB"/>
        </w:rPr>
      </w:pPr>
      <w:r w:rsidRPr="000119E6">
        <w:rPr>
          <w:rFonts w:ascii="Arial" w:hAnsi="Arial" w:cs="Arial"/>
          <w:color w:val="000000"/>
          <w:lang w:val="en-GB"/>
        </w:rPr>
        <w:t xml:space="preserve">For many years, community Based HIV services providers have been given different names by different HIV implementers, these included: HBC providers, Expert patients, Peer educators, Liaison person, Client tracking person, volunteers, Community Based Distributor etc. In addition to these, different community based HIV services providers were assigned different roles and responsibilities which in one way or another caused confusion and sometimes even conflict among themselves. </w:t>
      </w:r>
    </w:p>
    <w:p w:rsidR="0071027C" w:rsidRPr="000119E6" w:rsidRDefault="0071027C" w:rsidP="0071027C">
      <w:pPr>
        <w:pStyle w:val="NoSpacing"/>
        <w:spacing w:before="120" w:after="120"/>
        <w:jc w:val="both"/>
        <w:rPr>
          <w:rFonts w:ascii="Arial" w:hAnsi="Arial" w:cs="Arial"/>
          <w:color w:val="000000"/>
          <w:lang w:val="en-GB"/>
        </w:rPr>
      </w:pPr>
      <w:r w:rsidRPr="000119E6">
        <w:rPr>
          <w:rFonts w:ascii="Arial" w:hAnsi="Arial" w:cs="Arial"/>
          <w:color w:val="000000"/>
          <w:lang w:val="en-GB"/>
        </w:rPr>
        <w:t xml:space="preserve">This guideline recognizes the contribution of community members supporting HIV and AIDS services at community as well as at health facility, and sets standard for harmonized provision of Community Based HIV Services both at facility and in the community. </w:t>
      </w:r>
    </w:p>
    <w:p w:rsidR="0071027C" w:rsidRPr="003D37BE" w:rsidRDefault="0071027C" w:rsidP="0071027C">
      <w:pPr>
        <w:pStyle w:val="Heading2"/>
        <w:rPr>
          <w:kern w:val="24"/>
        </w:rPr>
      </w:pPr>
      <w:bookmarkStart w:id="1007" w:name="_Toc382214165"/>
      <w:r>
        <w:rPr>
          <w:kern w:val="24"/>
        </w:rPr>
        <w:t>14.6</w:t>
      </w:r>
      <w:r w:rsidRPr="009A5666">
        <w:rPr>
          <w:kern w:val="24"/>
        </w:rPr>
        <w:t xml:space="preserve"> Selection criteria</w:t>
      </w:r>
      <w:bookmarkEnd w:id="1007"/>
    </w:p>
    <w:p w:rsidR="0071027C" w:rsidRPr="000119E6" w:rsidRDefault="0071027C" w:rsidP="0071027C">
      <w:pPr>
        <w:pStyle w:val="NoSpacing"/>
        <w:spacing w:before="120" w:after="120"/>
        <w:jc w:val="both"/>
        <w:rPr>
          <w:rFonts w:ascii="Arial" w:hAnsi="Arial" w:cs="Arial"/>
          <w:color w:val="000000"/>
          <w:lang w:val="en-GB"/>
        </w:rPr>
      </w:pPr>
      <w:r w:rsidRPr="000119E6">
        <w:rPr>
          <w:rFonts w:ascii="Arial" w:hAnsi="Arial" w:cs="Arial"/>
          <w:color w:val="000000"/>
          <w:lang w:val="en-GB"/>
        </w:rPr>
        <w:t xml:space="preserve">Community basedHIV and AIDS providers work under difﬁcult conditions and for long hours, and they have access to sensitive and conﬁdential information while performing their duties. This brings them to be selected using the following criteria: </w:t>
      </w:r>
    </w:p>
    <w:p w:rsidR="0071027C" w:rsidRPr="000119E6" w:rsidRDefault="0071027C" w:rsidP="00274941">
      <w:pPr>
        <w:pStyle w:val="ListParagraph"/>
        <w:numPr>
          <w:ilvl w:val="0"/>
          <w:numId w:val="130"/>
        </w:numPr>
        <w:contextualSpacing w:val="0"/>
        <w:jc w:val="both"/>
        <w:rPr>
          <w:rFonts w:ascii="Arial" w:eastAsiaTheme="majorEastAsia" w:hAnsi="Arial" w:cs="Arial"/>
          <w:bCs/>
          <w:color w:val="000000" w:themeColor="text1"/>
          <w:kern w:val="24"/>
          <w:sz w:val="22"/>
          <w:szCs w:val="22"/>
        </w:rPr>
      </w:pPr>
      <w:r w:rsidRPr="000119E6">
        <w:rPr>
          <w:rFonts w:ascii="Arial" w:eastAsiaTheme="majorEastAsia" w:hAnsi="Arial" w:cs="Arial"/>
          <w:bCs/>
          <w:color w:val="000000" w:themeColor="text1"/>
          <w:kern w:val="24"/>
          <w:sz w:val="22"/>
          <w:szCs w:val="22"/>
        </w:rPr>
        <w:t xml:space="preserve">A community member with sound integrity who can maintain conﬁdentiality. </w:t>
      </w:r>
    </w:p>
    <w:p w:rsidR="0071027C" w:rsidRPr="000119E6" w:rsidRDefault="0071027C" w:rsidP="00274941">
      <w:pPr>
        <w:pStyle w:val="ListParagraph"/>
        <w:numPr>
          <w:ilvl w:val="0"/>
          <w:numId w:val="130"/>
        </w:numPr>
        <w:contextualSpacing w:val="0"/>
        <w:jc w:val="both"/>
        <w:rPr>
          <w:rFonts w:ascii="Arial" w:eastAsiaTheme="majorEastAsia" w:hAnsi="Arial" w:cs="Arial"/>
          <w:bCs/>
          <w:color w:val="000000" w:themeColor="text1"/>
          <w:kern w:val="24"/>
          <w:sz w:val="22"/>
          <w:szCs w:val="22"/>
        </w:rPr>
      </w:pPr>
      <w:r w:rsidRPr="000119E6">
        <w:rPr>
          <w:rFonts w:ascii="Arial" w:eastAsiaTheme="majorEastAsia" w:hAnsi="Arial" w:cs="Arial"/>
          <w:bCs/>
          <w:color w:val="000000" w:themeColor="text1"/>
          <w:kern w:val="24"/>
          <w:sz w:val="22"/>
          <w:szCs w:val="22"/>
        </w:rPr>
        <w:t>He/she should know how to read and write.</w:t>
      </w:r>
    </w:p>
    <w:p w:rsidR="0071027C" w:rsidRPr="000119E6" w:rsidRDefault="0071027C" w:rsidP="00274941">
      <w:pPr>
        <w:pStyle w:val="ListParagraph"/>
        <w:numPr>
          <w:ilvl w:val="0"/>
          <w:numId w:val="130"/>
        </w:numPr>
        <w:contextualSpacing w:val="0"/>
        <w:jc w:val="both"/>
        <w:rPr>
          <w:rFonts w:ascii="Arial" w:eastAsiaTheme="majorEastAsia" w:hAnsi="Arial" w:cs="Arial"/>
          <w:bCs/>
          <w:color w:val="000000" w:themeColor="text1"/>
          <w:kern w:val="24"/>
          <w:sz w:val="22"/>
          <w:szCs w:val="22"/>
        </w:rPr>
      </w:pPr>
      <w:r w:rsidRPr="000119E6">
        <w:rPr>
          <w:rFonts w:ascii="Arial" w:eastAsiaTheme="majorEastAsia" w:hAnsi="Arial" w:cs="Arial"/>
          <w:bCs/>
          <w:color w:val="000000" w:themeColor="text1"/>
          <w:kern w:val="24"/>
          <w:sz w:val="22"/>
          <w:szCs w:val="22"/>
        </w:rPr>
        <w:t xml:space="preserve">Based in the communities they are going to serve </w:t>
      </w:r>
    </w:p>
    <w:p w:rsidR="0071027C" w:rsidRPr="000119E6" w:rsidRDefault="0071027C" w:rsidP="00274941">
      <w:pPr>
        <w:pStyle w:val="ListParagraph"/>
        <w:numPr>
          <w:ilvl w:val="0"/>
          <w:numId w:val="130"/>
        </w:numPr>
        <w:contextualSpacing w:val="0"/>
        <w:jc w:val="both"/>
        <w:rPr>
          <w:rFonts w:ascii="Arial" w:eastAsiaTheme="majorEastAsia" w:hAnsi="Arial" w:cs="Arial"/>
          <w:bCs/>
          <w:color w:val="000000" w:themeColor="text1"/>
          <w:kern w:val="24"/>
          <w:sz w:val="22"/>
          <w:szCs w:val="22"/>
        </w:rPr>
      </w:pPr>
      <w:r w:rsidRPr="000119E6">
        <w:rPr>
          <w:rFonts w:ascii="Arial" w:eastAsiaTheme="majorEastAsia" w:hAnsi="Arial" w:cs="Arial"/>
          <w:bCs/>
          <w:color w:val="000000" w:themeColor="text1"/>
          <w:kern w:val="24"/>
          <w:sz w:val="22"/>
          <w:szCs w:val="22"/>
        </w:rPr>
        <w:t xml:space="preserve">Accepted and trusted by community members </w:t>
      </w:r>
    </w:p>
    <w:p w:rsidR="0071027C" w:rsidRPr="000119E6" w:rsidRDefault="0071027C" w:rsidP="00274941">
      <w:pPr>
        <w:pStyle w:val="ListParagraph"/>
        <w:numPr>
          <w:ilvl w:val="0"/>
          <w:numId w:val="130"/>
        </w:numPr>
        <w:contextualSpacing w:val="0"/>
        <w:jc w:val="both"/>
        <w:rPr>
          <w:rFonts w:ascii="Arial" w:eastAsiaTheme="majorEastAsia" w:hAnsi="Arial" w:cs="Arial"/>
          <w:bCs/>
          <w:color w:val="000000" w:themeColor="text1"/>
          <w:kern w:val="24"/>
          <w:sz w:val="22"/>
          <w:szCs w:val="22"/>
        </w:rPr>
      </w:pPr>
      <w:r w:rsidRPr="000119E6">
        <w:rPr>
          <w:rFonts w:ascii="Arial" w:eastAsiaTheme="majorEastAsia" w:hAnsi="Arial" w:cs="Arial"/>
          <w:bCs/>
          <w:color w:val="000000" w:themeColor="text1"/>
          <w:kern w:val="24"/>
          <w:sz w:val="22"/>
          <w:szCs w:val="22"/>
        </w:rPr>
        <w:t xml:space="preserve">Capable of building good interpersonal relationships </w:t>
      </w:r>
    </w:p>
    <w:p w:rsidR="0071027C" w:rsidRPr="000119E6" w:rsidRDefault="0071027C" w:rsidP="00274941">
      <w:pPr>
        <w:pStyle w:val="ListParagraph"/>
        <w:numPr>
          <w:ilvl w:val="0"/>
          <w:numId w:val="130"/>
        </w:numPr>
        <w:contextualSpacing w:val="0"/>
        <w:jc w:val="both"/>
        <w:rPr>
          <w:rFonts w:ascii="Arial" w:eastAsiaTheme="majorEastAsia" w:hAnsi="Arial" w:cs="Arial"/>
          <w:bCs/>
          <w:color w:val="000000" w:themeColor="text1"/>
          <w:kern w:val="24"/>
          <w:sz w:val="22"/>
          <w:szCs w:val="22"/>
        </w:rPr>
      </w:pPr>
      <w:r w:rsidRPr="000119E6">
        <w:rPr>
          <w:rFonts w:ascii="Arial" w:eastAsiaTheme="majorEastAsia" w:hAnsi="Arial" w:cs="Arial"/>
          <w:bCs/>
          <w:color w:val="000000" w:themeColor="text1"/>
          <w:kern w:val="24"/>
          <w:sz w:val="22"/>
          <w:szCs w:val="22"/>
        </w:rPr>
        <w:t xml:space="preserve">Interested in caring for sick people </w:t>
      </w:r>
    </w:p>
    <w:p w:rsidR="0071027C" w:rsidRPr="000119E6" w:rsidRDefault="0071027C" w:rsidP="00274941">
      <w:pPr>
        <w:pStyle w:val="ListParagraph"/>
        <w:numPr>
          <w:ilvl w:val="0"/>
          <w:numId w:val="130"/>
        </w:numPr>
        <w:contextualSpacing w:val="0"/>
        <w:jc w:val="both"/>
        <w:rPr>
          <w:rFonts w:ascii="Arial" w:eastAsiaTheme="majorEastAsia" w:hAnsi="Arial" w:cs="Arial"/>
          <w:bCs/>
          <w:color w:val="000000" w:themeColor="text1"/>
          <w:kern w:val="24"/>
          <w:sz w:val="22"/>
          <w:szCs w:val="22"/>
        </w:rPr>
      </w:pPr>
      <w:r w:rsidRPr="000119E6">
        <w:rPr>
          <w:rFonts w:ascii="Arial" w:eastAsiaTheme="majorEastAsia" w:hAnsi="Arial" w:cs="Arial"/>
          <w:bCs/>
          <w:color w:val="000000" w:themeColor="text1"/>
          <w:kern w:val="24"/>
          <w:sz w:val="22"/>
          <w:szCs w:val="22"/>
        </w:rPr>
        <w:t xml:space="preserve">Willing to volunteer </w:t>
      </w:r>
    </w:p>
    <w:p w:rsidR="0071027C" w:rsidRPr="000119E6" w:rsidRDefault="0071027C" w:rsidP="00274941">
      <w:pPr>
        <w:pStyle w:val="ListParagraph"/>
        <w:numPr>
          <w:ilvl w:val="0"/>
          <w:numId w:val="130"/>
        </w:numPr>
        <w:contextualSpacing w:val="0"/>
        <w:jc w:val="both"/>
        <w:rPr>
          <w:rFonts w:ascii="Arial" w:eastAsiaTheme="majorEastAsia" w:hAnsi="Arial" w:cs="Arial"/>
          <w:bCs/>
          <w:color w:val="000000" w:themeColor="text1"/>
          <w:kern w:val="24"/>
          <w:sz w:val="22"/>
          <w:szCs w:val="22"/>
        </w:rPr>
      </w:pPr>
      <w:r w:rsidRPr="000119E6">
        <w:rPr>
          <w:rFonts w:ascii="Arial" w:eastAsiaTheme="majorEastAsia" w:hAnsi="Arial" w:cs="Arial"/>
          <w:bCs/>
          <w:color w:val="000000" w:themeColor="text1"/>
          <w:kern w:val="24"/>
          <w:sz w:val="22"/>
          <w:szCs w:val="22"/>
        </w:rPr>
        <w:t>Reliable</w:t>
      </w:r>
    </w:p>
    <w:p w:rsidR="0071027C" w:rsidRPr="000119E6" w:rsidRDefault="0071027C" w:rsidP="00274941">
      <w:pPr>
        <w:pStyle w:val="ListParagraph"/>
        <w:numPr>
          <w:ilvl w:val="0"/>
          <w:numId w:val="130"/>
        </w:numPr>
        <w:contextualSpacing w:val="0"/>
        <w:jc w:val="both"/>
        <w:rPr>
          <w:rFonts w:ascii="Arial" w:eastAsiaTheme="majorEastAsia" w:hAnsi="Arial" w:cs="Arial"/>
          <w:bCs/>
          <w:color w:val="000000" w:themeColor="text1"/>
          <w:kern w:val="24"/>
          <w:sz w:val="22"/>
          <w:szCs w:val="22"/>
        </w:rPr>
      </w:pPr>
      <w:r w:rsidRPr="000119E6">
        <w:rPr>
          <w:rFonts w:ascii="Arial" w:eastAsiaTheme="majorEastAsia" w:hAnsi="Arial" w:cs="Arial"/>
          <w:bCs/>
          <w:color w:val="000000" w:themeColor="text1"/>
          <w:kern w:val="24"/>
          <w:sz w:val="22"/>
          <w:szCs w:val="22"/>
        </w:rPr>
        <w:t xml:space="preserve"> Possess coping skills</w:t>
      </w:r>
    </w:p>
    <w:p w:rsidR="0071027C" w:rsidRPr="003D37BE" w:rsidRDefault="0071027C" w:rsidP="0071027C">
      <w:pPr>
        <w:spacing w:line="360" w:lineRule="auto"/>
        <w:jc w:val="both"/>
        <w:rPr>
          <w:rFonts w:ascii="Arial Narrow" w:eastAsiaTheme="majorEastAsia" w:hAnsi="Arial Narrow"/>
          <w:bCs/>
          <w:color w:val="000000" w:themeColor="text1"/>
          <w:kern w:val="24"/>
        </w:rPr>
      </w:pPr>
    </w:p>
    <w:p w:rsidR="0071027C" w:rsidRPr="003D37BE" w:rsidRDefault="0071027C" w:rsidP="0071027C">
      <w:pPr>
        <w:pStyle w:val="Heading2"/>
        <w:rPr>
          <w:kern w:val="24"/>
        </w:rPr>
      </w:pPr>
      <w:bookmarkStart w:id="1008" w:name="_Toc382214166"/>
      <w:r>
        <w:rPr>
          <w:kern w:val="24"/>
        </w:rPr>
        <w:t xml:space="preserve">14.7 </w:t>
      </w:r>
      <w:r w:rsidRPr="003D37BE">
        <w:rPr>
          <w:kern w:val="24"/>
        </w:rPr>
        <w:t>Training</w:t>
      </w:r>
      <w:bookmarkEnd w:id="1008"/>
    </w:p>
    <w:p w:rsidR="0071027C" w:rsidRPr="000119E6" w:rsidRDefault="0071027C" w:rsidP="0071027C">
      <w:pPr>
        <w:pStyle w:val="NoSpacing"/>
        <w:spacing w:before="120" w:after="120"/>
        <w:jc w:val="both"/>
        <w:rPr>
          <w:rFonts w:ascii="Arial" w:hAnsi="Arial" w:cs="Arial"/>
          <w:color w:val="000000"/>
          <w:lang w:val="en-GB"/>
        </w:rPr>
      </w:pPr>
      <w:r w:rsidRPr="000119E6">
        <w:rPr>
          <w:rFonts w:ascii="Arial" w:hAnsi="Arial" w:cs="Arial"/>
          <w:color w:val="000000"/>
          <w:lang w:val="en-GB"/>
        </w:rPr>
        <w:t>All CBHS</w:t>
      </w:r>
      <w:r>
        <w:rPr>
          <w:rFonts w:ascii="Arial" w:hAnsi="Arial" w:cs="Arial"/>
          <w:color w:val="000000"/>
          <w:lang w:val="en-GB"/>
        </w:rPr>
        <w:t xml:space="preserve"> </w:t>
      </w:r>
      <w:r w:rsidRPr="000119E6">
        <w:rPr>
          <w:rFonts w:ascii="Arial" w:hAnsi="Arial" w:cs="Arial"/>
          <w:color w:val="000000"/>
          <w:lang w:val="en-GB"/>
        </w:rPr>
        <w:t>Providers</w:t>
      </w:r>
      <w:r>
        <w:rPr>
          <w:rFonts w:ascii="Arial" w:hAnsi="Arial" w:cs="Arial"/>
          <w:color w:val="000000"/>
          <w:lang w:val="en-GB"/>
        </w:rPr>
        <w:t xml:space="preserve"> </w:t>
      </w:r>
      <w:r w:rsidRPr="000119E6">
        <w:rPr>
          <w:rFonts w:ascii="Arial" w:hAnsi="Arial" w:cs="Arial"/>
          <w:color w:val="000000"/>
          <w:lang w:val="en-GB"/>
        </w:rPr>
        <w:t>are trained using the CBHS training curriculum, developed by the MoHSW</w:t>
      </w:r>
      <w:r>
        <w:rPr>
          <w:rFonts w:ascii="Arial" w:hAnsi="Arial" w:cs="Arial"/>
          <w:color w:val="000000"/>
          <w:lang w:val="en-GB"/>
        </w:rPr>
        <w:t xml:space="preserve"> </w:t>
      </w:r>
      <w:r w:rsidRPr="000119E6">
        <w:rPr>
          <w:rFonts w:ascii="Arial" w:hAnsi="Arial" w:cs="Arial"/>
          <w:color w:val="000000"/>
          <w:lang w:val="en-GB"/>
        </w:rPr>
        <w:t>through the NACP.</w:t>
      </w:r>
    </w:p>
    <w:p w:rsidR="0071027C" w:rsidRDefault="0071027C" w:rsidP="0071027C">
      <w:pPr>
        <w:spacing w:after="0" w:line="360" w:lineRule="auto"/>
        <w:contextualSpacing/>
        <w:jc w:val="both"/>
        <w:rPr>
          <w:rFonts w:ascii="Arial Narrow" w:eastAsia="Times New Roman" w:hAnsi="Arial Narrow" w:cs="Times New Roman"/>
          <w:sz w:val="24"/>
          <w:szCs w:val="24"/>
        </w:rPr>
      </w:pPr>
    </w:p>
    <w:p w:rsidR="0071027C" w:rsidRPr="001B7053" w:rsidRDefault="0071027C" w:rsidP="0071027C">
      <w:pPr>
        <w:pStyle w:val="Heading2"/>
        <w:rPr>
          <w:rFonts w:eastAsia="Times New Roman" w:cs="Times New Roman"/>
        </w:rPr>
      </w:pPr>
      <w:bookmarkStart w:id="1009" w:name="_Toc382214167"/>
      <w:r w:rsidRPr="001B7053">
        <w:rPr>
          <w:rFonts w:eastAsia="Times New Roman" w:cs="Times New Roman"/>
        </w:rPr>
        <w:t>14.8</w:t>
      </w:r>
      <w:r>
        <w:rPr>
          <w:rFonts w:eastAsia="Times New Roman" w:cs="Times New Roman"/>
        </w:rPr>
        <w:t xml:space="preserve"> </w:t>
      </w:r>
      <w:r w:rsidRPr="001B7053">
        <w:rPr>
          <w:rFonts w:eastAsia="Times New Roman"/>
        </w:rPr>
        <w:t>Roles and responsibilities of CBHSP</w:t>
      </w:r>
      <w:r w:rsidRPr="001B7053">
        <w:t>roviders</w:t>
      </w:r>
      <w:bookmarkEnd w:id="1009"/>
    </w:p>
    <w:p w:rsidR="0071027C" w:rsidRPr="00700396" w:rsidRDefault="0071027C" w:rsidP="0071027C">
      <w:pPr>
        <w:pStyle w:val="NoSpacing"/>
        <w:spacing w:before="120" w:after="120"/>
        <w:jc w:val="both"/>
        <w:rPr>
          <w:rFonts w:ascii="Arial" w:hAnsi="Arial" w:cs="Arial"/>
          <w:color w:val="000000"/>
          <w:lang w:val="en-GB"/>
        </w:rPr>
      </w:pPr>
      <w:r w:rsidRPr="00700396">
        <w:rPr>
          <w:rFonts w:ascii="Arial" w:hAnsi="Arial" w:cs="Arial"/>
          <w:color w:val="000000"/>
          <w:lang w:val="en-GB"/>
        </w:rPr>
        <w:t>Following the evolution of clinical management of HIV infection, CBHS providers have added up new roles and responsibilities so as to ensure continuity in quality ART service provision. New roles of CBHS providers include the following:</w:t>
      </w:r>
    </w:p>
    <w:p w:rsidR="0071027C" w:rsidRPr="00700396" w:rsidRDefault="0071027C" w:rsidP="00274941">
      <w:pPr>
        <w:pStyle w:val="ListParagraph"/>
        <w:numPr>
          <w:ilvl w:val="0"/>
          <w:numId w:val="131"/>
        </w:numPr>
        <w:contextualSpacing w:val="0"/>
        <w:rPr>
          <w:rFonts w:ascii="Arial" w:eastAsiaTheme="majorEastAsia" w:hAnsi="Arial" w:cs="Arial"/>
          <w:color w:val="000000" w:themeColor="text1"/>
          <w:kern w:val="24"/>
          <w:sz w:val="22"/>
          <w:szCs w:val="22"/>
        </w:rPr>
      </w:pPr>
      <w:r w:rsidRPr="00700396">
        <w:rPr>
          <w:rFonts w:ascii="Arial" w:eastAsiaTheme="majorEastAsia" w:hAnsi="Arial" w:cs="Arial"/>
          <w:color w:val="000000" w:themeColor="text1"/>
          <w:kern w:val="24"/>
          <w:sz w:val="22"/>
          <w:szCs w:val="22"/>
        </w:rPr>
        <w:t>To identify and refer all pregnant women to RCH clinics/Health facilities of the catchment areas and make follow up.</w:t>
      </w:r>
    </w:p>
    <w:p w:rsidR="0071027C" w:rsidRPr="00700396" w:rsidRDefault="0071027C" w:rsidP="00274941">
      <w:pPr>
        <w:pStyle w:val="ListParagraph"/>
        <w:numPr>
          <w:ilvl w:val="0"/>
          <w:numId w:val="131"/>
        </w:numPr>
        <w:contextualSpacing w:val="0"/>
        <w:rPr>
          <w:rFonts w:ascii="Arial" w:eastAsiaTheme="majorEastAsia" w:hAnsi="Arial" w:cs="Arial"/>
          <w:color w:val="000000" w:themeColor="text1"/>
          <w:kern w:val="24"/>
          <w:sz w:val="22"/>
          <w:szCs w:val="22"/>
        </w:rPr>
      </w:pPr>
      <w:r w:rsidRPr="00700396">
        <w:rPr>
          <w:rFonts w:ascii="Arial" w:eastAsiaTheme="majorEastAsia" w:hAnsi="Arial" w:cs="Arial"/>
          <w:color w:val="000000" w:themeColor="text1"/>
          <w:kern w:val="24"/>
          <w:sz w:val="22"/>
          <w:szCs w:val="22"/>
        </w:rPr>
        <w:t>To provide health education to all pregnant women on HIV infection.</w:t>
      </w:r>
    </w:p>
    <w:p w:rsidR="0071027C" w:rsidRPr="00700396" w:rsidRDefault="0071027C" w:rsidP="00274941">
      <w:pPr>
        <w:pStyle w:val="ListParagraph"/>
        <w:numPr>
          <w:ilvl w:val="0"/>
          <w:numId w:val="131"/>
        </w:numPr>
        <w:contextualSpacing w:val="0"/>
        <w:rPr>
          <w:rFonts w:ascii="Arial" w:eastAsiaTheme="majorEastAsia" w:hAnsi="Arial" w:cs="Arial"/>
          <w:color w:val="000000" w:themeColor="text1"/>
          <w:kern w:val="24"/>
          <w:sz w:val="22"/>
          <w:szCs w:val="22"/>
        </w:rPr>
      </w:pPr>
      <w:r w:rsidRPr="00700396">
        <w:rPr>
          <w:rFonts w:ascii="Arial" w:eastAsiaTheme="majorEastAsia" w:hAnsi="Arial" w:cs="Arial"/>
          <w:color w:val="000000" w:themeColor="text1"/>
          <w:kern w:val="24"/>
          <w:sz w:val="22"/>
          <w:szCs w:val="22"/>
        </w:rPr>
        <w:t>To provide adherence counseling of ART to HIV positive pregnant women and adults who are enrolled in care and treatment/PMTCT.</w:t>
      </w:r>
    </w:p>
    <w:p w:rsidR="0071027C" w:rsidRPr="00700396" w:rsidRDefault="0071027C" w:rsidP="00274941">
      <w:pPr>
        <w:pStyle w:val="ListParagraph"/>
        <w:numPr>
          <w:ilvl w:val="0"/>
          <w:numId w:val="131"/>
        </w:numPr>
        <w:contextualSpacing w:val="0"/>
        <w:rPr>
          <w:rFonts w:ascii="Arial" w:eastAsiaTheme="majorEastAsia" w:hAnsi="Arial" w:cs="Arial"/>
          <w:color w:val="000000" w:themeColor="text1"/>
          <w:kern w:val="24"/>
          <w:sz w:val="22"/>
          <w:szCs w:val="22"/>
        </w:rPr>
      </w:pPr>
      <w:r w:rsidRPr="00700396">
        <w:rPr>
          <w:rFonts w:ascii="Arial" w:eastAsiaTheme="majorEastAsia" w:hAnsi="Arial" w:cs="Arial"/>
          <w:color w:val="000000" w:themeColor="text1"/>
          <w:kern w:val="24"/>
          <w:sz w:val="22"/>
          <w:szCs w:val="22"/>
        </w:rPr>
        <w:t>To track and refer back to PMTCT/RCH/Health facilities of the catchment areas all mothers who have delivered and haven’t come back for DBS results of their children.</w:t>
      </w:r>
    </w:p>
    <w:p w:rsidR="0071027C" w:rsidRPr="00700396" w:rsidRDefault="0071027C" w:rsidP="00274941">
      <w:pPr>
        <w:pStyle w:val="ListParagraph"/>
        <w:numPr>
          <w:ilvl w:val="0"/>
          <w:numId w:val="131"/>
        </w:numPr>
        <w:contextualSpacing w:val="0"/>
        <w:rPr>
          <w:rFonts w:ascii="Arial" w:eastAsiaTheme="majorEastAsia" w:hAnsi="Arial" w:cs="Arial"/>
          <w:color w:val="000000" w:themeColor="text1"/>
          <w:kern w:val="24"/>
          <w:sz w:val="22"/>
          <w:szCs w:val="22"/>
        </w:rPr>
      </w:pPr>
      <w:r w:rsidRPr="00700396">
        <w:rPr>
          <w:rFonts w:ascii="Arial" w:eastAsiaTheme="majorEastAsia" w:hAnsi="Arial" w:cs="Arial"/>
          <w:bCs/>
          <w:color w:val="000000" w:themeColor="text1"/>
          <w:kern w:val="24"/>
          <w:sz w:val="22"/>
          <w:szCs w:val="22"/>
        </w:rPr>
        <w:t xml:space="preserve">To identify and refer all Injective Drug users, MSM and Commercial sex workers to heath facilities for further management. </w:t>
      </w:r>
    </w:p>
    <w:p w:rsidR="0071027C" w:rsidRPr="00700396" w:rsidRDefault="0071027C" w:rsidP="00274941">
      <w:pPr>
        <w:pStyle w:val="ListParagraph"/>
        <w:numPr>
          <w:ilvl w:val="0"/>
          <w:numId w:val="131"/>
        </w:numPr>
        <w:contextualSpacing w:val="0"/>
        <w:rPr>
          <w:rFonts w:ascii="Arial" w:eastAsiaTheme="majorEastAsia" w:hAnsi="Arial" w:cs="Arial"/>
          <w:color w:val="000000" w:themeColor="text1"/>
          <w:kern w:val="24"/>
          <w:sz w:val="22"/>
          <w:szCs w:val="22"/>
        </w:rPr>
      </w:pPr>
      <w:r w:rsidRPr="00700396">
        <w:rPr>
          <w:rFonts w:ascii="Arial" w:eastAsiaTheme="majorEastAsia" w:hAnsi="Arial" w:cs="Arial"/>
          <w:color w:val="000000" w:themeColor="text1"/>
          <w:kern w:val="24"/>
          <w:sz w:val="22"/>
          <w:szCs w:val="22"/>
        </w:rPr>
        <w:t>To track all loss to follow up clients (adults and children) who were on care and treatment.</w:t>
      </w:r>
    </w:p>
    <w:p w:rsidR="0071027C" w:rsidRDefault="0071027C" w:rsidP="0071027C">
      <w:pPr>
        <w:spacing w:after="0"/>
        <w:contextualSpacing/>
        <w:rPr>
          <w:rFonts w:ascii="Times New Roman" w:eastAsiaTheme="majorEastAsia" w:hAnsi="Times New Roman" w:cs="Times New Roman"/>
          <w:color w:val="000000" w:themeColor="text1"/>
          <w:kern w:val="24"/>
          <w:sz w:val="24"/>
          <w:szCs w:val="24"/>
        </w:rPr>
      </w:pPr>
    </w:p>
    <w:p w:rsidR="0071027C" w:rsidRPr="00700396" w:rsidRDefault="0071027C" w:rsidP="0071027C">
      <w:pPr>
        <w:pStyle w:val="NoSpacing"/>
        <w:spacing w:before="120" w:after="120"/>
        <w:jc w:val="both"/>
        <w:rPr>
          <w:rFonts w:ascii="Arial" w:hAnsi="Arial" w:cs="Arial"/>
          <w:color w:val="000000"/>
          <w:lang w:val="en-GB"/>
        </w:rPr>
      </w:pPr>
      <w:r w:rsidRPr="00700396">
        <w:rPr>
          <w:rFonts w:ascii="Arial" w:hAnsi="Arial" w:cs="Arial"/>
          <w:color w:val="000000"/>
          <w:lang w:val="en-GB"/>
        </w:rPr>
        <w:t xml:space="preserve">Community HBC providers shall provide patients with the following services, including those listed above: </w:t>
      </w:r>
    </w:p>
    <w:p w:rsidR="0071027C" w:rsidRPr="00700396" w:rsidRDefault="0071027C" w:rsidP="00274941">
      <w:pPr>
        <w:pStyle w:val="ListParagraph"/>
        <w:numPr>
          <w:ilvl w:val="0"/>
          <w:numId w:val="130"/>
        </w:numPr>
        <w:contextualSpacing w:val="0"/>
        <w:jc w:val="both"/>
        <w:rPr>
          <w:rFonts w:ascii="Arial" w:eastAsiaTheme="majorEastAsia" w:hAnsi="Arial" w:cs="Arial"/>
          <w:bCs/>
          <w:color w:val="000000" w:themeColor="text1"/>
          <w:kern w:val="24"/>
          <w:sz w:val="22"/>
          <w:szCs w:val="22"/>
        </w:rPr>
      </w:pPr>
      <w:r w:rsidRPr="00700396">
        <w:rPr>
          <w:rFonts w:ascii="Arial" w:eastAsiaTheme="majorEastAsia" w:hAnsi="Arial" w:cs="Arial"/>
          <w:bCs/>
          <w:color w:val="000000" w:themeColor="text1"/>
          <w:kern w:val="24"/>
          <w:sz w:val="22"/>
          <w:szCs w:val="22"/>
        </w:rPr>
        <w:t xml:space="preserve">Nursing care </w:t>
      </w:r>
    </w:p>
    <w:p w:rsidR="0071027C" w:rsidRPr="00700396" w:rsidRDefault="0071027C" w:rsidP="00274941">
      <w:pPr>
        <w:pStyle w:val="ListParagraph"/>
        <w:numPr>
          <w:ilvl w:val="0"/>
          <w:numId w:val="130"/>
        </w:numPr>
        <w:contextualSpacing w:val="0"/>
        <w:jc w:val="both"/>
        <w:rPr>
          <w:rFonts w:ascii="Arial" w:eastAsiaTheme="majorEastAsia" w:hAnsi="Arial" w:cs="Arial"/>
          <w:bCs/>
          <w:color w:val="000000" w:themeColor="text1"/>
          <w:kern w:val="24"/>
          <w:sz w:val="22"/>
          <w:szCs w:val="22"/>
        </w:rPr>
      </w:pPr>
      <w:r w:rsidRPr="00700396">
        <w:rPr>
          <w:rFonts w:ascii="Arial" w:eastAsiaTheme="majorEastAsia" w:hAnsi="Arial" w:cs="Arial"/>
          <w:bCs/>
          <w:color w:val="000000" w:themeColor="text1"/>
          <w:kern w:val="24"/>
          <w:sz w:val="22"/>
          <w:szCs w:val="22"/>
        </w:rPr>
        <w:t xml:space="preserve">Feeding </w:t>
      </w:r>
    </w:p>
    <w:p w:rsidR="0071027C" w:rsidRPr="00700396" w:rsidRDefault="0071027C" w:rsidP="00274941">
      <w:pPr>
        <w:pStyle w:val="ListParagraph"/>
        <w:numPr>
          <w:ilvl w:val="0"/>
          <w:numId w:val="130"/>
        </w:numPr>
        <w:contextualSpacing w:val="0"/>
        <w:jc w:val="both"/>
        <w:rPr>
          <w:rFonts w:ascii="Arial" w:eastAsiaTheme="majorEastAsia" w:hAnsi="Arial" w:cs="Arial"/>
          <w:bCs/>
          <w:color w:val="000000" w:themeColor="text1"/>
          <w:kern w:val="24"/>
          <w:sz w:val="22"/>
          <w:szCs w:val="22"/>
        </w:rPr>
      </w:pPr>
      <w:r w:rsidRPr="00700396">
        <w:rPr>
          <w:rFonts w:ascii="Arial" w:eastAsiaTheme="majorEastAsia" w:hAnsi="Arial" w:cs="Arial"/>
          <w:bCs/>
          <w:color w:val="000000" w:themeColor="text1"/>
          <w:kern w:val="24"/>
          <w:sz w:val="22"/>
          <w:szCs w:val="22"/>
        </w:rPr>
        <w:t>Nutritional care and support (education, counselling, nutritional assessments, and attention to household food security)</w:t>
      </w:r>
    </w:p>
    <w:p w:rsidR="0071027C" w:rsidRPr="00700396" w:rsidRDefault="0071027C" w:rsidP="00274941">
      <w:pPr>
        <w:pStyle w:val="ListParagraph"/>
        <w:numPr>
          <w:ilvl w:val="0"/>
          <w:numId w:val="130"/>
        </w:numPr>
        <w:contextualSpacing w:val="0"/>
        <w:jc w:val="both"/>
        <w:rPr>
          <w:rFonts w:ascii="Arial" w:eastAsiaTheme="majorEastAsia" w:hAnsi="Arial" w:cs="Arial"/>
          <w:bCs/>
          <w:color w:val="000000" w:themeColor="text1"/>
          <w:kern w:val="24"/>
          <w:sz w:val="22"/>
          <w:szCs w:val="22"/>
        </w:rPr>
      </w:pPr>
      <w:r w:rsidRPr="00700396">
        <w:rPr>
          <w:rFonts w:ascii="Arial" w:eastAsiaTheme="majorEastAsia" w:hAnsi="Arial" w:cs="Arial"/>
          <w:bCs/>
          <w:color w:val="000000" w:themeColor="text1"/>
          <w:kern w:val="24"/>
          <w:sz w:val="22"/>
          <w:szCs w:val="22"/>
        </w:rPr>
        <w:t xml:space="preserve">Alleviation of pain and other distressing symptoms </w:t>
      </w:r>
    </w:p>
    <w:p w:rsidR="0071027C" w:rsidRPr="00700396" w:rsidRDefault="0071027C" w:rsidP="00274941">
      <w:pPr>
        <w:pStyle w:val="ListParagraph"/>
        <w:numPr>
          <w:ilvl w:val="0"/>
          <w:numId w:val="130"/>
        </w:numPr>
        <w:contextualSpacing w:val="0"/>
        <w:jc w:val="both"/>
        <w:rPr>
          <w:rFonts w:ascii="Arial" w:eastAsiaTheme="majorEastAsia" w:hAnsi="Arial" w:cs="Arial"/>
          <w:bCs/>
          <w:color w:val="000000" w:themeColor="text1"/>
          <w:kern w:val="24"/>
          <w:sz w:val="22"/>
          <w:szCs w:val="22"/>
        </w:rPr>
      </w:pPr>
      <w:r w:rsidRPr="00700396">
        <w:rPr>
          <w:rFonts w:ascii="Arial" w:eastAsiaTheme="majorEastAsia" w:hAnsi="Arial" w:cs="Arial"/>
          <w:bCs/>
          <w:color w:val="000000" w:themeColor="text1"/>
          <w:kern w:val="24"/>
          <w:sz w:val="22"/>
          <w:szCs w:val="22"/>
        </w:rPr>
        <w:t xml:space="preserve">Spiritual and emotional support </w:t>
      </w:r>
    </w:p>
    <w:p w:rsidR="0071027C" w:rsidRPr="00700396" w:rsidRDefault="0071027C" w:rsidP="00274941">
      <w:pPr>
        <w:pStyle w:val="ListParagraph"/>
        <w:numPr>
          <w:ilvl w:val="0"/>
          <w:numId w:val="130"/>
        </w:numPr>
        <w:contextualSpacing w:val="0"/>
        <w:jc w:val="both"/>
        <w:rPr>
          <w:rFonts w:ascii="Arial" w:eastAsiaTheme="majorEastAsia" w:hAnsi="Arial" w:cs="Arial"/>
          <w:bCs/>
          <w:color w:val="000000" w:themeColor="text1"/>
          <w:kern w:val="24"/>
          <w:sz w:val="22"/>
          <w:szCs w:val="22"/>
        </w:rPr>
      </w:pPr>
      <w:r w:rsidRPr="00700396">
        <w:rPr>
          <w:rFonts w:ascii="Arial" w:eastAsiaTheme="majorEastAsia" w:hAnsi="Arial" w:cs="Arial"/>
          <w:bCs/>
          <w:color w:val="000000" w:themeColor="text1"/>
          <w:kern w:val="24"/>
          <w:sz w:val="22"/>
          <w:szCs w:val="22"/>
        </w:rPr>
        <w:t>Prevention of OIs</w:t>
      </w:r>
    </w:p>
    <w:p w:rsidR="0071027C" w:rsidRPr="00700396" w:rsidRDefault="0071027C" w:rsidP="00274941">
      <w:pPr>
        <w:pStyle w:val="ListParagraph"/>
        <w:numPr>
          <w:ilvl w:val="0"/>
          <w:numId w:val="130"/>
        </w:numPr>
        <w:contextualSpacing w:val="0"/>
        <w:jc w:val="both"/>
        <w:rPr>
          <w:rFonts w:ascii="Arial" w:eastAsiaTheme="majorEastAsia" w:hAnsi="Arial" w:cs="Arial"/>
          <w:bCs/>
          <w:color w:val="000000" w:themeColor="text1"/>
          <w:kern w:val="24"/>
          <w:sz w:val="22"/>
          <w:szCs w:val="22"/>
        </w:rPr>
      </w:pPr>
      <w:r w:rsidRPr="00700396">
        <w:rPr>
          <w:rFonts w:ascii="Arial" w:eastAsiaTheme="majorEastAsia" w:hAnsi="Arial" w:cs="Arial"/>
          <w:bCs/>
          <w:color w:val="000000" w:themeColor="text1"/>
          <w:kern w:val="24"/>
          <w:sz w:val="22"/>
          <w:szCs w:val="22"/>
        </w:rPr>
        <w:t>Detection of complications and danger signs</w:t>
      </w:r>
    </w:p>
    <w:p w:rsidR="0071027C" w:rsidRPr="00700396" w:rsidRDefault="0071027C" w:rsidP="00274941">
      <w:pPr>
        <w:pStyle w:val="ListParagraph"/>
        <w:numPr>
          <w:ilvl w:val="0"/>
          <w:numId w:val="130"/>
        </w:numPr>
        <w:contextualSpacing w:val="0"/>
        <w:jc w:val="both"/>
        <w:rPr>
          <w:rFonts w:ascii="Arial" w:eastAsiaTheme="majorEastAsia" w:hAnsi="Arial" w:cs="Arial"/>
          <w:bCs/>
          <w:color w:val="000000" w:themeColor="text1"/>
          <w:kern w:val="24"/>
          <w:sz w:val="22"/>
          <w:szCs w:val="22"/>
        </w:rPr>
      </w:pPr>
      <w:r w:rsidRPr="00700396">
        <w:rPr>
          <w:rFonts w:ascii="Arial" w:eastAsiaTheme="majorEastAsia" w:hAnsi="Arial" w:cs="Arial"/>
          <w:bCs/>
          <w:color w:val="000000" w:themeColor="text1"/>
          <w:kern w:val="24"/>
          <w:sz w:val="22"/>
          <w:szCs w:val="22"/>
        </w:rPr>
        <w:t xml:space="preserve">Linkages to healthcare facilities and other relevant services in the community </w:t>
      </w:r>
    </w:p>
    <w:p w:rsidR="0071027C" w:rsidRPr="00700396" w:rsidRDefault="0071027C" w:rsidP="00274941">
      <w:pPr>
        <w:pStyle w:val="ListParagraph"/>
        <w:numPr>
          <w:ilvl w:val="0"/>
          <w:numId w:val="130"/>
        </w:numPr>
        <w:contextualSpacing w:val="0"/>
        <w:jc w:val="both"/>
        <w:rPr>
          <w:rFonts w:ascii="Arial" w:eastAsiaTheme="majorEastAsia" w:hAnsi="Arial" w:cs="Arial"/>
          <w:bCs/>
          <w:color w:val="000000" w:themeColor="text1"/>
          <w:kern w:val="24"/>
          <w:sz w:val="22"/>
          <w:szCs w:val="22"/>
        </w:rPr>
      </w:pPr>
      <w:r w:rsidRPr="00700396">
        <w:rPr>
          <w:rFonts w:ascii="Arial" w:eastAsiaTheme="majorEastAsia" w:hAnsi="Arial" w:cs="Arial"/>
          <w:bCs/>
          <w:color w:val="000000" w:themeColor="text1"/>
          <w:kern w:val="24"/>
          <w:sz w:val="22"/>
          <w:szCs w:val="22"/>
        </w:rPr>
        <w:t>Support for adherence to medication and clinic visit schedules</w:t>
      </w:r>
    </w:p>
    <w:p w:rsidR="0071027C" w:rsidRDefault="0071027C" w:rsidP="0071027C">
      <w:pPr>
        <w:spacing w:after="0"/>
        <w:contextualSpacing/>
        <w:rPr>
          <w:rFonts w:ascii="Times New Roman" w:eastAsiaTheme="majorEastAsia" w:hAnsi="Times New Roman" w:cs="Times New Roman"/>
          <w:b/>
          <w:color w:val="000000" w:themeColor="text1"/>
          <w:kern w:val="24"/>
          <w:sz w:val="24"/>
          <w:szCs w:val="24"/>
        </w:rPr>
      </w:pPr>
      <w:r>
        <w:rPr>
          <w:rFonts w:ascii="Times New Roman" w:eastAsiaTheme="majorEastAsia" w:hAnsi="Times New Roman" w:cs="Times New Roman"/>
          <w:b/>
          <w:color w:val="000000" w:themeColor="text1"/>
          <w:kern w:val="24"/>
          <w:sz w:val="24"/>
          <w:szCs w:val="24"/>
        </w:rPr>
        <w:br/>
      </w:r>
    </w:p>
    <w:p w:rsidR="0071027C" w:rsidRDefault="0071027C" w:rsidP="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8559EB" w:rsidRDefault="008559EB" w:rsidP="0071027C">
      <w:pPr>
        <w:pStyle w:val="Heading1"/>
        <w:sectPr w:rsidR="008559EB" w:rsidSect="00FF2CD0">
          <w:pgSz w:w="12240" w:h="15840"/>
          <w:pgMar w:top="1440" w:right="1440" w:bottom="1440" w:left="1440" w:header="720" w:footer="720" w:gutter="0"/>
          <w:cols w:space="720"/>
          <w:docGrid w:linePitch="360"/>
        </w:sectPr>
      </w:pPr>
      <w:bookmarkStart w:id="1010" w:name="_Toc374015644"/>
      <w:bookmarkStart w:id="1011" w:name="_Toc382214168"/>
      <w:bookmarkStart w:id="1012" w:name="_Toc50312930"/>
    </w:p>
    <w:p w:rsidR="008559EB" w:rsidRDefault="008559EB" w:rsidP="009C7202">
      <w:pPr>
        <w:pStyle w:val="Heading1"/>
      </w:pPr>
      <w:bookmarkStart w:id="1013" w:name="_Toc378258310"/>
      <w:bookmarkStart w:id="1014" w:name="_Toc374972303"/>
      <w:r>
        <w:t>Chapter15. Supply Chain Management and Rational Use of HIV and AIDS Commodities and Related Supplies</w:t>
      </w:r>
      <w:bookmarkEnd w:id="1013"/>
      <w:bookmarkEnd w:id="1014"/>
    </w:p>
    <w:p w:rsidR="008559EB" w:rsidRDefault="008559EB" w:rsidP="009C7202">
      <w:pPr>
        <w:pStyle w:val="Heading2"/>
        <w:spacing w:before="120" w:after="120"/>
        <w:jc w:val="both"/>
        <w:rPr>
          <w:rFonts w:ascii="Arial Narrow" w:hAnsi="Arial Narrow"/>
          <w:sz w:val="24"/>
          <w:szCs w:val="24"/>
        </w:rPr>
      </w:pPr>
      <w:bookmarkStart w:id="1015" w:name="_Toc378258311"/>
      <w:bookmarkStart w:id="1016" w:name="_Toc374972304"/>
      <w:r>
        <w:rPr>
          <w:rFonts w:ascii="Arial Narrow" w:hAnsi="Arial Narrow"/>
          <w:sz w:val="24"/>
          <w:szCs w:val="24"/>
        </w:rPr>
        <w:t>15.1. Introduction</w:t>
      </w:r>
      <w:bookmarkEnd w:id="1015"/>
      <w:bookmarkEnd w:id="1016"/>
    </w:p>
    <w:p w:rsidR="008559EB" w:rsidRPr="009C7202" w:rsidRDefault="008559EB" w:rsidP="009C7202">
      <w:pPr>
        <w:autoSpaceDE w:val="0"/>
        <w:autoSpaceDN w:val="0"/>
        <w:adjustRightInd w:val="0"/>
        <w:spacing w:before="120" w:after="120" w:line="240" w:lineRule="auto"/>
        <w:jc w:val="both"/>
        <w:rPr>
          <w:rFonts w:ascii="Arial" w:hAnsi="Arial" w:cs="Arial"/>
        </w:rPr>
      </w:pPr>
      <w:r w:rsidRPr="009C7202">
        <w:rPr>
          <w:rFonts w:ascii="Arial" w:hAnsi="Arial" w:cs="Arial"/>
        </w:rPr>
        <w:t xml:space="preserve">A comprehensive HIV and AIDS program requires a wide range of commodities supporting a range of interventions that encompass Prevention, Care and Treatment. Supply chain management of HIV and AIDS commodities and related supplies is critical to ensure adequate and continuous availability of quality and affordable essential medicines, diagnostics and other consumables at service delivery sites. These commodities are relatively expensive and therefore they require proper handling to ensure effective use. </w:t>
      </w:r>
    </w:p>
    <w:p w:rsidR="008559EB" w:rsidRPr="009C7202" w:rsidRDefault="008559EB" w:rsidP="009C7202">
      <w:pPr>
        <w:autoSpaceDE w:val="0"/>
        <w:autoSpaceDN w:val="0"/>
        <w:adjustRightInd w:val="0"/>
        <w:spacing w:before="120" w:after="120" w:line="240" w:lineRule="auto"/>
        <w:jc w:val="both"/>
        <w:rPr>
          <w:rFonts w:ascii="Arial" w:hAnsi="Arial" w:cs="Arial"/>
        </w:rPr>
      </w:pPr>
      <w:r w:rsidRPr="009C7202">
        <w:rPr>
          <w:rFonts w:ascii="Arial" w:hAnsi="Arial" w:cs="Arial"/>
        </w:rPr>
        <w:t>The key components of procurement and supply management cycle includes product selection, forecasting and supply planning, procurement, storage and distribution, Logistics Management Information System (LMIS), Use or Serving customers, Quality monitoring and Policy. Management support is integral to each component. It includes a variety of activities at all levels of the health care delivery system from the national programme level down to where medicines are dispensed and diagnostics are used. The main activities include managing the information system (LMIS), ensuring timely information flow between stakeholders at different levels and securing financial and other resources for procuremen</w:t>
      </w:r>
      <w:r>
        <w:rPr>
          <w:rFonts w:ascii="Arial" w:hAnsi="Arial" w:cs="Arial"/>
        </w:rPr>
        <w:t xml:space="preserve">t, storage and distribution of </w:t>
      </w:r>
      <w:r w:rsidRPr="009C7202">
        <w:rPr>
          <w:rFonts w:ascii="Arial" w:hAnsi="Arial" w:cs="Arial"/>
        </w:rPr>
        <w:t xml:space="preserve">medicines and diagnostics needed for the programme. </w:t>
      </w:r>
    </w:p>
    <w:p w:rsidR="008559EB" w:rsidRDefault="008559EB" w:rsidP="009C7202">
      <w:pPr>
        <w:pStyle w:val="Heading2"/>
        <w:spacing w:before="120" w:after="120"/>
        <w:rPr>
          <w:rFonts w:ascii="Arial Narrow" w:hAnsi="Arial Narrow"/>
          <w:sz w:val="24"/>
          <w:szCs w:val="24"/>
        </w:rPr>
      </w:pPr>
      <w:bookmarkStart w:id="1017" w:name="_Toc378258312"/>
      <w:bookmarkStart w:id="1018" w:name="_Toc374972305"/>
      <w:r>
        <w:rPr>
          <w:rFonts w:ascii="Arial Narrow" w:hAnsi="Arial Narrow"/>
          <w:sz w:val="24"/>
          <w:szCs w:val="24"/>
        </w:rPr>
        <w:t>15.2. Rational Use of Medicines</w:t>
      </w:r>
      <w:bookmarkEnd w:id="1017"/>
      <w:bookmarkEnd w:id="1018"/>
    </w:p>
    <w:p w:rsidR="008559EB" w:rsidRPr="009C7202" w:rsidRDefault="008559EB" w:rsidP="009C7202">
      <w:pPr>
        <w:autoSpaceDE w:val="0"/>
        <w:autoSpaceDN w:val="0"/>
        <w:adjustRightInd w:val="0"/>
        <w:spacing w:before="120" w:after="120" w:line="240" w:lineRule="auto"/>
        <w:jc w:val="both"/>
        <w:rPr>
          <w:rFonts w:ascii="Arial" w:hAnsi="Arial" w:cs="Arial"/>
        </w:rPr>
      </w:pPr>
      <w:r w:rsidRPr="009C7202">
        <w:rPr>
          <w:rFonts w:ascii="Arial" w:hAnsi="Arial" w:cs="Arial"/>
        </w:rPr>
        <w:t xml:space="preserve">Rational use of medicines requires that medications are appropriate to the patient’s clinical needs, doses meet the patient’s own individual requirements, and medications are given for an adequate period of time and at the lowest cost to the patient and his or her community. </w:t>
      </w:r>
    </w:p>
    <w:p w:rsidR="008559EB" w:rsidRPr="009C7202" w:rsidRDefault="008559EB" w:rsidP="009C7202">
      <w:pPr>
        <w:autoSpaceDE w:val="0"/>
        <w:autoSpaceDN w:val="0"/>
        <w:adjustRightInd w:val="0"/>
        <w:spacing w:before="120" w:after="120" w:line="240" w:lineRule="auto"/>
        <w:jc w:val="both"/>
        <w:rPr>
          <w:rFonts w:ascii="Arial" w:hAnsi="Arial" w:cs="Arial"/>
        </w:rPr>
      </w:pPr>
      <w:r w:rsidRPr="009C7202">
        <w:rPr>
          <w:rFonts w:ascii="Arial" w:hAnsi="Arial" w:cs="Arial"/>
        </w:rPr>
        <w:t>ART is a complex undertaking that involves a large variety and quantity of drugs. It is a lifelong treatment that is in constant development. It is therefore very important to use medicines rationally since irrational medicine use (especially in the context of ART) may have unwanted consequences at both individual and population levels. These may include:</w:t>
      </w:r>
    </w:p>
    <w:p w:rsidR="008559EB" w:rsidRPr="009C7202" w:rsidRDefault="008559EB" w:rsidP="008559EB">
      <w:pPr>
        <w:widowControl/>
        <w:numPr>
          <w:ilvl w:val="0"/>
          <w:numId w:val="133"/>
        </w:numPr>
        <w:autoSpaceDE w:val="0"/>
        <w:autoSpaceDN w:val="0"/>
        <w:adjustRightInd w:val="0"/>
        <w:spacing w:before="120" w:after="120"/>
        <w:jc w:val="both"/>
        <w:rPr>
          <w:rFonts w:ascii="Arial" w:hAnsi="Arial" w:cs="Arial"/>
        </w:rPr>
      </w:pPr>
      <w:r w:rsidRPr="009C7202">
        <w:rPr>
          <w:rFonts w:ascii="Arial" w:hAnsi="Arial" w:cs="Arial"/>
        </w:rPr>
        <w:t>Treatment failure</w:t>
      </w:r>
    </w:p>
    <w:p w:rsidR="008559EB" w:rsidRPr="009C7202" w:rsidRDefault="008559EB" w:rsidP="008559EB">
      <w:pPr>
        <w:widowControl/>
        <w:numPr>
          <w:ilvl w:val="0"/>
          <w:numId w:val="133"/>
        </w:numPr>
        <w:autoSpaceDE w:val="0"/>
        <w:autoSpaceDN w:val="0"/>
        <w:adjustRightInd w:val="0"/>
        <w:spacing w:before="120" w:after="120"/>
        <w:jc w:val="both"/>
        <w:rPr>
          <w:rFonts w:ascii="Arial" w:hAnsi="Arial" w:cs="Arial"/>
        </w:rPr>
      </w:pPr>
      <w:r w:rsidRPr="009C7202">
        <w:rPr>
          <w:rFonts w:ascii="Arial" w:hAnsi="Arial" w:cs="Arial"/>
        </w:rPr>
        <w:t>Rapid development of drug resistance</w:t>
      </w:r>
    </w:p>
    <w:p w:rsidR="008559EB" w:rsidRPr="009C7202" w:rsidRDefault="008559EB" w:rsidP="008559EB">
      <w:pPr>
        <w:widowControl/>
        <w:numPr>
          <w:ilvl w:val="0"/>
          <w:numId w:val="133"/>
        </w:numPr>
        <w:autoSpaceDE w:val="0"/>
        <w:autoSpaceDN w:val="0"/>
        <w:adjustRightInd w:val="0"/>
        <w:spacing w:before="120" w:after="120"/>
        <w:jc w:val="both"/>
        <w:rPr>
          <w:rFonts w:ascii="Arial" w:hAnsi="Arial" w:cs="Arial"/>
        </w:rPr>
      </w:pPr>
      <w:r w:rsidRPr="009C7202">
        <w:rPr>
          <w:rFonts w:ascii="Arial" w:hAnsi="Arial" w:cs="Arial"/>
        </w:rPr>
        <w:t>An increase in the risk of toxicity</w:t>
      </w:r>
    </w:p>
    <w:p w:rsidR="008559EB" w:rsidRPr="009C7202" w:rsidRDefault="008559EB" w:rsidP="008559EB">
      <w:pPr>
        <w:widowControl/>
        <w:numPr>
          <w:ilvl w:val="0"/>
          <w:numId w:val="133"/>
        </w:numPr>
        <w:autoSpaceDE w:val="0"/>
        <w:autoSpaceDN w:val="0"/>
        <w:adjustRightInd w:val="0"/>
        <w:spacing w:before="120" w:after="120"/>
        <w:jc w:val="both"/>
        <w:rPr>
          <w:rFonts w:ascii="Arial" w:hAnsi="Arial" w:cs="Arial"/>
        </w:rPr>
      </w:pPr>
      <w:r w:rsidRPr="009C7202">
        <w:rPr>
          <w:rFonts w:ascii="Arial" w:hAnsi="Arial" w:cs="Arial"/>
        </w:rPr>
        <w:t>Increased cost for treatment of patients due to the need to use expensive medication as a result of irrational use and treatment failure.</w:t>
      </w:r>
    </w:p>
    <w:p w:rsidR="008559EB" w:rsidRDefault="008559EB" w:rsidP="009C7202">
      <w:pPr>
        <w:autoSpaceDE w:val="0"/>
        <w:autoSpaceDN w:val="0"/>
        <w:adjustRightInd w:val="0"/>
        <w:spacing w:before="120" w:after="120"/>
        <w:ind w:left="360"/>
        <w:jc w:val="both"/>
        <w:rPr>
          <w:rFonts w:ascii="Arial Narrow" w:hAnsi="Arial Narrow" w:cs="Arial"/>
          <w:sz w:val="24"/>
          <w:szCs w:val="24"/>
        </w:rPr>
      </w:pPr>
    </w:p>
    <w:p w:rsidR="008559EB" w:rsidRDefault="008559EB" w:rsidP="009C7202">
      <w:pPr>
        <w:autoSpaceDE w:val="0"/>
        <w:autoSpaceDN w:val="0"/>
        <w:adjustRightInd w:val="0"/>
        <w:spacing w:before="120" w:after="120"/>
        <w:ind w:left="360"/>
        <w:rPr>
          <w:rFonts w:ascii="Arial Narrow" w:eastAsia="Times New Roman" w:hAnsi="Arial Narrow" w:cs="Arial"/>
          <w:b/>
          <w:sz w:val="24"/>
          <w:szCs w:val="24"/>
        </w:rPr>
      </w:pPr>
    </w:p>
    <w:p w:rsidR="008559EB" w:rsidRDefault="008559EB" w:rsidP="009C7202">
      <w:pPr>
        <w:autoSpaceDE w:val="0"/>
        <w:autoSpaceDN w:val="0"/>
        <w:adjustRightInd w:val="0"/>
        <w:spacing w:before="120" w:after="120"/>
        <w:ind w:left="360"/>
        <w:rPr>
          <w:rFonts w:ascii="Arial Narrow" w:eastAsia="Times New Roman" w:hAnsi="Arial Narrow" w:cs="Arial"/>
          <w:b/>
          <w:sz w:val="24"/>
          <w:szCs w:val="24"/>
        </w:rPr>
      </w:pPr>
    </w:p>
    <w:p w:rsidR="008559EB" w:rsidRDefault="008559EB" w:rsidP="009C7202">
      <w:pPr>
        <w:autoSpaceDE w:val="0"/>
        <w:autoSpaceDN w:val="0"/>
        <w:adjustRightInd w:val="0"/>
        <w:spacing w:before="120" w:after="120"/>
        <w:ind w:left="360"/>
        <w:rPr>
          <w:rFonts w:ascii="Arial Narrow" w:eastAsia="Times New Roman" w:hAnsi="Arial Narrow" w:cs="Arial"/>
          <w:b/>
          <w:sz w:val="24"/>
          <w:szCs w:val="24"/>
        </w:rPr>
      </w:pPr>
    </w:p>
    <w:p w:rsidR="008559EB" w:rsidRDefault="008559EB" w:rsidP="009C7202">
      <w:pPr>
        <w:autoSpaceDE w:val="0"/>
        <w:autoSpaceDN w:val="0"/>
        <w:adjustRightInd w:val="0"/>
        <w:spacing w:before="120" w:after="120"/>
        <w:ind w:left="360"/>
        <w:rPr>
          <w:rFonts w:ascii="Arial Narrow" w:eastAsia="Times New Roman" w:hAnsi="Arial Narrow" w:cs="Arial"/>
          <w:b/>
          <w:sz w:val="24"/>
          <w:szCs w:val="24"/>
        </w:rPr>
      </w:pPr>
    </w:p>
    <w:p w:rsidR="008559EB" w:rsidRDefault="008559EB" w:rsidP="009C7202">
      <w:pPr>
        <w:autoSpaceDE w:val="0"/>
        <w:autoSpaceDN w:val="0"/>
        <w:adjustRightInd w:val="0"/>
        <w:spacing w:before="120" w:after="120"/>
        <w:ind w:left="360"/>
        <w:rPr>
          <w:rFonts w:ascii="Arial Narrow" w:eastAsia="Times New Roman" w:hAnsi="Arial Narrow" w:cs="Arial"/>
          <w:b/>
          <w:sz w:val="24"/>
          <w:szCs w:val="24"/>
        </w:rPr>
      </w:pPr>
    </w:p>
    <w:p w:rsidR="008559EB" w:rsidRDefault="008559EB" w:rsidP="009C7202">
      <w:pPr>
        <w:autoSpaceDE w:val="0"/>
        <w:autoSpaceDN w:val="0"/>
        <w:adjustRightInd w:val="0"/>
        <w:spacing w:before="120" w:after="120"/>
        <w:ind w:left="360"/>
        <w:rPr>
          <w:rFonts w:ascii="Arial Narrow" w:eastAsia="Times New Roman" w:hAnsi="Arial Narrow" w:cs="Arial"/>
          <w:b/>
          <w:sz w:val="24"/>
          <w:szCs w:val="24"/>
        </w:rPr>
      </w:pPr>
    </w:p>
    <w:p w:rsidR="008559EB" w:rsidRDefault="008559EB" w:rsidP="009C7202">
      <w:pPr>
        <w:autoSpaceDE w:val="0"/>
        <w:autoSpaceDN w:val="0"/>
        <w:adjustRightInd w:val="0"/>
        <w:spacing w:before="120" w:after="120"/>
        <w:ind w:left="360"/>
        <w:rPr>
          <w:rFonts w:ascii="Arial Narrow" w:hAnsi="Arial Narrow" w:cs="Arial"/>
          <w:noProof/>
          <w:sz w:val="24"/>
          <w:szCs w:val="24"/>
        </w:rPr>
      </w:pPr>
      <w:r>
        <w:rPr>
          <w:rFonts w:ascii="Arial Narrow" w:eastAsia="Times New Roman" w:hAnsi="Arial Narrow" w:cs="Arial"/>
          <w:b/>
          <w:sz w:val="24"/>
          <w:szCs w:val="24"/>
        </w:rPr>
        <w:t>Figure15. 1. Medicines Use Process</w:t>
      </w:r>
    </w:p>
    <w:p w:rsidR="008559EB" w:rsidRDefault="008559EB" w:rsidP="009C7202">
      <w:pPr>
        <w:autoSpaceDE w:val="0"/>
        <w:autoSpaceDN w:val="0"/>
        <w:adjustRightInd w:val="0"/>
        <w:spacing w:before="120" w:after="120"/>
        <w:ind w:left="360"/>
        <w:rPr>
          <w:rFonts w:ascii="Arial Narrow" w:hAnsi="Arial Narrow" w:cs="Arial"/>
          <w:sz w:val="24"/>
          <w:szCs w:val="24"/>
        </w:rPr>
      </w:pPr>
      <w:r>
        <w:rPr>
          <w:rFonts w:ascii="Arial Narrow" w:hAnsi="Arial Narrow" w:cs="Arial"/>
          <w:noProof/>
          <w:sz w:val="24"/>
          <w:szCs w:val="24"/>
        </w:rPr>
        <w:drawing>
          <wp:inline distT="0" distB="0" distL="0" distR="0">
            <wp:extent cx="4581525" cy="4171950"/>
            <wp:effectExtent l="1905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t="2441" b="2441"/>
                    <a:stretch>
                      <a:fillRect/>
                    </a:stretch>
                  </pic:blipFill>
                  <pic:spPr bwMode="invGray">
                    <a:xfrm>
                      <a:off x="0" y="0"/>
                      <a:ext cx="4581525" cy="4171950"/>
                    </a:xfrm>
                    <a:prstGeom prst="rect">
                      <a:avLst/>
                    </a:prstGeom>
                    <a:noFill/>
                    <a:ln w="9525">
                      <a:noFill/>
                      <a:miter lim="800000"/>
                      <a:headEnd/>
                      <a:tailEnd/>
                    </a:ln>
                  </pic:spPr>
                </pic:pic>
              </a:graphicData>
            </a:graphic>
          </wp:inline>
        </w:drawing>
      </w:r>
    </w:p>
    <w:p w:rsidR="008559EB" w:rsidRDefault="008559EB" w:rsidP="009C7202">
      <w:pPr>
        <w:autoSpaceDE w:val="0"/>
        <w:autoSpaceDN w:val="0"/>
        <w:adjustRightInd w:val="0"/>
        <w:spacing w:before="120" w:after="120"/>
        <w:jc w:val="both"/>
        <w:rPr>
          <w:rFonts w:ascii="Arial Narrow" w:eastAsia="Times New Roman" w:hAnsi="Arial Narrow" w:cs="Arial"/>
          <w:sz w:val="24"/>
          <w:szCs w:val="24"/>
        </w:rPr>
      </w:pPr>
    </w:p>
    <w:p w:rsidR="008559EB" w:rsidRPr="009C7202" w:rsidRDefault="008559EB" w:rsidP="009C7202">
      <w:pPr>
        <w:autoSpaceDE w:val="0"/>
        <w:autoSpaceDN w:val="0"/>
        <w:adjustRightInd w:val="0"/>
        <w:spacing w:before="120" w:after="120" w:line="240" w:lineRule="auto"/>
        <w:jc w:val="both"/>
        <w:rPr>
          <w:rFonts w:ascii="Arial" w:eastAsia="Times New Roman" w:hAnsi="Arial" w:cs="Arial"/>
          <w:b/>
        </w:rPr>
      </w:pPr>
      <w:r w:rsidRPr="009C7202">
        <w:rPr>
          <w:rFonts w:ascii="Arial" w:eastAsia="Times New Roman" w:hAnsi="Arial" w:cs="Arial"/>
          <w:b/>
        </w:rPr>
        <w:t>Aspects of Irrational Use of Medicines</w:t>
      </w:r>
    </w:p>
    <w:p w:rsidR="008559EB" w:rsidRPr="009C7202" w:rsidRDefault="008559EB" w:rsidP="009C7202">
      <w:pPr>
        <w:pStyle w:val="NormalWeb"/>
        <w:kinsoku w:val="0"/>
        <w:overflowPunct w:val="0"/>
        <w:spacing w:before="120" w:beforeAutospacing="0" w:after="120" w:afterAutospacing="0"/>
        <w:ind w:left="547" w:hanging="547"/>
        <w:jc w:val="both"/>
        <w:textAlignment w:val="baseline"/>
        <w:rPr>
          <w:rFonts w:ascii="Arial" w:hAnsi="Arial" w:cs="Arial"/>
          <w:sz w:val="22"/>
          <w:szCs w:val="22"/>
        </w:rPr>
      </w:pPr>
      <w:r w:rsidRPr="009C7202">
        <w:rPr>
          <w:rFonts w:ascii="Arial" w:hAnsi="Arial" w:cs="Arial"/>
          <w:b/>
          <w:bCs/>
          <w:sz w:val="22"/>
          <w:szCs w:val="22"/>
        </w:rPr>
        <w:t>Diagnosis:</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rPr>
      </w:pPr>
      <w:r w:rsidRPr="009C7202">
        <w:rPr>
          <w:rFonts w:ascii="Arial" w:hAnsi="Arial" w:cs="Arial"/>
          <w:sz w:val="22"/>
          <w:szCs w:val="22"/>
        </w:rPr>
        <w:t>Inadequate examination of patient</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rPr>
      </w:pPr>
      <w:r w:rsidRPr="009C7202">
        <w:rPr>
          <w:rFonts w:ascii="Arial" w:hAnsi="Arial" w:cs="Arial"/>
          <w:sz w:val="22"/>
          <w:szCs w:val="22"/>
        </w:rPr>
        <w:t xml:space="preserve">Incomplete communication between patient and doctor </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rPr>
      </w:pPr>
      <w:r w:rsidRPr="009C7202">
        <w:rPr>
          <w:rFonts w:ascii="Arial" w:hAnsi="Arial" w:cs="Arial"/>
          <w:sz w:val="22"/>
          <w:szCs w:val="22"/>
        </w:rPr>
        <w:t>Lack of documented medical history</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rPr>
      </w:pPr>
      <w:r w:rsidRPr="009C7202">
        <w:rPr>
          <w:rFonts w:ascii="Arial" w:hAnsi="Arial" w:cs="Arial"/>
          <w:sz w:val="22"/>
          <w:szCs w:val="22"/>
        </w:rPr>
        <w:t>Inadequate laboratory Resources.</w:t>
      </w:r>
    </w:p>
    <w:p w:rsidR="008559EB" w:rsidRPr="009C7202" w:rsidRDefault="008559EB" w:rsidP="009C7202">
      <w:pPr>
        <w:pStyle w:val="NormalWeb"/>
        <w:kinsoku w:val="0"/>
        <w:overflowPunct w:val="0"/>
        <w:spacing w:before="120" w:beforeAutospacing="0" w:after="120" w:afterAutospacing="0"/>
        <w:ind w:left="547" w:hanging="547"/>
        <w:jc w:val="both"/>
        <w:textAlignment w:val="baseline"/>
        <w:rPr>
          <w:rFonts w:ascii="Arial" w:hAnsi="Arial" w:cs="Arial"/>
          <w:b/>
          <w:bCs/>
          <w:sz w:val="22"/>
          <w:szCs w:val="22"/>
        </w:rPr>
      </w:pPr>
      <w:r w:rsidRPr="009C7202">
        <w:rPr>
          <w:rFonts w:ascii="Arial" w:hAnsi="Arial" w:cs="Arial"/>
          <w:b/>
          <w:bCs/>
          <w:sz w:val="22"/>
          <w:szCs w:val="22"/>
        </w:rPr>
        <w:t>Prescribing</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rPr>
      </w:pPr>
      <w:r w:rsidRPr="009C7202">
        <w:rPr>
          <w:rFonts w:ascii="Arial" w:hAnsi="Arial" w:cs="Arial"/>
          <w:sz w:val="22"/>
          <w:szCs w:val="22"/>
        </w:rPr>
        <w:t>Irrational prescribing is observed when there is</w:t>
      </w:r>
    </w:p>
    <w:p w:rsidR="008559EB" w:rsidRPr="009C7202" w:rsidRDefault="008559EB" w:rsidP="008559EB">
      <w:pPr>
        <w:widowControl/>
        <w:numPr>
          <w:ilvl w:val="1"/>
          <w:numId w:val="141"/>
        </w:numPr>
        <w:kinsoku w:val="0"/>
        <w:overflowPunct w:val="0"/>
        <w:spacing w:before="120" w:after="120" w:line="240" w:lineRule="auto"/>
        <w:ind w:left="1170"/>
        <w:contextualSpacing/>
        <w:jc w:val="both"/>
        <w:textAlignment w:val="baseline"/>
        <w:rPr>
          <w:rFonts w:ascii="Arial" w:hAnsi="Arial" w:cs="Arial"/>
        </w:rPr>
      </w:pPr>
      <w:r w:rsidRPr="009C7202">
        <w:rPr>
          <w:rFonts w:ascii="Arial" w:eastAsia="Times New Roman" w:hAnsi="Arial" w:cs="Arial"/>
        </w:rPr>
        <w:t>In</w:t>
      </w:r>
      <w:r w:rsidRPr="009C7202">
        <w:rPr>
          <w:rFonts w:ascii="Arial" w:eastAsia="Times New Roman" w:hAnsi="Arial" w:cs="Arial"/>
          <w:lang w:val="en-GB"/>
        </w:rPr>
        <w:t>correct prescribing</w:t>
      </w:r>
    </w:p>
    <w:p w:rsidR="008559EB" w:rsidRPr="009C7202" w:rsidRDefault="008559EB" w:rsidP="008559EB">
      <w:pPr>
        <w:widowControl/>
        <w:numPr>
          <w:ilvl w:val="1"/>
          <w:numId w:val="141"/>
        </w:numPr>
        <w:kinsoku w:val="0"/>
        <w:overflowPunct w:val="0"/>
        <w:spacing w:before="120" w:after="120" w:line="240" w:lineRule="auto"/>
        <w:ind w:left="1170"/>
        <w:contextualSpacing/>
        <w:jc w:val="both"/>
        <w:textAlignment w:val="baseline"/>
        <w:rPr>
          <w:rFonts w:ascii="Arial" w:hAnsi="Arial" w:cs="Arial"/>
        </w:rPr>
      </w:pPr>
      <w:r w:rsidRPr="009C7202">
        <w:rPr>
          <w:rFonts w:ascii="Arial" w:hAnsi="Arial" w:cs="Arial"/>
        </w:rPr>
        <w:t>Diagnosis is inadequate,</w:t>
      </w:r>
    </w:p>
    <w:p w:rsidR="008559EB" w:rsidRPr="009C7202" w:rsidRDefault="008559EB" w:rsidP="008559EB">
      <w:pPr>
        <w:widowControl/>
        <w:numPr>
          <w:ilvl w:val="1"/>
          <w:numId w:val="141"/>
        </w:numPr>
        <w:kinsoku w:val="0"/>
        <w:overflowPunct w:val="0"/>
        <w:spacing w:before="120" w:after="120" w:line="240" w:lineRule="auto"/>
        <w:ind w:left="1170"/>
        <w:contextualSpacing/>
        <w:jc w:val="both"/>
        <w:textAlignment w:val="baseline"/>
        <w:rPr>
          <w:rFonts w:ascii="Arial" w:hAnsi="Arial" w:cs="Arial"/>
        </w:rPr>
      </w:pPr>
      <w:r w:rsidRPr="009C7202">
        <w:rPr>
          <w:rFonts w:ascii="Arial" w:hAnsi="Arial" w:cs="Arial"/>
        </w:rPr>
        <w:t>Inappropriate medicines are prescribed.</w:t>
      </w:r>
    </w:p>
    <w:p w:rsidR="008559EB" w:rsidRPr="009C7202" w:rsidRDefault="008559EB" w:rsidP="009C7202">
      <w:pPr>
        <w:pStyle w:val="ListParagraph"/>
        <w:kinsoku w:val="0"/>
        <w:overflowPunct w:val="0"/>
        <w:spacing w:before="120" w:after="120"/>
        <w:jc w:val="both"/>
        <w:textAlignment w:val="baseline"/>
        <w:rPr>
          <w:rFonts w:ascii="Arial" w:hAnsi="Arial" w:cs="Arial"/>
          <w:sz w:val="22"/>
          <w:szCs w:val="22"/>
        </w:rPr>
      </w:pP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rPr>
      </w:pPr>
      <w:r w:rsidRPr="009C7202">
        <w:rPr>
          <w:rFonts w:ascii="Arial" w:hAnsi="Arial" w:cs="Arial"/>
          <w:sz w:val="22"/>
          <w:szCs w:val="22"/>
        </w:rPr>
        <w:t xml:space="preserve">Under prescribing: </w:t>
      </w:r>
    </w:p>
    <w:p w:rsidR="008559EB" w:rsidRPr="009C7202" w:rsidRDefault="008559EB" w:rsidP="008559EB">
      <w:pPr>
        <w:widowControl/>
        <w:numPr>
          <w:ilvl w:val="1"/>
          <w:numId w:val="141"/>
        </w:numPr>
        <w:kinsoku w:val="0"/>
        <w:overflowPunct w:val="0"/>
        <w:spacing w:before="120" w:after="120" w:line="240" w:lineRule="auto"/>
        <w:ind w:left="1170"/>
        <w:contextualSpacing/>
        <w:jc w:val="both"/>
        <w:textAlignment w:val="baseline"/>
        <w:rPr>
          <w:rFonts w:ascii="Arial" w:eastAsia="Times New Roman" w:hAnsi="Arial" w:cs="Arial"/>
        </w:rPr>
      </w:pPr>
      <w:r w:rsidRPr="009C7202">
        <w:rPr>
          <w:rFonts w:ascii="Arial" w:eastAsia="Times New Roman" w:hAnsi="Arial" w:cs="Arial"/>
        </w:rPr>
        <w:t>Needed medications are not prescribed</w:t>
      </w:r>
    </w:p>
    <w:p w:rsidR="008559EB" w:rsidRPr="009C7202" w:rsidRDefault="008559EB" w:rsidP="008559EB">
      <w:pPr>
        <w:widowControl/>
        <w:numPr>
          <w:ilvl w:val="1"/>
          <w:numId w:val="141"/>
        </w:numPr>
        <w:kinsoku w:val="0"/>
        <w:overflowPunct w:val="0"/>
        <w:spacing w:before="120" w:after="120" w:line="240" w:lineRule="auto"/>
        <w:ind w:left="1170"/>
        <w:contextualSpacing/>
        <w:jc w:val="both"/>
        <w:textAlignment w:val="baseline"/>
        <w:rPr>
          <w:rFonts w:ascii="Arial" w:eastAsia="Times New Roman" w:hAnsi="Arial" w:cs="Arial"/>
        </w:rPr>
      </w:pPr>
      <w:r w:rsidRPr="009C7202">
        <w:rPr>
          <w:rFonts w:ascii="Arial" w:eastAsia="Times New Roman" w:hAnsi="Arial" w:cs="Arial"/>
        </w:rPr>
        <w:t>Dosage is inadequate</w:t>
      </w:r>
    </w:p>
    <w:p w:rsidR="008559EB" w:rsidRPr="009C7202" w:rsidRDefault="008559EB" w:rsidP="008559EB">
      <w:pPr>
        <w:widowControl/>
        <w:numPr>
          <w:ilvl w:val="1"/>
          <w:numId w:val="141"/>
        </w:numPr>
        <w:kinsoku w:val="0"/>
        <w:overflowPunct w:val="0"/>
        <w:spacing w:before="120" w:after="120" w:line="240" w:lineRule="auto"/>
        <w:ind w:left="1170"/>
        <w:contextualSpacing/>
        <w:jc w:val="both"/>
        <w:textAlignment w:val="baseline"/>
        <w:rPr>
          <w:rFonts w:ascii="Arial" w:eastAsia="Times New Roman" w:hAnsi="Arial" w:cs="Arial"/>
        </w:rPr>
      </w:pPr>
      <w:r w:rsidRPr="009C7202">
        <w:rPr>
          <w:rFonts w:ascii="Arial" w:eastAsia="Times New Roman" w:hAnsi="Arial" w:cs="Arial"/>
        </w:rPr>
        <w:t>Inadequate duration of treatment.</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rPr>
      </w:pPr>
      <w:r w:rsidRPr="009C7202">
        <w:rPr>
          <w:rFonts w:ascii="Arial" w:hAnsi="Arial" w:cs="Arial"/>
          <w:sz w:val="22"/>
          <w:szCs w:val="22"/>
        </w:rPr>
        <w:t>Over prescribing:</w:t>
      </w:r>
    </w:p>
    <w:p w:rsidR="008559EB" w:rsidRPr="009C7202" w:rsidRDefault="008559EB" w:rsidP="008559EB">
      <w:pPr>
        <w:widowControl/>
        <w:numPr>
          <w:ilvl w:val="1"/>
          <w:numId w:val="141"/>
        </w:numPr>
        <w:kinsoku w:val="0"/>
        <w:overflowPunct w:val="0"/>
        <w:spacing w:before="120" w:after="120" w:line="240" w:lineRule="auto"/>
        <w:ind w:left="1170"/>
        <w:contextualSpacing/>
        <w:jc w:val="both"/>
        <w:textAlignment w:val="baseline"/>
        <w:rPr>
          <w:rFonts w:ascii="Arial" w:eastAsia="Times New Roman" w:hAnsi="Arial" w:cs="Arial"/>
        </w:rPr>
      </w:pPr>
      <w:r w:rsidRPr="009C7202">
        <w:rPr>
          <w:rFonts w:ascii="Arial" w:eastAsia="Times New Roman" w:hAnsi="Arial" w:cs="Arial"/>
        </w:rPr>
        <w:t xml:space="preserve">Prescribing inappropriate length of course </w:t>
      </w:r>
    </w:p>
    <w:p w:rsidR="008559EB" w:rsidRPr="009C7202" w:rsidRDefault="008559EB" w:rsidP="008559EB">
      <w:pPr>
        <w:widowControl/>
        <w:numPr>
          <w:ilvl w:val="1"/>
          <w:numId w:val="141"/>
        </w:numPr>
        <w:kinsoku w:val="0"/>
        <w:overflowPunct w:val="0"/>
        <w:spacing w:before="120" w:after="120" w:line="240" w:lineRule="auto"/>
        <w:ind w:left="1170"/>
        <w:contextualSpacing/>
        <w:jc w:val="both"/>
        <w:textAlignment w:val="baseline"/>
        <w:rPr>
          <w:rFonts w:ascii="Arial" w:eastAsia="Times New Roman" w:hAnsi="Arial" w:cs="Arial"/>
        </w:rPr>
      </w:pPr>
      <w:r w:rsidRPr="009C7202">
        <w:rPr>
          <w:rFonts w:ascii="Arial" w:eastAsia="Times New Roman" w:hAnsi="Arial" w:cs="Arial"/>
        </w:rPr>
        <w:t>Prescribing very high dose</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rPr>
      </w:pPr>
      <w:r w:rsidRPr="009C7202">
        <w:rPr>
          <w:rFonts w:ascii="Arial" w:hAnsi="Arial" w:cs="Arial"/>
          <w:sz w:val="22"/>
          <w:szCs w:val="22"/>
          <w:lang w:val="en-GB"/>
        </w:rPr>
        <w:t>Extravagant prescribing:</w:t>
      </w:r>
    </w:p>
    <w:p w:rsidR="008559EB" w:rsidRPr="009C7202" w:rsidRDefault="008559EB" w:rsidP="008559EB">
      <w:pPr>
        <w:widowControl/>
        <w:numPr>
          <w:ilvl w:val="1"/>
          <w:numId w:val="141"/>
        </w:numPr>
        <w:kinsoku w:val="0"/>
        <w:overflowPunct w:val="0"/>
        <w:spacing w:before="120" w:after="120" w:line="240" w:lineRule="auto"/>
        <w:ind w:hanging="630"/>
        <w:contextualSpacing/>
        <w:jc w:val="both"/>
        <w:textAlignment w:val="baseline"/>
        <w:rPr>
          <w:rFonts w:ascii="Arial" w:eastAsia="Times New Roman" w:hAnsi="Arial" w:cs="Arial"/>
        </w:rPr>
      </w:pPr>
      <w:r w:rsidRPr="009C7202">
        <w:rPr>
          <w:rFonts w:ascii="Arial" w:eastAsia="Times New Roman" w:hAnsi="Arial" w:cs="Arial"/>
        </w:rPr>
        <w:t>Prescribing a more expensive branded medicines when there is a less expensive generic medicines</w:t>
      </w:r>
    </w:p>
    <w:p w:rsidR="008559EB" w:rsidRPr="009C7202" w:rsidRDefault="008559EB" w:rsidP="008559EB">
      <w:pPr>
        <w:widowControl/>
        <w:numPr>
          <w:ilvl w:val="1"/>
          <w:numId w:val="141"/>
        </w:numPr>
        <w:kinsoku w:val="0"/>
        <w:overflowPunct w:val="0"/>
        <w:spacing w:before="120" w:after="120" w:line="240" w:lineRule="auto"/>
        <w:ind w:left="1170"/>
        <w:contextualSpacing/>
        <w:jc w:val="both"/>
        <w:textAlignment w:val="baseline"/>
        <w:rPr>
          <w:rFonts w:ascii="Arial" w:eastAsia="Times New Roman" w:hAnsi="Arial" w:cs="Arial"/>
        </w:rPr>
      </w:pPr>
      <w:r w:rsidRPr="009C7202">
        <w:rPr>
          <w:rFonts w:ascii="Arial" w:eastAsia="Times New Roman" w:hAnsi="Arial" w:cs="Arial"/>
        </w:rPr>
        <w:t>Treating symptoms instead of treating the disease.</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rPr>
      </w:pPr>
      <w:r w:rsidRPr="009C7202">
        <w:rPr>
          <w:rFonts w:ascii="Arial" w:hAnsi="Arial" w:cs="Arial"/>
          <w:sz w:val="22"/>
          <w:szCs w:val="22"/>
          <w:lang w:val="en-GB"/>
        </w:rPr>
        <w:t xml:space="preserve">Multiple prescribing: </w:t>
      </w:r>
    </w:p>
    <w:p w:rsidR="008559EB" w:rsidRPr="009C7202" w:rsidRDefault="008559EB" w:rsidP="008559EB">
      <w:pPr>
        <w:widowControl/>
        <w:numPr>
          <w:ilvl w:val="1"/>
          <w:numId w:val="141"/>
        </w:numPr>
        <w:kinsoku w:val="0"/>
        <w:overflowPunct w:val="0"/>
        <w:spacing w:before="120" w:after="120" w:line="240" w:lineRule="auto"/>
        <w:ind w:left="1170"/>
        <w:contextualSpacing/>
        <w:jc w:val="both"/>
        <w:textAlignment w:val="baseline"/>
        <w:rPr>
          <w:rFonts w:ascii="Arial" w:eastAsia="Times New Roman" w:hAnsi="Arial" w:cs="Arial"/>
        </w:rPr>
      </w:pPr>
      <w:r w:rsidRPr="009C7202">
        <w:rPr>
          <w:rFonts w:ascii="Arial" w:eastAsia="Times New Roman" w:hAnsi="Arial" w:cs="Arial"/>
        </w:rPr>
        <w:t>Two or more medications are prescribed when fewer would achieve the same</w:t>
      </w:r>
      <w:r w:rsidRPr="009C7202">
        <w:rPr>
          <w:rFonts w:ascii="Arial" w:eastAsia="Times New Roman" w:hAnsi="Arial" w:cs="Arial"/>
          <w:lang w:val="en-GB"/>
        </w:rPr>
        <w:t xml:space="preserve"> effect</w:t>
      </w:r>
    </w:p>
    <w:p w:rsidR="008559EB" w:rsidRPr="009C7202" w:rsidRDefault="008559EB" w:rsidP="009C7202">
      <w:pPr>
        <w:autoSpaceDE w:val="0"/>
        <w:autoSpaceDN w:val="0"/>
        <w:adjustRightInd w:val="0"/>
        <w:spacing w:before="120" w:after="120" w:line="240" w:lineRule="auto"/>
        <w:jc w:val="both"/>
        <w:rPr>
          <w:rFonts w:ascii="Arial" w:hAnsi="Arial" w:cs="Arial"/>
          <w:b/>
          <w:iCs/>
        </w:rPr>
      </w:pPr>
      <w:r w:rsidRPr="009C7202">
        <w:rPr>
          <w:rFonts w:ascii="Arial" w:hAnsi="Arial" w:cs="Arial"/>
          <w:b/>
          <w:iCs/>
        </w:rPr>
        <w:t>Dispensing:</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lang w:val="en-GB"/>
        </w:rPr>
      </w:pPr>
      <w:r w:rsidRPr="009C7202">
        <w:rPr>
          <w:rFonts w:ascii="Arial" w:hAnsi="Arial" w:cs="Arial"/>
          <w:sz w:val="22"/>
          <w:szCs w:val="22"/>
          <w:lang w:val="en-GB"/>
        </w:rPr>
        <w:t>Incorrect interpretation of the prescription.</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lang w:val="en-GB"/>
        </w:rPr>
      </w:pPr>
      <w:r w:rsidRPr="009C7202">
        <w:rPr>
          <w:rFonts w:ascii="Arial" w:hAnsi="Arial" w:cs="Arial"/>
          <w:sz w:val="22"/>
          <w:szCs w:val="22"/>
          <w:lang w:val="en-GB"/>
        </w:rPr>
        <w:t>Inadequate treatment monitoring: The dispenser does not pick up errors or  the dispenser sees the error but does nothing about it</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lang w:val="en-GB"/>
        </w:rPr>
      </w:pPr>
      <w:r w:rsidRPr="009C7202">
        <w:rPr>
          <w:rFonts w:ascii="Arial" w:hAnsi="Arial" w:cs="Arial"/>
          <w:sz w:val="22"/>
          <w:szCs w:val="22"/>
          <w:lang w:val="en-GB"/>
        </w:rPr>
        <w:t>Incorrect calculation of  dosage</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lang w:val="en-GB"/>
        </w:rPr>
      </w:pPr>
      <w:r w:rsidRPr="009C7202">
        <w:rPr>
          <w:rFonts w:ascii="Arial" w:hAnsi="Arial" w:cs="Arial"/>
          <w:sz w:val="22"/>
          <w:szCs w:val="22"/>
          <w:lang w:val="en-GB"/>
        </w:rPr>
        <w:t>Retrieval of wrong medicines</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lang w:val="en-GB"/>
        </w:rPr>
      </w:pPr>
      <w:r w:rsidRPr="009C7202">
        <w:rPr>
          <w:rFonts w:ascii="Arial" w:hAnsi="Arial" w:cs="Arial"/>
          <w:sz w:val="22"/>
          <w:szCs w:val="22"/>
          <w:lang w:val="en-GB"/>
        </w:rPr>
        <w:t>Inaccurate counting</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lang w:val="en-GB"/>
        </w:rPr>
      </w:pPr>
      <w:r w:rsidRPr="009C7202">
        <w:rPr>
          <w:rFonts w:ascii="Arial" w:hAnsi="Arial" w:cs="Arial"/>
          <w:sz w:val="22"/>
          <w:szCs w:val="22"/>
          <w:lang w:val="en-GB"/>
        </w:rPr>
        <w:t xml:space="preserve">Inadequate labelling. </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lang w:val="en-GB"/>
        </w:rPr>
      </w:pPr>
      <w:r w:rsidRPr="009C7202">
        <w:rPr>
          <w:rFonts w:ascii="Arial" w:hAnsi="Arial" w:cs="Arial"/>
          <w:sz w:val="22"/>
          <w:szCs w:val="22"/>
          <w:lang w:val="en-GB"/>
        </w:rPr>
        <w:t>Unsanitary procedures.</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lang w:val="en-GB"/>
        </w:rPr>
      </w:pPr>
      <w:r w:rsidRPr="009C7202">
        <w:rPr>
          <w:rFonts w:ascii="Arial" w:hAnsi="Arial" w:cs="Arial"/>
          <w:sz w:val="22"/>
          <w:szCs w:val="22"/>
          <w:lang w:val="en-GB"/>
        </w:rPr>
        <w:t>Inability to effectively communicate with patients on how to use the prescribed medicines and adherence to dose schedules.</w:t>
      </w:r>
    </w:p>
    <w:p w:rsidR="008559EB" w:rsidRPr="009C7202" w:rsidRDefault="008559EB" w:rsidP="009C7202">
      <w:pPr>
        <w:autoSpaceDE w:val="0"/>
        <w:autoSpaceDN w:val="0"/>
        <w:adjustRightInd w:val="0"/>
        <w:spacing w:before="120" w:after="120" w:line="240" w:lineRule="auto"/>
        <w:jc w:val="both"/>
        <w:rPr>
          <w:rFonts w:ascii="Arial" w:hAnsi="Arial" w:cs="Arial"/>
          <w:b/>
          <w:iCs/>
        </w:rPr>
      </w:pPr>
      <w:r w:rsidRPr="009C7202">
        <w:rPr>
          <w:rFonts w:ascii="Arial" w:hAnsi="Arial" w:cs="Arial"/>
          <w:b/>
          <w:iCs/>
        </w:rPr>
        <w:t>Patient</w:t>
      </w:r>
      <w:r>
        <w:rPr>
          <w:rFonts w:ascii="Arial" w:hAnsi="Arial" w:cs="Arial"/>
          <w:b/>
          <w:iCs/>
        </w:rPr>
        <w:t xml:space="preserve"> </w:t>
      </w:r>
      <w:r w:rsidRPr="009C7202">
        <w:rPr>
          <w:rFonts w:ascii="Arial" w:hAnsi="Arial" w:cs="Arial"/>
          <w:b/>
          <w:iCs/>
        </w:rPr>
        <w:t>aspects of Irrational Use of Medicines</w:t>
      </w:r>
    </w:p>
    <w:p w:rsidR="008559EB" w:rsidRPr="009C7202" w:rsidRDefault="008559EB" w:rsidP="009C7202">
      <w:pPr>
        <w:autoSpaceDE w:val="0"/>
        <w:autoSpaceDN w:val="0"/>
        <w:adjustRightInd w:val="0"/>
        <w:spacing w:before="120" w:after="120" w:line="240" w:lineRule="auto"/>
        <w:jc w:val="both"/>
        <w:rPr>
          <w:rFonts w:ascii="Arial" w:hAnsi="Arial" w:cs="Arial"/>
          <w:b/>
          <w:iCs/>
        </w:rPr>
      </w:pPr>
      <w:r w:rsidRPr="009C7202">
        <w:rPr>
          <w:rFonts w:ascii="Arial" w:hAnsi="Arial" w:cs="Arial"/>
          <w:b/>
          <w:bCs/>
          <w:iCs/>
        </w:rPr>
        <w:t>This occurs when-</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lang w:val="en-GB"/>
        </w:rPr>
      </w:pPr>
      <w:r w:rsidRPr="009C7202">
        <w:rPr>
          <w:rFonts w:ascii="Arial" w:hAnsi="Arial" w:cs="Arial"/>
          <w:sz w:val="22"/>
          <w:szCs w:val="22"/>
          <w:lang w:val="en-GB"/>
        </w:rPr>
        <w:t>Patient demand more medicines to be prescribed than required</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lang w:val="en-GB"/>
        </w:rPr>
      </w:pPr>
      <w:r w:rsidRPr="009C7202">
        <w:rPr>
          <w:rFonts w:ascii="Arial" w:hAnsi="Arial" w:cs="Arial"/>
          <w:sz w:val="22"/>
          <w:szCs w:val="22"/>
          <w:lang w:val="en-GB"/>
        </w:rPr>
        <w:t>Not following given instructions.</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lang w:val="en-GB"/>
        </w:rPr>
      </w:pPr>
      <w:r w:rsidRPr="009C7202">
        <w:rPr>
          <w:rFonts w:ascii="Arial" w:hAnsi="Arial" w:cs="Arial"/>
          <w:sz w:val="22"/>
          <w:szCs w:val="22"/>
          <w:lang w:val="en-GB"/>
        </w:rPr>
        <w:t>Sharing Medicines with others</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lang w:val="en-GB"/>
        </w:rPr>
      </w:pPr>
      <w:r w:rsidRPr="009C7202">
        <w:rPr>
          <w:rFonts w:ascii="Arial" w:hAnsi="Arial" w:cs="Arial"/>
          <w:sz w:val="22"/>
          <w:szCs w:val="22"/>
          <w:lang w:val="en-GB"/>
        </w:rPr>
        <w:t>Medicine misinformation</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lang w:val="en-GB"/>
        </w:rPr>
      </w:pPr>
      <w:r w:rsidRPr="009C7202">
        <w:rPr>
          <w:rFonts w:ascii="Arial" w:hAnsi="Arial" w:cs="Arial"/>
          <w:sz w:val="22"/>
          <w:szCs w:val="22"/>
          <w:lang w:val="en-GB"/>
        </w:rPr>
        <w:t xml:space="preserve">Lack of patient readiness </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lang w:val="en-GB"/>
        </w:rPr>
      </w:pPr>
      <w:r w:rsidRPr="009C7202">
        <w:rPr>
          <w:rFonts w:ascii="Arial" w:hAnsi="Arial" w:cs="Arial"/>
          <w:sz w:val="22"/>
          <w:szCs w:val="22"/>
          <w:lang w:val="en-GB"/>
        </w:rPr>
        <w:t>Stigma</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lang w:val="en-GB"/>
        </w:rPr>
      </w:pPr>
      <w:r w:rsidRPr="009C7202">
        <w:rPr>
          <w:rFonts w:ascii="Arial" w:hAnsi="Arial" w:cs="Arial"/>
          <w:sz w:val="22"/>
          <w:szCs w:val="22"/>
          <w:lang w:val="en-GB"/>
        </w:rPr>
        <w:t>Conflict between cultural values and therapy</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lang w:val="en-GB"/>
        </w:rPr>
      </w:pPr>
      <w:r w:rsidRPr="009C7202">
        <w:rPr>
          <w:rFonts w:ascii="Arial" w:hAnsi="Arial" w:cs="Arial"/>
          <w:sz w:val="22"/>
          <w:szCs w:val="22"/>
          <w:lang w:val="en-GB"/>
        </w:rPr>
        <w:t>Misleading beliefs about HIV/AIDS</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lang w:val="en-GB"/>
        </w:rPr>
      </w:pPr>
      <w:r w:rsidRPr="009C7202">
        <w:rPr>
          <w:rFonts w:ascii="Arial" w:hAnsi="Arial" w:cs="Arial"/>
          <w:sz w:val="22"/>
          <w:szCs w:val="22"/>
          <w:lang w:val="en-GB"/>
        </w:rPr>
        <w:t>Patients’ misunderstandings about the medicines and their uses</w:t>
      </w:r>
    </w:p>
    <w:p w:rsidR="008559EB" w:rsidRPr="009C7202" w:rsidRDefault="008559EB" w:rsidP="008559EB">
      <w:pPr>
        <w:pStyle w:val="ListParagraph"/>
        <w:numPr>
          <w:ilvl w:val="0"/>
          <w:numId w:val="140"/>
        </w:numPr>
        <w:kinsoku w:val="0"/>
        <w:overflowPunct w:val="0"/>
        <w:spacing w:before="120" w:after="120"/>
        <w:jc w:val="both"/>
        <w:textAlignment w:val="baseline"/>
        <w:rPr>
          <w:rFonts w:ascii="Arial" w:hAnsi="Arial" w:cs="Arial"/>
          <w:sz w:val="22"/>
          <w:szCs w:val="22"/>
          <w:lang w:val="en-GB"/>
        </w:rPr>
      </w:pPr>
      <w:r w:rsidRPr="009C7202">
        <w:rPr>
          <w:rFonts w:ascii="Arial" w:hAnsi="Arial" w:cs="Arial"/>
          <w:sz w:val="22"/>
          <w:szCs w:val="22"/>
          <w:lang w:val="en-GB"/>
        </w:rPr>
        <w:t>Patient concerns about side effects and ADRs.</w:t>
      </w:r>
    </w:p>
    <w:p w:rsidR="008559EB" w:rsidRDefault="008559EB" w:rsidP="009C7202">
      <w:pPr>
        <w:pStyle w:val="Heading3"/>
        <w:spacing w:before="120" w:after="120"/>
        <w:rPr>
          <w:rFonts w:ascii="Arial Narrow" w:hAnsi="Arial Narrow"/>
          <w:sz w:val="24"/>
          <w:szCs w:val="24"/>
        </w:rPr>
      </w:pPr>
      <w:bookmarkStart w:id="1019" w:name="_Toc378258313"/>
      <w:bookmarkStart w:id="1020" w:name="_Toc374972306"/>
      <w:r>
        <w:rPr>
          <w:rFonts w:ascii="Arial Narrow" w:hAnsi="Arial Narrow"/>
          <w:sz w:val="24"/>
          <w:szCs w:val="24"/>
        </w:rPr>
        <w:t>15.2.1. Prescriptions</w:t>
      </w:r>
      <w:bookmarkEnd w:id="1019"/>
      <w:bookmarkEnd w:id="1020"/>
    </w:p>
    <w:p w:rsidR="008559EB" w:rsidRPr="009C7202" w:rsidRDefault="008559EB" w:rsidP="009C7202">
      <w:pPr>
        <w:autoSpaceDE w:val="0"/>
        <w:autoSpaceDN w:val="0"/>
        <w:adjustRightInd w:val="0"/>
        <w:spacing w:before="120" w:after="120"/>
        <w:jc w:val="both"/>
        <w:rPr>
          <w:rFonts w:ascii="Arial" w:hAnsi="Arial" w:cs="Arial"/>
        </w:rPr>
      </w:pPr>
      <w:r w:rsidRPr="009C7202">
        <w:rPr>
          <w:rFonts w:ascii="Arial" w:hAnsi="Arial" w:cs="Arial"/>
        </w:rPr>
        <w:t>Only trained and authorized prescribers in certified health care facilities are allowed to prescribe ARVs. The prescription for ARVs should clearly indicate the name, age, sex of patient, medicines and dose, and should include the name, signature and prescriber’s code (where applicable).</w:t>
      </w:r>
    </w:p>
    <w:p w:rsidR="008559EB" w:rsidRDefault="008559EB" w:rsidP="009C7202">
      <w:pPr>
        <w:pStyle w:val="Heading3"/>
        <w:spacing w:before="120" w:after="120"/>
        <w:rPr>
          <w:rFonts w:ascii="Arial Narrow" w:hAnsi="Arial Narrow"/>
          <w:sz w:val="24"/>
          <w:szCs w:val="24"/>
        </w:rPr>
      </w:pPr>
      <w:bookmarkStart w:id="1021" w:name="_Toc378258314"/>
      <w:bookmarkStart w:id="1022" w:name="_Toc374972307"/>
      <w:r>
        <w:rPr>
          <w:rFonts w:ascii="Arial Narrow" w:hAnsi="Arial Narrow"/>
          <w:sz w:val="24"/>
          <w:szCs w:val="24"/>
        </w:rPr>
        <w:t>15.2.2. Dispensing</w:t>
      </w:r>
      <w:bookmarkEnd w:id="1021"/>
      <w:bookmarkEnd w:id="1022"/>
    </w:p>
    <w:p w:rsidR="008559EB" w:rsidRPr="009C7202" w:rsidRDefault="008559EB" w:rsidP="009C7202">
      <w:pPr>
        <w:autoSpaceDE w:val="0"/>
        <w:autoSpaceDN w:val="0"/>
        <w:adjustRightInd w:val="0"/>
        <w:spacing w:before="120" w:after="120"/>
        <w:jc w:val="both"/>
        <w:rPr>
          <w:rFonts w:ascii="Arial" w:hAnsi="Arial" w:cs="Arial"/>
        </w:rPr>
      </w:pPr>
      <w:r w:rsidRPr="009C7202">
        <w:rPr>
          <w:rFonts w:ascii="Arial" w:hAnsi="Arial" w:cs="Arial"/>
        </w:rPr>
        <w:t>Antiretroviral drugs are prescription-only medicines. They should only be dispensed to treatment-ready patients with clear instructions and advice. The dispenser should ensure that the prescription is appropriately written and signed by an authorized prescriber before issuing the drugs. ARVs should only be given to the named patient or appointed adherence assistant. Adequate time should be scheduled for antiretroviral dispensing and counseling.</w:t>
      </w:r>
    </w:p>
    <w:p w:rsidR="008559EB" w:rsidRPr="009C7202" w:rsidRDefault="008559EB" w:rsidP="009C7202">
      <w:pPr>
        <w:autoSpaceDE w:val="0"/>
        <w:autoSpaceDN w:val="0"/>
        <w:adjustRightInd w:val="0"/>
        <w:spacing w:before="120" w:after="120"/>
        <w:jc w:val="both"/>
        <w:rPr>
          <w:rFonts w:ascii="Arial" w:hAnsi="Arial" w:cs="Arial"/>
        </w:rPr>
      </w:pPr>
      <w:r w:rsidRPr="009C7202">
        <w:rPr>
          <w:rFonts w:ascii="Arial" w:hAnsi="Arial" w:cs="Arial"/>
        </w:rPr>
        <w:t>The pharmacist/dispenser should make sure that the patient understands the dosage and drug intake schedule as well as instructions regarding the storage and food requirements. The pharmacist/dispenser should also caution patients a</w:t>
      </w:r>
      <w:r>
        <w:rPr>
          <w:rFonts w:ascii="Arial" w:hAnsi="Arial" w:cs="Arial"/>
        </w:rPr>
        <w:t xml:space="preserve">bout possible side effects and </w:t>
      </w:r>
      <w:r w:rsidRPr="009C7202">
        <w:rPr>
          <w:rFonts w:ascii="Arial" w:hAnsi="Arial" w:cs="Arial"/>
        </w:rPr>
        <w:t>respond to specific questions and problems related to ARV treatment encountered by patients. It is also imperative for the dispenser to advice patients on measures to be taken to reduce the side effects, including immediate return to the clinic when they experience unwanted effects.</w:t>
      </w:r>
    </w:p>
    <w:p w:rsidR="008559EB" w:rsidRPr="009C7202" w:rsidRDefault="008559EB" w:rsidP="009C7202">
      <w:pPr>
        <w:autoSpaceDE w:val="0"/>
        <w:autoSpaceDN w:val="0"/>
        <w:adjustRightInd w:val="0"/>
        <w:spacing w:before="120" w:after="120"/>
        <w:jc w:val="both"/>
        <w:rPr>
          <w:rFonts w:ascii="Arial" w:hAnsi="Arial" w:cs="Arial"/>
          <w:b/>
        </w:rPr>
      </w:pPr>
      <w:r w:rsidRPr="009C7202">
        <w:rPr>
          <w:rFonts w:ascii="Arial" w:hAnsi="Arial" w:cs="Arial"/>
          <w:b/>
        </w:rPr>
        <w:t>Patient Identification Cards</w:t>
      </w:r>
    </w:p>
    <w:p w:rsidR="008559EB" w:rsidRPr="009C7202" w:rsidRDefault="008559EB" w:rsidP="009C7202">
      <w:pPr>
        <w:autoSpaceDE w:val="0"/>
        <w:autoSpaceDN w:val="0"/>
        <w:adjustRightInd w:val="0"/>
        <w:spacing w:before="120" w:after="120"/>
        <w:jc w:val="both"/>
        <w:rPr>
          <w:rFonts w:ascii="Arial" w:hAnsi="Arial" w:cs="Arial"/>
        </w:rPr>
      </w:pPr>
      <w:r w:rsidRPr="009C7202">
        <w:rPr>
          <w:rFonts w:ascii="Arial" w:hAnsi="Arial" w:cs="Arial"/>
        </w:rPr>
        <w:t>Each patient must be issued with a patient identification card (CTC1) for</w:t>
      </w:r>
      <w:r>
        <w:rPr>
          <w:rFonts w:ascii="Arial" w:hAnsi="Arial" w:cs="Arial"/>
        </w:rPr>
        <w:t xml:space="preserve"> tracking the type of regimens </w:t>
      </w:r>
      <w:r w:rsidRPr="009C7202">
        <w:rPr>
          <w:rFonts w:ascii="Arial" w:hAnsi="Arial" w:cs="Arial"/>
        </w:rPr>
        <w:t>given and scheduling next appointment visits for refill. . Patients (or appointed adherence assistants where patients cannot collect the medication themselves) must present the cards to the dispenser every time they collect medicines and all medications received must be recorded on the card.</w:t>
      </w:r>
    </w:p>
    <w:p w:rsidR="008559EB" w:rsidRDefault="008559EB" w:rsidP="009C7202">
      <w:pPr>
        <w:pStyle w:val="Heading2"/>
        <w:spacing w:before="120" w:after="120"/>
        <w:rPr>
          <w:rFonts w:ascii="Arial Narrow" w:hAnsi="Arial Narrow"/>
          <w:sz w:val="24"/>
          <w:szCs w:val="24"/>
        </w:rPr>
      </w:pPr>
      <w:bookmarkStart w:id="1023" w:name="_Toc378258315"/>
      <w:bookmarkStart w:id="1024" w:name="_Toc374972308"/>
      <w:r>
        <w:rPr>
          <w:rFonts w:ascii="Arial Narrow" w:hAnsi="Arial Narrow"/>
          <w:sz w:val="24"/>
          <w:szCs w:val="24"/>
        </w:rPr>
        <w:t xml:space="preserve">15.3. Supply Chain Management </w:t>
      </w:r>
    </w:p>
    <w:p w:rsidR="008559EB" w:rsidRDefault="008559EB" w:rsidP="009C7202">
      <w:pPr>
        <w:pStyle w:val="Heading2"/>
        <w:spacing w:before="120" w:after="120"/>
        <w:rPr>
          <w:rFonts w:ascii="Arial Narrow" w:hAnsi="Arial Narrow"/>
          <w:sz w:val="24"/>
          <w:szCs w:val="24"/>
        </w:rPr>
      </w:pPr>
      <w:r>
        <w:rPr>
          <w:rFonts w:ascii="Arial Narrow" w:hAnsi="Arial Narrow"/>
          <w:sz w:val="24"/>
          <w:szCs w:val="24"/>
        </w:rPr>
        <w:t>15.3.1 Serving the customers</w:t>
      </w:r>
      <w:bookmarkEnd w:id="1023"/>
      <w:bookmarkEnd w:id="1024"/>
    </w:p>
    <w:p w:rsidR="008559EB" w:rsidRPr="009C7202" w:rsidRDefault="008559EB" w:rsidP="009C7202">
      <w:pPr>
        <w:autoSpaceDE w:val="0"/>
        <w:autoSpaceDN w:val="0"/>
        <w:adjustRightInd w:val="0"/>
        <w:spacing w:before="120" w:after="120"/>
        <w:jc w:val="both"/>
        <w:rPr>
          <w:rFonts w:ascii="Arial" w:hAnsi="Arial" w:cs="Arial"/>
        </w:rPr>
      </w:pPr>
      <w:r w:rsidRPr="009C7202">
        <w:rPr>
          <w:rFonts w:ascii="Arial" w:hAnsi="Arial" w:cs="Arial"/>
        </w:rPr>
        <w:t>The ultimate purpose of public health supply chain systems is to serve the customers with appropriate commodities, at the right quantity, time, place and cost. In the context of HIV and AIDS programs, this purpose means ensuring an uninterrupted supply of quality antiretroviral (ARV) drugs to eligible people living with HIV/AIDS (PLWHA) whenever they need them. The ARVs need to be available all the time at service delivery points (Health facilities) for resupplying patients. This is because more than 95 percent adherence to ART is required for treatment regimens to be effective over the long term. Thus, to implement and maintain a supply chain that is focused on the ultimate customer, the MOHSW through NACP has designed supply chain systems and procedures and prioritize interventions around the concept of uninterrupted availability of the ARV drugs.</w:t>
      </w:r>
    </w:p>
    <w:p w:rsidR="008559EB" w:rsidRDefault="008559EB" w:rsidP="009C7202">
      <w:pPr>
        <w:pStyle w:val="Heading2"/>
        <w:spacing w:before="120" w:after="120"/>
        <w:rPr>
          <w:rFonts w:ascii="Arial Narrow" w:hAnsi="Arial Narrow"/>
          <w:sz w:val="24"/>
          <w:szCs w:val="24"/>
        </w:rPr>
      </w:pPr>
      <w:bookmarkStart w:id="1025" w:name="_Toc378258316"/>
      <w:bookmarkStart w:id="1026" w:name="_Toc374972309"/>
      <w:r>
        <w:rPr>
          <w:rFonts w:ascii="Arial Narrow" w:hAnsi="Arial Narrow"/>
          <w:sz w:val="24"/>
          <w:szCs w:val="24"/>
        </w:rPr>
        <w:t>15.3.2Selection of Pharmaceuticals and Diagnostics</w:t>
      </w:r>
      <w:bookmarkEnd w:id="1025"/>
      <w:bookmarkEnd w:id="1026"/>
    </w:p>
    <w:p w:rsidR="008559EB" w:rsidRPr="009C7202" w:rsidRDefault="008559EB" w:rsidP="009C7202">
      <w:pPr>
        <w:autoSpaceDE w:val="0"/>
        <w:autoSpaceDN w:val="0"/>
        <w:adjustRightInd w:val="0"/>
        <w:spacing w:before="120" w:after="120"/>
        <w:jc w:val="both"/>
        <w:rPr>
          <w:rFonts w:ascii="Arial" w:hAnsi="Arial" w:cs="Arial"/>
        </w:rPr>
      </w:pPr>
      <w:r w:rsidRPr="009C7202">
        <w:rPr>
          <w:rFonts w:ascii="Arial" w:hAnsi="Arial" w:cs="Arial"/>
        </w:rPr>
        <w:t>The World Health Organization (WHO) has developed and updated guidelines for Scaling up Antiretroviral Therapy in Resource-Limited Settings. The treatment Guidelines for a Public Health Approach act as guidance for countries to facilitate the proper management and scale up of antiretroviral therapy (ART).The public health approach is geared towards universal access, standardization, and simplification of antiretroviral (ARV) drug regimens to support the implementation of treatment programs in resource-limited settings and to ensure that treatment programs using ARV drugs are based on scientific evidence. The goal is to avoid the use of substandard treatment protocols and to reduce the potential for the emergence of drug-resistant virus strains.</w:t>
      </w:r>
    </w:p>
    <w:p w:rsidR="008559EB" w:rsidRPr="009C7202" w:rsidRDefault="008559EB" w:rsidP="009C7202">
      <w:pPr>
        <w:autoSpaceDE w:val="0"/>
        <w:autoSpaceDN w:val="0"/>
        <w:adjustRightInd w:val="0"/>
        <w:spacing w:before="120" w:after="120"/>
        <w:jc w:val="both"/>
        <w:rPr>
          <w:rFonts w:ascii="Arial" w:hAnsi="Arial" w:cs="Arial"/>
        </w:rPr>
      </w:pPr>
      <w:r w:rsidRPr="009C7202">
        <w:rPr>
          <w:rFonts w:ascii="Arial" w:hAnsi="Arial" w:cs="Arial"/>
        </w:rPr>
        <w:t>The MOHSW through NACP has updated national ART guideline and medicine lists to include newly recommended ARV drug regimens and formulations and diagnostics that are appropriate to our settings. The process included extensive discussions during the clinical subcommittee meeting before quantification and in the workshops to review the guidelines. For example, the detailed national ART guidelines provide recommendations for managing toxicity or treatment failure and recommended formulations for weight and age that can help to standardize prescribing and dispensing practices and facilitate forecasting for ARV drugs.</w:t>
      </w:r>
    </w:p>
    <w:p w:rsidR="008559EB" w:rsidRPr="009C7202" w:rsidRDefault="008559EB" w:rsidP="009C7202">
      <w:pPr>
        <w:autoSpaceDE w:val="0"/>
        <w:autoSpaceDN w:val="0"/>
        <w:adjustRightInd w:val="0"/>
        <w:spacing w:before="120" w:after="120"/>
        <w:jc w:val="both"/>
        <w:rPr>
          <w:rFonts w:ascii="Arial" w:hAnsi="Arial" w:cs="Arial"/>
        </w:rPr>
      </w:pPr>
      <w:r w:rsidRPr="009C7202">
        <w:rPr>
          <w:rFonts w:ascii="Arial" w:hAnsi="Arial" w:cs="Arial"/>
        </w:rPr>
        <w:t>Selection of ARV drugs, regimens, formulations and packaging will affect procurement, forecasting, and distribution, and these relevant supply chain issues should be considered in the process of selecting ARV drugs. STGs for ART should provide clear criteria for first- and second-line regimens, for the management of patients experiencing toxicity or failing treatment, and for the treatment of specific subgroups, such as patients with tuberculosis, pregnant women, children, and health workers who require post-exposure prophylaxis.</w:t>
      </w:r>
    </w:p>
    <w:p w:rsidR="008559EB" w:rsidRDefault="008559EB" w:rsidP="009C7202">
      <w:pPr>
        <w:pStyle w:val="Heading2"/>
        <w:spacing w:before="120" w:after="120"/>
        <w:rPr>
          <w:rFonts w:ascii="Arial Narrow" w:hAnsi="Arial Narrow"/>
          <w:sz w:val="24"/>
          <w:szCs w:val="24"/>
        </w:rPr>
      </w:pPr>
      <w:bookmarkStart w:id="1027" w:name="_Toc378258317"/>
      <w:bookmarkStart w:id="1028" w:name="_Toc374972310"/>
      <w:r>
        <w:rPr>
          <w:rFonts w:ascii="Arial Narrow" w:hAnsi="Arial Narrow"/>
          <w:sz w:val="24"/>
          <w:szCs w:val="24"/>
        </w:rPr>
        <w:t>15.3.4 Forecasting and Supply planning</w:t>
      </w:r>
      <w:bookmarkEnd w:id="1027"/>
      <w:bookmarkEnd w:id="1028"/>
      <w:r>
        <w:rPr>
          <w:rFonts w:ascii="Arial Narrow" w:hAnsi="Arial Narrow"/>
          <w:sz w:val="24"/>
          <w:szCs w:val="24"/>
        </w:rPr>
        <w:t xml:space="preserve"> (Quantification)</w:t>
      </w:r>
    </w:p>
    <w:p w:rsidR="008559EB" w:rsidRPr="009C7202" w:rsidRDefault="008559EB" w:rsidP="009C7202">
      <w:pPr>
        <w:autoSpaceDE w:val="0"/>
        <w:autoSpaceDN w:val="0"/>
        <w:adjustRightInd w:val="0"/>
        <w:spacing w:before="120" w:after="120"/>
        <w:jc w:val="both"/>
        <w:rPr>
          <w:rFonts w:ascii="Arial" w:hAnsi="Arial" w:cs="Arial"/>
        </w:rPr>
      </w:pPr>
      <w:r w:rsidRPr="009C7202">
        <w:rPr>
          <w:rFonts w:ascii="Arial" w:hAnsi="Arial" w:cs="Arial"/>
        </w:rPr>
        <w:t xml:space="preserve">Program managers must prepare medium term forecasts to be able to coordinate funding and procurement among multiple donors and to ensure uninterrupted supplies of HIV/AIDS commodities. Medium-term forecasts, which normally cover two years period can be prepared using Morbidity data (targeted numbers of patients identified for treatment in national strategies over a specific period of time or by using most current numbers of patients on number of new patients being initiated treatment). These can then  be combined with informed assumptions from key stakeholders and implementers. The forecasts and procurement plans will need to be revised frequently (every after six months) to allow for adjustments in the supply plan as experience with acceptability, tolerability, and efficacy of ART is gained and as supply chain and services data are more available.. This will enable programs to keep up with rapidly changing demands and requirements for ARVs </w:t>
      </w:r>
    </w:p>
    <w:p w:rsidR="008559EB" w:rsidRDefault="008559EB" w:rsidP="009C7202">
      <w:pPr>
        <w:pStyle w:val="Heading2"/>
        <w:spacing w:before="120" w:after="120"/>
        <w:rPr>
          <w:rFonts w:ascii="Arial Narrow" w:hAnsi="Arial Narrow"/>
          <w:sz w:val="24"/>
          <w:szCs w:val="24"/>
        </w:rPr>
      </w:pPr>
      <w:bookmarkStart w:id="1029" w:name="_Toc378258318"/>
      <w:bookmarkStart w:id="1030" w:name="_Toc374972311"/>
      <w:r>
        <w:rPr>
          <w:rFonts w:ascii="Arial Narrow" w:hAnsi="Arial Narrow"/>
          <w:sz w:val="24"/>
          <w:szCs w:val="24"/>
        </w:rPr>
        <w:t>15.3.5. Procurement</w:t>
      </w:r>
      <w:bookmarkEnd w:id="1029"/>
      <w:bookmarkEnd w:id="1030"/>
    </w:p>
    <w:p w:rsidR="008559EB" w:rsidRPr="009C7202" w:rsidRDefault="008559EB" w:rsidP="009C7202">
      <w:pPr>
        <w:autoSpaceDE w:val="0"/>
        <w:autoSpaceDN w:val="0"/>
        <w:adjustRightInd w:val="0"/>
        <w:spacing w:before="120" w:after="120"/>
        <w:jc w:val="both"/>
        <w:rPr>
          <w:rFonts w:ascii="Arial" w:hAnsi="Arial" w:cs="Arial"/>
        </w:rPr>
      </w:pPr>
      <w:r w:rsidRPr="009C7202">
        <w:rPr>
          <w:rFonts w:ascii="Arial" w:hAnsi="Arial" w:cs="Arial"/>
        </w:rPr>
        <w:t xml:space="preserve">The procurement of HIV/AIDS commodities shall be done by the Medical Stores Department which is also responsible for storage and  distribution of the medicines to all health facilities across the country. </w:t>
      </w:r>
    </w:p>
    <w:p w:rsidR="008559EB" w:rsidRPr="009C7202" w:rsidRDefault="008559EB" w:rsidP="009C7202">
      <w:pPr>
        <w:autoSpaceDE w:val="0"/>
        <w:autoSpaceDN w:val="0"/>
        <w:adjustRightInd w:val="0"/>
        <w:spacing w:before="120" w:after="120"/>
        <w:jc w:val="both"/>
        <w:rPr>
          <w:rFonts w:ascii="Arial" w:hAnsi="Arial" w:cs="Arial"/>
        </w:rPr>
      </w:pPr>
      <w:r w:rsidRPr="009C7202">
        <w:rPr>
          <w:rFonts w:ascii="Arial" w:hAnsi="Arial" w:cs="Arial"/>
        </w:rPr>
        <w:t>A uniform and harmonized national procurement system is required for efficiently procuring quality-assured affordable ARV drugs and diagnostics. Procurement hould be based on appropriate selection of products and need-based forecasting, considering consumption, expanding services, phasing in and phasing out formulations and implementing new recommendations. Transparent procedures should be adopted to achieve best-value procurement and a quality assurance system implemented to procure, store and distribute high-quality pharmaceuticals, diagnostics and other health products.</w:t>
      </w:r>
    </w:p>
    <w:p w:rsidR="008559EB" w:rsidRPr="009C7202" w:rsidRDefault="008559EB" w:rsidP="009C7202">
      <w:pPr>
        <w:autoSpaceDE w:val="0"/>
        <w:autoSpaceDN w:val="0"/>
        <w:adjustRightInd w:val="0"/>
        <w:spacing w:before="120" w:after="120"/>
        <w:jc w:val="both"/>
        <w:rPr>
          <w:rFonts w:ascii="Arial" w:hAnsi="Arial" w:cs="Arial"/>
        </w:rPr>
      </w:pPr>
      <w:r w:rsidRPr="009C7202">
        <w:rPr>
          <w:rFonts w:ascii="Arial" w:hAnsi="Arial" w:cs="Arial"/>
        </w:rPr>
        <w:t>Procurement systems should:</w:t>
      </w:r>
    </w:p>
    <w:p w:rsidR="008559EB" w:rsidRPr="009C7202" w:rsidRDefault="008559EB" w:rsidP="008559EB">
      <w:pPr>
        <w:pStyle w:val="ListParagraph"/>
        <w:numPr>
          <w:ilvl w:val="0"/>
          <w:numId w:val="142"/>
        </w:numPr>
        <w:autoSpaceDE w:val="0"/>
        <w:autoSpaceDN w:val="0"/>
        <w:adjustRightInd w:val="0"/>
        <w:contextualSpacing w:val="0"/>
        <w:jc w:val="both"/>
        <w:rPr>
          <w:rFonts w:ascii="Arial" w:eastAsia="Calibri" w:hAnsi="Arial" w:cs="Arial"/>
          <w:sz w:val="22"/>
          <w:szCs w:val="22"/>
        </w:rPr>
      </w:pPr>
      <w:r w:rsidRPr="009C7202">
        <w:rPr>
          <w:rFonts w:ascii="Arial" w:eastAsia="Calibri" w:hAnsi="Arial" w:cs="Arial"/>
          <w:sz w:val="22"/>
          <w:szCs w:val="22"/>
        </w:rPr>
        <w:t>Procure the most effective, heat-stable, fixed-dose quality-assured ARV drug formulations in the right quantities at the lowest possible cost and in a timely manner.</w:t>
      </w:r>
    </w:p>
    <w:p w:rsidR="008559EB" w:rsidRPr="009C7202" w:rsidRDefault="008559EB" w:rsidP="008559EB">
      <w:pPr>
        <w:pStyle w:val="ListParagraph"/>
        <w:numPr>
          <w:ilvl w:val="0"/>
          <w:numId w:val="142"/>
        </w:numPr>
        <w:autoSpaceDE w:val="0"/>
        <w:autoSpaceDN w:val="0"/>
        <w:adjustRightInd w:val="0"/>
        <w:contextualSpacing w:val="0"/>
        <w:jc w:val="both"/>
        <w:rPr>
          <w:rFonts w:ascii="Arial" w:eastAsia="Calibri" w:hAnsi="Arial" w:cs="Arial"/>
          <w:sz w:val="22"/>
          <w:szCs w:val="22"/>
        </w:rPr>
      </w:pPr>
      <w:r w:rsidRPr="009C7202">
        <w:rPr>
          <w:rFonts w:ascii="Arial" w:eastAsia="Calibri" w:hAnsi="Arial" w:cs="Arial"/>
          <w:sz w:val="22"/>
          <w:szCs w:val="22"/>
        </w:rPr>
        <w:t>Request that the partners supporting the national HIV programme consolidate and harmonize ARV drugs and diagnostics procurement and supply management systems and pool demands for ARV drugs and diagnostics, exploring options for pooling under a common tender system.</w:t>
      </w:r>
    </w:p>
    <w:p w:rsidR="008559EB" w:rsidRPr="009C7202" w:rsidRDefault="008559EB" w:rsidP="008559EB">
      <w:pPr>
        <w:pStyle w:val="ListParagraph"/>
        <w:numPr>
          <w:ilvl w:val="0"/>
          <w:numId w:val="142"/>
        </w:numPr>
        <w:autoSpaceDE w:val="0"/>
        <w:autoSpaceDN w:val="0"/>
        <w:adjustRightInd w:val="0"/>
        <w:contextualSpacing w:val="0"/>
        <w:jc w:val="both"/>
        <w:rPr>
          <w:rFonts w:ascii="Arial" w:eastAsia="Calibri" w:hAnsi="Arial" w:cs="Arial"/>
          <w:sz w:val="22"/>
          <w:szCs w:val="22"/>
        </w:rPr>
      </w:pPr>
      <w:r w:rsidRPr="009C7202">
        <w:rPr>
          <w:rFonts w:ascii="Arial" w:eastAsia="Calibri" w:hAnsi="Arial" w:cs="Arial"/>
          <w:sz w:val="22"/>
          <w:szCs w:val="22"/>
        </w:rPr>
        <w:t>Use a publicly accessible database to facilitate access to information about prices and support competition .</w:t>
      </w:r>
    </w:p>
    <w:p w:rsidR="008559EB" w:rsidRPr="009C7202" w:rsidRDefault="008559EB" w:rsidP="008559EB">
      <w:pPr>
        <w:pStyle w:val="ListParagraph"/>
        <w:numPr>
          <w:ilvl w:val="0"/>
          <w:numId w:val="142"/>
        </w:numPr>
        <w:autoSpaceDE w:val="0"/>
        <w:autoSpaceDN w:val="0"/>
        <w:adjustRightInd w:val="0"/>
        <w:contextualSpacing w:val="0"/>
        <w:jc w:val="both"/>
        <w:rPr>
          <w:rFonts w:ascii="Arial" w:eastAsia="Calibri" w:hAnsi="Arial" w:cs="Arial"/>
          <w:sz w:val="22"/>
          <w:szCs w:val="22"/>
        </w:rPr>
      </w:pPr>
      <w:r w:rsidRPr="009C7202">
        <w:rPr>
          <w:rFonts w:ascii="Arial" w:eastAsia="Calibri" w:hAnsi="Arial" w:cs="Arial"/>
          <w:sz w:val="22"/>
          <w:szCs w:val="22"/>
        </w:rPr>
        <w:t>Follow the principles described in the United Nations interagency guidelines for donated drugs.</w:t>
      </w:r>
    </w:p>
    <w:p w:rsidR="008559EB" w:rsidRDefault="008559EB" w:rsidP="009C7202">
      <w:pPr>
        <w:pStyle w:val="Heading2"/>
        <w:spacing w:before="120" w:after="120"/>
        <w:rPr>
          <w:rFonts w:ascii="Arial Narrow" w:hAnsi="Arial Narrow"/>
          <w:sz w:val="24"/>
          <w:szCs w:val="24"/>
        </w:rPr>
      </w:pPr>
      <w:bookmarkStart w:id="1031" w:name="_Toc378258319"/>
      <w:bookmarkStart w:id="1032" w:name="_Toc374972312"/>
      <w:r>
        <w:rPr>
          <w:rFonts w:ascii="Arial Narrow" w:hAnsi="Arial Narrow"/>
          <w:sz w:val="24"/>
          <w:szCs w:val="24"/>
        </w:rPr>
        <w:t>15.3.6. Inventory Management</w:t>
      </w:r>
      <w:bookmarkEnd w:id="1031"/>
      <w:bookmarkEnd w:id="1032"/>
    </w:p>
    <w:p w:rsidR="008559EB" w:rsidRDefault="008559EB" w:rsidP="009C7202">
      <w:pPr>
        <w:pStyle w:val="Heading3"/>
        <w:spacing w:before="120" w:after="120"/>
        <w:rPr>
          <w:rFonts w:ascii="Arial Narrow" w:hAnsi="Arial Narrow"/>
          <w:sz w:val="24"/>
          <w:szCs w:val="24"/>
        </w:rPr>
      </w:pPr>
      <w:bookmarkStart w:id="1033" w:name="_Toc378258320"/>
      <w:bookmarkStart w:id="1034" w:name="_Toc374972313"/>
      <w:r>
        <w:rPr>
          <w:rFonts w:ascii="Arial Narrow" w:hAnsi="Arial Narrow"/>
          <w:sz w:val="24"/>
          <w:szCs w:val="24"/>
        </w:rPr>
        <w:t>15.3.5.1 Ordering and Receiving HIV/AIDS commodities</w:t>
      </w:r>
      <w:bookmarkEnd w:id="1033"/>
      <w:bookmarkEnd w:id="1034"/>
    </w:p>
    <w:p w:rsidR="008559EB" w:rsidRPr="009C7202" w:rsidRDefault="008559EB" w:rsidP="009C7202">
      <w:pPr>
        <w:autoSpaceDE w:val="0"/>
        <w:autoSpaceDN w:val="0"/>
        <w:adjustRightInd w:val="0"/>
        <w:spacing w:before="120" w:after="120"/>
        <w:jc w:val="both"/>
        <w:rPr>
          <w:rFonts w:ascii="Arial" w:hAnsi="Arial" w:cs="Arial"/>
        </w:rPr>
      </w:pPr>
      <w:r w:rsidRPr="009C7202">
        <w:rPr>
          <w:rFonts w:ascii="Arial" w:hAnsi="Arial" w:cs="Arial"/>
        </w:rPr>
        <w:t xml:space="preserve">Orders to the Medical Stores Department (MSD) should be timely and made well in advance to allow commodities to reach the facilities in time. The original copies of the completed and signed Report and Request (R &amp; R) form, form A2 and Lab forms should be submitted to MSD before 14th day of the first Month of the quarter after the reporting period. The R&amp;R forms must be filled completely and accurately including filling-in actual quantities of available commodities after conducting physical inventory at the end of the quarter and correctly estimating requirements for new patients to be initiated treatment </w:t>
      </w:r>
    </w:p>
    <w:p w:rsidR="008559EB" w:rsidRPr="009C7202" w:rsidRDefault="008559EB" w:rsidP="009C7202">
      <w:pPr>
        <w:autoSpaceDE w:val="0"/>
        <w:autoSpaceDN w:val="0"/>
        <w:adjustRightInd w:val="0"/>
        <w:spacing w:before="120" w:after="120"/>
        <w:jc w:val="both"/>
        <w:rPr>
          <w:rFonts w:ascii="Arial" w:hAnsi="Arial" w:cs="Arial"/>
        </w:rPr>
      </w:pPr>
      <w:r w:rsidRPr="009C7202">
        <w:rPr>
          <w:rFonts w:ascii="Arial" w:hAnsi="Arial" w:cs="Arial"/>
        </w:rPr>
        <w:t>Upon receiving of HIV/AIDS commodities at the facility, the receiving officer will ensure that the following particulars of commodities and related supplies on the Delivery note and invoice matches the delivered items in the following areas:</w:t>
      </w:r>
    </w:p>
    <w:p w:rsidR="008559EB" w:rsidRPr="009C7202" w:rsidRDefault="008559EB" w:rsidP="008559EB">
      <w:pPr>
        <w:pStyle w:val="ListParagraph"/>
        <w:numPr>
          <w:ilvl w:val="0"/>
          <w:numId w:val="142"/>
        </w:numPr>
        <w:autoSpaceDE w:val="0"/>
        <w:autoSpaceDN w:val="0"/>
        <w:adjustRightInd w:val="0"/>
        <w:contextualSpacing w:val="0"/>
        <w:jc w:val="both"/>
        <w:rPr>
          <w:rFonts w:ascii="Arial" w:eastAsia="Calibri" w:hAnsi="Arial" w:cs="Arial"/>
          <w:sz w:val="22"/>
          <w:szCs w:val="22"/>
        </w:rPr>
      </w:pPr>
      <w:r w:rsidRPr="009C7202">
        <w:rPr>
          <w:rFonts w:ascii="Arial" w:eastAsia="Calibri" w:hAnsi="Arial" w:cs="Arial"/>
          <w:sz w:val="22"/>
          <w:szCs w:val="22"/>
        </w:rPr>
        <w:t xml:space="preserve">Strength and dosage form; </w:t>
      </w:r>
    </w:p>
    <w:p w:rsidR="008559EB" w:rsidRPr="009C7202" w:rsidRDefault="008559EB" w:rsidP="008559EB">
      <w:pPr>
        <w:pStyle w:val="ListParagraph"/>
        <w:numPr>
          <w:ilvl w:val="0"/>
          <w:numId w:val="142"/>
        </w:numPr>
        <w:autoSpaceDE w:val="0"/>
        <w:autoSpaceDN w:val="0"/>
        <w:adjustRightInd w:val="0"/>
        <w:contextualSpacing w:val="0"/>
        <w:jc w:val="both"/>
        <w:rPr>
          <w:rFonts w:ascii="Arial" w:eastAsia="Calibri" w:hAnsi="Arial" w:cs="Arial"/>
          <w:sz w:val="22"/>
          <w:szCs w:val="22"/>
        </w:rPr>
      </w:pPr>
      <w:r w:rsidRPr="009C7202">
        <w:rPr>
          <w:rFonts w:ascii="Arial" w:eastAsia="Calibri" w:hAnsi="Arial" w:cs="Arial"/>
          <w:sz w:val="22"/>
          <w:szCs w:val="22"/>
        </w:rPr>
        <w:t xml:space="preserve">Pack size(s) </w:t>
      </w:r>
    </w:p>
    <w:p w:rsidR="008559EB" w:rsidRPr="009C7202" w:rsidRDefault="008559EB" w:rsidP="008559EB">
      <w:pPr>
        <w:pStyle w:val="ListParagraph"/>
        <w:numPr>
          <w:ilvl w:val="0"/>
          <w:numId w:val="142"/>
        </w:numPr>
        <w:autoSpaceDE w:val="0"/>
        <w:autoSpaceDN w:val="0"/>
        <w:adjustRightInd w:val="0"/>
        <w:contextualSpacing w:val="0"/>
        <w:jc w:val="both"/>
        <w:rPr>
          <w:rFonts w:ascii="Arial" w:eastAsia="Calibri" w:hAnsi="Arial" w:cs="Arial"/>
          <w:sz w:val="22"/>
          <w:szCs w:val="22"/>
        </w:rPr>
      </w:pPr>
      <w:r w:rsidRPr="009C7202">
        <w:rPr>
          <w:rFonts w:ascii="Arial" w:eastAsia="Calibri" w:hAnsi="Arial" w:cs="Arial"/>
          <w:sz w:val="22"/>
          <w:szCs w:val="22"/>
        </w:rPr>
        <w:t>Batch numbers</w:t>
      </w:r>
    </w:p>
    <w:p w:rsidR="008559EB" w:rsidRPr="009C7202" w:rsidRDefault="008559EB" w:rsidP="008559EB">
      <w:pPr>
        <w:pStyle w:val="ListParagraph"/>
        <w:numPr>
          <w:ilvl w:val="0"/>
          <w:numId w:val="142"/>
        </w:numPr>
        <w:autoSpaceDE w:val="0"/>
        <w:autoSpaceDN w:val="0"/>
        <w:adjustRightInd w:val="0"/>
        <w:contextualSpacing w:val="0"/>
        <w:jc w:val="both"/>
        <w:rPr>
          <w:rFonts w:ascii="Arial" w:eastAsia="Calibri" w:hAnsi="Arial" w:cs="Arial"/>
          <w:sz w:val="22"/>
          <w:szCs w:val="22"/>
        </w:rPr>
      </w:pPr>
      <w:r w:rsidRPr="009C7202">
        <w:rPr>
          <w:rFonts w:ascii="Arial" w:eastAsia="Calibri" w:hAnsi="Arial" w:cs="Arial"/>
          <w:sz w:val="22"/>
          <w:szCs w:val="22"/>
        </w:rPr>
        <w:t>Expiry dates (Remaining shelf life should at least be 8 months)</w:t>
      </w:r>
    </w:p>
    <w:p w:rsidR="008559EB" w:rsidRPr="009C7202" w:rsidRDefault="008559EB" w:rsidP="008559EB">
      <w:pPr>
        <w:pStyle w:val="ListParagraph"/>
        <w:numPr>
          <w:ilvl w:val="0"/>
          <w:numId w:val="142"/>
        </w:numPr>
        <w:autoSpaceDE w:val="0"/>
        <w:autoSpaceDN w:val="0"/>
        <w:adjustRightInd w:val="0"/>
        <w:contextualSpacing w:val="0"/>
        <w:jc w:val="both"/>
        <w:rPr>
          <w:rFonts w:ascii="Arial" w:eastAsia="Calibri" w:hAnsi="Arial" w:cs="Arial"/>
          <w:sz w:val="22"/>
          <w:szCs w:val="22"/>
        </w:rPr>
      </w:pPr>
      <w:r w:rsidRPr="009C7202">
        <w:rPr>
          <w:rFonts w:ascii="Arial" w:eastAsia="Calibri" w:hAnsi="Arial" w:cs="Arial"/>
          <w:sz w:val="22"/>
          <w:szCs w:val="22"/>
        </w:rPr>
        <w:t>Specifications</w:t>
      </w:r>
    </w:p>
    <w:p w:rsidR="008559EB" w:rsidRPr="009C7202" w:rsidRDefault="008559EB" w:rsidP="008559EB">
      <w:pPr>
        <w:pStyle w:val="ListParagraph"/>
        <w:numPr>
          <w:ilvl w:val="0"/>
          <w:numId w:val="142"/>
        </w:numPr>
        <w:autoSpaceDE w:val="0"/>
        <w:autoSpaceDN w:val="0"/>
        <w:adjustRightInd w:val="0"/>
        <w:contextualSpacing w:val="0"/>
        <w:jc w:val="both"/>
        <w:rPr>
          <w:rFonts w:ascii="Arial" w:eastAsia="Calibri" w:hAnsi="Arial" w:cs="Arial"/>
          <w:sz w:val="22"/>
          <w:szCs w:val="22"/>
        </w:rPr>
      </w:pPr>
      <w:r w:rsidRPr="009C7202">
        <w:rPr>
          <w:rFonts w:ascii="Arial" w:eastAsia="Calibri" w:hAnsi="Arial" w:cs="Arial"/>
          <w:sz w:val="22"/>
          <w:szCs w:val="22"/>
        </w:rPr>
        <w:t>Quantities delivered</w:t>
      </w:r>
    </w:p>
    <w:p w:rsidR="008559EB" w:rsidRPr="009C7202" w:rsidRDefault="008559EB" w:rsidP="008559EB">
      <w:pPr>
        <w:pStyle w:val="ListParagraph"/>
        <w:numPr>
          <w:ilvl w:val="0"/>
          <w:numId w:val="142"/>
        </w:numPr>
        <w:autoSpaceDE w:val="0"/>
        <w:autoSpaceDN w:val="0"/>
        <w:adjustRightInd w:val="0"/>
        <w:contextualSpacing w:val="0"/>
        <w:jc w:val="both"/>
        <w:rPr>
          <w:rFonts w:ascii="Arial" w:eastAsia="Calibri" w:hAnsi="Arial" w:cs="Arial"/>
          <w:sz w:val="22"/>
          <w:szCs w:val="22"/>
        </w:rPr>
      </w:pPr>
      <w:r w:rsidRPr="009C7202">
        <w:rPr>
          <w:rFonts w:ascii="Arial" w:eastAsia="Calibri" w:hAnsi="Arial" w:cs="Arial"/>
          <w:sz w:val="22"/>
          <w:szCs w:val="22"/>
        </w:rPr>
        <w:t>Condition of the commodities (Not damaged)</w:t>
      </w:r>
    </w:p>
    <w:p w:rsidR="008559EB" w:rsidRPr="009C7202" w:rsidRDefault="008559EB" w:rsidP="009C7202">
      <w:pPr>
        <w:autoSpaceDE w:val="0"/>
        <w:autoSpaceDN w:val="0"/>
        <w:adjustRightInd w:val="0"/>
        <w:spacing w:before="120" w:after="120"/>
        <w:jc w:val="both"/>
        <w:rPr>
          <w:rFonts w:ascii="Arial" w:hAnsi="Arial" w:cs="Arial"/>
        </w:rPr>
      </w:pPr>
      <w:r w:rsidRPr="009C7202">
        <w:rPr>
          <w:rFonts w:ascii="Arial" w:hAnsi="Arial" w:cs="Arial"/>
        </w:rPr>
        <w:t>After ensuring that all the areas are  satisfied, the receiving officer should  sign, stamp and date the Invoice and Delivery Note. If not satisfied with any of the above, the officer should  not receive or accept the item(s) that are in dispute; but sign against each disputed item(s), on the Delivery Note and write “item not accepted” and immediately record all discrepancies on the verification and Claims form (form 7).The completed form number 7 should be submitted accordingly i.e. to the supplier copied to  the facility for records.</w:t>
      </w:r>
    </w:p>
    <w:p w:rsidR="008559EB" w:rsidRDefault="008559EB" w:rsidP="009C7202">
      <w:pPr>
        <w:pStyle w:val="Heading3"/>
        <w:spacing w:before="120" w:after="120"/>
        <w:rPr>
          <w:rFonts w:ascii="Arial Narrow" w:hAnsi="Arial Narrow"/>
          <w:sz w:val="24"/>
          <w:szCs w:val="24"/>
        </w:rPr>
      </w:pPr>
      <w:bookmarkStart w:id="1035" w:name="_Toc378258321"/>
      <w:bookmarkStart w:id="1036" w:name="_Toc374972314"/>
      <w:r>
        <w:rPr>
          <w:rFonts w:ascii="Arial Narrow" w:hAnsi="Arial Narrow"/>
          <w:sz w:val="24"/>
          <w:szCs w:val="24"/>
        </w:rPr>
        <w:t>15.3.5.2. Storage and Distribution</w:t>
      </w:r>
      <w:bookmarkEnd w:id="1035"/>
      <w:bookmarkEnd w:id="1036"/>
    </w:p>
    <w:p w:rsidR="008559EB" w:rsidRPr="009C7202" w:rsidRDefault="008559EB" w:rsidP="009C7202">
      <w:pPr>
        <w:autoSpaceDE w:val="0"/>
        <w:autoSpaceDN w:val="0"/>
        <w:adjustRightInd w:val="0"/>
        <w:spacing w:before="120" w:after="120" w:line="240" w:lineRule="auto"/>
        <w:jc w:val="both"/>
        <w:rPr>
          <w:rFonts w:ascii="Arial" w:hAnsi="Arial" w:cs="Arial"/>
        </w:rPr>
      </w:pPr>
      <w:r w:rsidRPr="009C7202">
        <w:rPr>
          <w:rFonts w:ascii="Arial" w:hAnsi="Arial" w:cs="Arial"/>
        </w:rPr>
        <w:t>Facilities should have adequate storage space with conducive storage conditions, trained personnel and the logistics tools (store’s ledger-paper based/electronic system) to manage supplies effectively .Stock must be kept in a high security storage area with single pharmacist / pharmaceutical technician / Lab personnel (at any one time) responsible for receipts and issues.Commodities must be stored according to the first-to-expire first-out (FEFO) procedure and stock management. Accurate inventory records should be maintained and a system created to track products that enter and leave the supply system along with a running balance, and ledgers maintained for each item.</w:t>
      </w:r>
    </w:p>
    <w:p w:rsidR="008559EB" w:rsidRPr="009C7202" w:rsidRDefault="008559EB" w:rsidP="009C7202">
      <w:pPr>
        <w:autoSpaceDE w:val="0"/>
        <w:autoSpaceDN w:val="0"/>
        <w:adjustRightInd w:val="0"/>
        <w:spacing w:before="120" w:after="120" w:line="240" w:lineRule="auto"/>
        <w:jc w:val="both"/>
        <w:rPr>
          <w:rFonts w:ascii="Arial" w:hAnsi="Arial" w:cs="Arial"/>
        </w:rPr>
      </w:pPr>
      <w:r w:rsidRPr="009C7202">
        <w:rPr>
          <w:rFonts w:ascii="Arial" w:hAnsi="Arial" w:cs="Arial"/>
        </w:rPr>
        <w:t>At the end of each Month, physical inventory shall be conducted and the available stock shall be checked against the stock records. The information from the physical inventory report must be entered to store Ledger/bin cards-paper based and Pharmacy database. Stocks that have short shelf life that can’t be used before their expiry dates shall be redistributed accordingly to facilities in need using a redistribution form.</w:t>
      </w:r>
    </w:p>
    <w:p w:rsidR="008559EB" w:rsidRPr="009C7202" w:rsidRDefault="008559EB" w:rsidP="009C7202">
      <w:pPr>
        <w:autoSpaceDE w:val="0"/>
        <w:autoSpaceDN w:val="0"/>
        <w:adjustRightInd w:val="0"/>
        <w:spacing w:before="120" w:after="120" w:line="240" w:lineRule="auto"/>
        <w:jc w:val="both"/>
        <w:rPr>
          <w:rFonts w:ascii="Arial" w:hAnsi="Arial" w:cs="Arial"/>
        </w:rPr>
      </w:pPr>
      <w:r w:rsidRPr="009C7202">
        <w:rPr>
          <w:rFonts w:ascii="Arial" w:hAnsi="Arial" w:cs="Arial"/>
        </w:rPr>
        <w:t xml:space="preserve">Damaged and expired commodities should be immediately separated from usable ones in the inventory and disposed using the laid out procedures. Adequate stock levels of Max-Min of 6/3 (For ordering site) and 2/1 (non-ordering site) Months of stock for each item for all required commodities shall be maintained at all times. If the stock level for a particular item is falling below the emergency order point (1.5 months of stock for ordering sites and 2 weeks stock level for non ordering sites) , an emergency order shall be made to bring the stock to maximum level even if it is before the end of the review period (end of quarter or month for ordering and non ordering sites respectively). </w:t>
      </w:r>
    </w:p>
    <w:p w:rsidR="008559EB" w:rsidRDefault="008559EB" w:rsidP="009C7202">
      <w:pPr>
        <w:pStyle w:val="Heading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Arial Narrow" w:hAnsi="Arial Narrow"/>
          <w:sz w:val="24"/>
          <w:szCs w:val="24"/>
        </w:rPr>
      </w:pPr>
      <w:bookmarkStart w:id="1037" w:name="_Toc378258322"/>
      <w:bookmarkStart w:id="1038" w:name="_Toc374972315"/>
      <w:r>
        <w:rPr>
          <w:rFonts w:ascii="Arial Narrow" w:hAnsi="Arial Narrow"/>
          <w:sz w:val="24"/>
          <w:szCs w:val="24"/>
        </w:rPr>
        <w:t>15.3.5.3. Record keeping</w:t>
      </w:r>
      <w:bookmarkEnd w:id="1037"/>
      <w:bookmarkEnd w:id="1038"/>
    </w:p>
    <w:p w:rsidR="008559EB" w:rsidRPr="009C7202" w:rsidRDefault="008559EB" w:rsidP="009C7202">
      <w:pPr>
        <w:autoSpaceDE w:val="0"/>
        <w:autoSpaceDN w:val="0"/>
        <w:adjustRightInd w:val="0"/>
        <w:spacing w:before="120" w:after="120" w:line="240" w:lineRule="auto"/>
        <w:jc w:val="both"/>
        <w:rPr>
          <w:rFonts w:ascii="Arial" w:hAnsi="Arial" w:cs="Arial"/>
        </w:rPr>
      </w:pPr>
      <w:r w:rsidRPr="009C7202">
        <w:rPr>
          <w:rFonts w:ascii="Arial" w:hAnsi="Arial" w:cs="Arial"/>
        </w:rPr>
        <w:t>In order to facilitate efficient administration and management of ARVs, all inform</w:t>
      </w:r>
      <w:r>
        <w:rPr>
          <w:rFonts w:ascii="Arial" w:hAnsi="Arial" w:cs="Arial"/>
        </w:rPr>
        <w:t xml:space="preserve">ation regarding ARV dispensing </w:t>
      </w:r>
      <w:r w:rsidRPr="009C7202">
        <w:rPr>
          <w:rFonts w:ascii="Arial" w:hAnsi="Arial" w:cs="Arial"/>
        </w:rPr>
        <w:t>should be recorded in a dedicated register book (Dispensing registers/ or in the pharmacy database-module) and ART patient card. At the store, all HIV commodity transactions should be recorder in the paper based ledger or in the Pharmacy Module data base.</w:t>
      </w:r>
    </w:p>
    <w:p w:rsidR="008559EB" w:rsidRPr="009C7202" w:rsidRDefault="008559EB" w:rsidP="009C7202">
      <w:pPr>
        <w:autoSpaceDE w:val="0"/>
        <w:autoSpaceDN w:val="0"/>
        <w:adjustRightInd w:val="0"/>
        <w:spacing w:before="120" w:after="120" w:line="240" w:lineRule="auto"/>
        <w:jc w:val="both"/>
        <w:rPr>
          <w:rFonts w:ascii="Arial" w:hAnsi="Arial" w:cs="Arial"/>
        </w:rPr>
      </w:pPr>
      <w:r w:rsidRPr="009C7202">
        <w:rPr>
          <w:rFonts w:ascii="Arial" w:hAnsi="Arial" w:cs="Arial"/>
        </w:rPr>
        <w:t>The Pharmacist/Dispenser should record and sign all the dispensed ARVs in the dedicated register book located in the dispensing unit at the pharmacy. In the facilities where pharmacy module/database (electronic database) is available, then patient’s information and their medication prescribed should be recorded. Reports on medicines consumption and stocks of medicines should be kept and tracked by facilities for facilities to understand their requirements. In quarterly basis, these reports should be sent to the Ministry of Health and Social Welfare through the DMO for program monitoring and forecasting.</w:t>
      </w:r>
    </w:p>
    <w:p w:rsidR="008559EB" w:rsidRDefault="008559EB" w:rsidP="009C7202">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Arial Narrow" w:hAnsi="Arial Narrow"/>
          <w:sz w:val="24"/>
          <w:szCs w:val="24"/>
        </w:rPr>
      </w:pPr>
    </w:p>
    <w:p w:rsidR="008559EB" w:rsidRDefault="008559EB" w:rsidP="009C7202">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Arial Narrow" w:hAnsi="Arial Narrow"/>
          <w:sz w:val="24"/>
          <w:szCs w:val="24"/>
        </w:rPr>
      </w:pPr>
      <w:bookmarkStart w:id="1039" w:name="_Toc378258323"/>
      <w:bookmarkStart w:id="1040" w:name="_Toc374972316"/>
      <w:r>
        <w:rPr>
          <w:rFonts w:ascii="Arial Narrow" w:hAnsi="Arial Narrow"/>
          <w:sz w:val="24"/>
          <w:szCs w:val="24"/>
        </w:rPr>
        <w:t>15.3.6. Logistics Management Information System (LMIS)</w:t>
      </w:r>
      <w:bookmarkEnd w:id="1039"/>
      <w:bookmarkEnd w:id="1040"/>
    </w:p>
    <w:p w:rsidR="008559EB" w:rsidRPr="009C7202" w:rsidRDefault="008559EB" w:rsidP="009C7202">
      <w:pPr>
        <w:autoSpaceDE w:val="0"/>
        <w:autoSpaceDN w:val="0"/>
        <w:adjustRightInd w:val="0"/>
        <w:spacing w:before="120" w:after="120" w:line="240" w:lineRule="auto"/>
        <w:jc w:val="both"/>
        <w:rPr>
          <w:rFonts w:ascii="Arial" w:hAnsi="Arial" w:cs="Arial"/>
        </w:rPr>
      </w:pPr>
      <w:r w:rsidRPr="009C7202">
        <w:rPr>
          <w:rFonts w:ascii="Arial" w:hAnsi="Arial" w:cs="Arial"/>
        </w:rPr>
        <w:t>A logistics management information system (LMIS) collects, processes, and reports supply chain information. A well-functioning LMIS provides decision makers throughout a supply chain with accurate, timely, and appropriate data. The LMIS can be manual (paper-based), or electronic (pharmacy data base).There are three essential LMIS data which are;</w:t>
      </w:r>
    </w:p>
    <w:p w:rsidR="008559EB" w:rsidRPr="009C7202" w:rsidRDefault="008559EB" w:rsidP="008559EB">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val="0"/>
        <w:jc w:val="both"/>
        <w:rPr>
          <w:rFonts w:ascii="Arial" w:hAnsi="Arial" w:cs="Arial"/>
          <w:iCs/>
          <w:sz w:val="22"/>
          <w:szCs w:val="22"/>
        </w:rPr>
      </w:pPr>
      <w:r w:rsidRPr="009C7202">
        <w:rPr>
          <w:rFonts w:ascii="Arial" w:hAnsi="Arial" w:cs="Arial"/>
          <w:iCs/>
          <w:sz w:val="22"/>
          <w:szCs w:val="22"/>
        </w:rPr>
        <w:t>Stock on hand</w:t>
      </w:r>
    </w:p>
    <w:p w:rsidR="008559EB" w:rsidRPr="009C7202" w:rsidRDefault="008559EB" w:rsidP="008559EB">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val="0"/>
        <w:jc w:val="both"/>
        <w:rPr>
          <w:rFonts w:ascii="Arial" w:hAnsi="Arial" w:cs="Arial"/>
          <w:iCs/>
          <w:sz w:val="22"/>
          <w:szCs w:val="22"/>
        </w:rPr>
      </w:pPr>
      <w:r w:rsidRPr="009C7202">
        <w:rPr>
          <w:rFonts w:ascii="Arial" w:hAnsi="Arial" w:cs="Arial"/>
          <w:iCs/>
          <w:sz w:val="22"/>
          <w:szCs w:val="22"/>
        </w:rPr>
        <w:t>Losses and adjustment</w:t>
      </w:r>
    </w:p>
    <w:p w:rsidR="008559EB" w:rsidRPr="009C7202" w:rsidRDefault="008559EB" w:rsidP="008559EB">
      <w:pPr>
        <w:pStyle w:val="ListParagraph"/>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contextualSpacing w:val="0"/>
        <w:jc w:val="both"/>
        <w:rPr>
          <w:rFonts w:ascii="Arial" w:hAnsi="Arial" w:cs="Arial"/>
          <w:iCs/>
          <w:sz w:val="22"/>
          <w:szCs w:val="22"/>
        </w:rPr>
      </w:pPr>
      <w:r w:rsidRPr="009C7202">
        <w:rPr>
          <w:rFonts w:ascii="Arial" w:hAnsi="Arial" w:cs="Arial"/>
          <w:iCs/>
          <w:sz w:val="22"/>
          <w:szCs w:val="22"/>
        </w:rPr>
        <w:t>Consumption data</w:t>
      </w:r>
    </w:p>
    <w:p w:rsidR="008559EB" w:rsidRPr="009C7202" w:rsidRDefault="008559EB" w:rsidP="009C7202">
      <w:pPr>
        <w:autoSpaceDE w:val="0"/>
        <w:autoSpaceDN w:val="0"/>
        <w:adjustRightInd w:val="0"/>
        <w:spacing w:before="120" w:after="120" w:line="240" w:lineRule="auto"/>
        <w:jc w:val="both"/>
        <w:rPr>
          <w:rFonts w:ascii="Arial" w:hAnsi="Arial" w:cs="Arial"/>
        </w:rPr>
      </w:pPr>
      <w:r w:rsidRPr="009C7202">
        <w:rPr>
          <w:rFonts w:ascii="Arial" w:hAnsi="Arial" w:cs="Arial"/>
        </w:rPr>
        <w:t xml:space="preserve">Close monitoring of the consumption/usage data and stock levels of HIV and AIDS commodities is important for supplying the correct quantity of quality medicines, for responding to changes in demand, for managing increased volumes of commodities, and for minimizing pilferage and misuse.  </w:t>
      </w:r>
    </w:p>
    <w:p w:rsidR="008559EB" w:rsidRDefault="008559EB" w:rsidP="009C7202">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Arial Narrow" w:hAnsi="Arial Narrow"/>
          <w:sz w:val="24"/>
          <w:szCs w:val="24"/>
        </w:rPr>
      </w:pPr>
      <w:r>
        <w:rPr>
          <w:rFonts w:ascii="Arial Narrow" w:hAnsi="Arial Narrow"/>
          <w:sz w:val="24"/>
          <w:szCs w:val="24"/>
        </w:rPr>
        <w:t>15.3.7. Supply Chain Monitoring</w:t>
      </w:r>
    </w:p>
    <w:p w:rsidR="008559EB" w:rsidRPr="009C7202" w:rsidRDefault="008559EB" w:rsidP="009C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40" w:lineRule="auto"/>
        <w:jc w:val="both"/>
        <w:rPr>
          <w:rFonts w:ascii="Arial" w:eastAsia="Times New Roman" w:hAnsi="Arial" w:cs="Arial"/>
          <w:iCs/>
        </w:rPr>
      </w:pPr>
      <w:r w:rsidRPr="009C7202">
        <w:rPr>
          <w:rFonts w:ascii="Arial" w:hAnsi="Arial" w:cs="Arial"/>
        </w:rPr>
        <w:t>Monitoring and evaluation is a cross-cutting function that is needed for all programs and functions to ensure commodity security. National programs and their constituent functions must be capable of measuring progress and outcomes if they are to ensure that targets are being met and to determine the corrective actions to be taken.</w:t>
      </w:r>
    </w:p>
    <w:p w:rsidR="008559EB" w:rsidRPr="009C7202" w:rsidRDefault="008559EB" w:rsidP="009C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40" w:lineRule="auto"/>
        <w:jc w:val="both"/>
        <w:rPr>
          <w:rFonts w:ascii="Arial" w:hAnsi="Arial" w:cs="Arial"/>
        </w:rPr>
      </w:pPr>
      <w:r w:rsidRPr="009C7202">
        <w:rPr>
          <w:rFonts w:ascii="Arial" w:hAnsi="Arial" w:cs="Arial"/>
          <w:iCs/>
        </w:rPr>
        <w:t>M &amp; E of logistics activities should be done regularly to assess progress, identify and solve problems. This will ensure:</w:t>
      </w:r>
    </w:p>
    <w:p w:rsidR="008559EB" w:rsidRPr="009C7202" w:rsidRDefault="008559EB" w:rsidP="008559EB">
      <w:pPr>
        <w:widowControl/>
        <w:numPr>
          <w:ilvl w:val="1"/>
          <w:numId w:val="143"/>
        </w:numPr>
        <w:autoSpaceDE w:val="0"/>
        <w:autoSpaceDN w:val="0"/>
        <w:adjustRightInd w:val="0"/>
        <w:spacing w:after="0" w:line="240" w:lineRule="auto"/>
        <w:jc w:val="both"/>
        <w:rPr>
          <w:rFonts w:ascii="Arial" w:hAnsi="Arial" w:cs="Arial"/>
          <w:iCs/>
        </w:rPr>
      </w:pPr>
      <w:r w:rsidRPr="009C7202">
        <w:rPr>
          <w:rFonts w:ascii="Arial" w:hAnsi="Arial" w:cs="Arial"/>
          <w:iCs/>
        </w:rPr>
        <w:t>Availability of commodities and  quality of service provided to patients</w:t>
      </w:r>
    </w:p>
    <w:p w:rsidR="008559EB" w:rsidRPr="009C7202" w:rsidRDefault="008559EB" w:rsidP="008559EB">
      <w:pPr>
        <w:widowControl/>
        <w:numPr>
          <w:ilvl w:val="1"/>
          <w:numId w:val="143"/>
        </w:numPr>
        <w:autoSpaceDE w:val="0"/>
        <w:autoSpaceDN w:val="0"/>
        <w:adjustRightInd w:val="0"/>
        <w:spacing w:after="0" w:line="240" w:lineRule="auto"/>
        <w:jc w:val="both"/>
        <w:rPr>
          <w:rFonts w:ascii="Arial" w:hAnsi="Arial" w:cs="Arial"/>
          <w:iCs/>
        </w:rPr>
      </w:pPr>
      <w:r w:rsidRPr="009C7202">
        <w:rPr>
          <w:rFonts w:ascii="Arial" w:hAnsi="Arial" w:cs="Arial"/>
          <w:iCs/>
          <w:lang w:val="en-GB"/>
        </w:rPr>
        <w:t>Planned logistics activities are carried out according to schedule</w:t>
      </w:r>
    </w:p>
    <w:p w:rsidR="008559EB" w:rsidRPr="009C7202" w:rsidRDefault="008559EB" w:rsidP="008559EB">
      <w:pPr>
        <w:widowControl/>
        <w:numPr>
          <w:ilvl w:val="1"/>
          <w:numId w:val="143"/>
        </w:numPr>
        <w:autoSpaceDE w:val="0"/>
        <w:autoSpaceDN w:val="0"/>
        <w:adjustRightInd w:val="0"/>
        <w:spacing w:after="0" w:line="240" w:lineRule="auto"/>
        <w:jc w:val="both"/>
        <w:rPr>
          <w:rFonts w:ascii="Arial" w:hAnsi="Arial" w:cs="Arial"/>
          <w:iCs/>
          <w:lang w:val="af-ZA"/>
        </w:rPr>
      </w:pPr>
      <w:r w:rsidRPr="009C7202">
        <w:rPr>
          <w:rFonts w:ascii="Arial" w:hAnsi="Arial" w:cs="Arial"/>
          <w:iCs/>
        </w:rPr>
        <w:t xml:space="preserve">Proper </w:t>
      </w:r>
      <w:r w:rsidRPr="009C7202">
        <w:rPr>
          <w:rFonts w:ascii="Arial" w:hAnsi="Arial" w:cs="Arial"/>
          <w:iCs/>
          <w:lang w:val="en-GB"/>
        </w:rPr>
        <w:t>recordkeeping &amp; Logistics reports/data collection, analysis and reporting in timely manner for decision making &amp; planning</w:t>
      </w:r>
    </w:p>
    <w:p w:rsidR="008559EB" w:rsidRPr="009C7202" w:rsidRDefault="008559EB" w:rsidP="009C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40" w:lineRule="auto"/>
        <w:jc w:val="both"/>
        <w:rPr>
          <w:rFonts w:ascii="Arial" w:hAnsi="Arial" w:cs="Arial"/>
          <w:iCs/>
        </w:rPr>
      </w:pPr>
      <w:r w:rsidRPr="009C7202">
        <w:rPr>
          <w:rFonts w:ascii="Arial" w:hAnsi="Arial" w:cs="Arial"/>
          <w:iCs/>
          <w:lang w:val="en-GB"/>
        </w:rPr>
        <w:t>Supply chain monitoring is mostly done through Regular supportive supervision. On The Job Training and Mentoring then follows to Health Facilities observed with problems in some areas of logistics activities.</w:t>
      </w:r>
    </w:p>
    <w:p w:rsidR="008559EB" w:rsidRPr="009C7202" w:rsidRDefault="008559EB" w:rsidP="009C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line="240" w:lineRule="auto"/>
        <w:ind w:left="1440"/>
        <w:jc w:val="both"/>
        <w:rPr>
          <w:rFonts w:ascii="Arial" w:hAnsi="Arial" w:cs="Arial"/>
          <w:iCs/>
        </w:rPr>
      </w:pPr>
    </w:p>
    <w:p w:rsidR="008559EB" w:rsidRPr="009C7202" w:rsidRDefault="008559EB" w:rsidP="009C720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left="0"/>
        <w:jc w:val="both"/>
        <w:rPr>
          <w:rFonts w:ascii="Arial" w:hAnsi="Arial" w:cs="Arial"/>
          <w:sz w:val="22"/>
          <w:szCs w:val="22"/>
        </w:rPr>
      </w:pPr>
      <w:r w:rsidRPr="009C7202">
        <w:rPr>
          <w:rFonts w:ascii="Arial" w:hAnsi="Arial" w:cs="Arial"/>
          <w:sz w:val="22"/>
          <w:szCs w:val="22"/>
        </w:rPr>
        <w:t>Procurement, storage, distribution and dispensing procedures and records and stock on  hand will be subject to internal and external audit. Given the cost and complexities of handling ARVs, frequent auditing is anticipated.</w:t>
      </w:r>
    </w:p>
    <w:p w:rsidR="008559EB" w:rsidRDefault="008559EB" w:rsidP="009C7202">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Arial Narrow" w:hAnsi="Arial Narrow"/>
          <w:sz w:val="24"/>
          <w:szCs w:val="24"/>
        </w:rPr>
      </w:pPr>
      <w:bookmarkStart w:id="1041" w:name="_Toc378258324"/>
      <w:bookmarkStart w:id="1042" w:name="_Toc374972317"/>
      <w:r>
        <w:rPr>
          <w:rFonts w:ascii="Arial Narrow" w:hAnsi="Arial Narrow"/>
          <w:sz w:val="24"/>
          <w:szCs w:val="24"/>
        </w:rPr>
        <w:t>15.4. Pharmacovigilence</w:t>
      </w:r>
      <w:bookmarkEnd w:id="1041"/>
      <w:bookmarkEnd w:id="1042"/>
    </w:p>
    <w:p w:rsidR="008559EB" w:rsidRPr="009C7202" w:rsidRDefault="008559EB" w:rsidP="009C7202">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left="0"/>
        <w:jc w:val="both"/>
        <w:rPr>
          <w:rFonts w:ascii="Arial" w:hAnsi="Arial" w:cs="Arial"/>
          <w:sz w:val="22"/>
          <w:szCs w:val="22"/>
        </w:rPr>
      </w:pPr>
      <w:r w:rsidRPr="009C7202">
        <w:rPr>
          <w:rFonts w:ascii="Arial" w:hAnsi="Arial" w:cs="Arial"/>
          <w:sz w:val="22"/>
          <w:szCs w:val="22"/>
        </w:rPr>
        <w:t>Monitoring and reporting of adverse drug events should be done according to the Tanzania Food and Drug Authority (TFDA) guidelines. Adverse drug reactions reporting forms (yellow forms) will be distributed to facilities that have been certified to deliver ART. It is important the health facilities record the adverse drug reactions and report the information to TFDA. Furthermore, Facilities are encouraged to use the information to monitor patients and switch regimens where necessary e.g Patients experiencing drug induced anaemia should be switched to TDF based regimens and those experiencing NVP induced severe rash should be switched to EFV.</w:t>
      </w:r>
    </w:p>
    <w:p w:rsidR="008559EB" w:rsidRDefault="008559EB" w:rsidP="009C7202">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Arial Narrow" w:hAnsi="Arial Narrow"/>
          <w:sz w:val="24"/>
          <w:szCs w:val="24"/>
        </w:rPr>
      </w:pPr>
      <w:bookmarkStart w:id="1043" w:name="_Toc378258326"/>
      <w:bookmarkStart w:id="1044" w:name="_Toc374972319"/>
      <w:r>
        <w:rPr>
          <w:rFonts w:ascii="Arial Narrow" w:hAnsi="Arial Narrow"/>
          <w:sz w:val="24"/>
          <w:szCs w:val="24"/>
        </w:rPr>
        <w:t>15.5. Collaborating with Clinical Staff</w:t>
      </w:r>
      <w:bookmarkEnd w:id="1043"/>
      <w:bookmarkEnd w:id="1044"/>
    </w:p>
    <w:p w:rsidR="008559EB" w:rsidRPr="00B708D7" w:rsidRDefault="008559EB" w:rsidP="00B708D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left="0"/>
        <w:contextualSpacing w:val="0"/>
        <w:jc w:val="both"/>
        <w:rPr>
          <w:rFonts w:ascii="Arial" w:hAnsi="Arial" w:cs="Arial"/>
          <w:sz w:val="22"/>
          <w:szCs w:val="22"/>
        </w:rPr>
      </w:pPr>
      <w:r w:rsidRPr="00B708D7">
        <w:rPr>
          <w:rFonts w:ascii="Arial" w:hAnsi="Arial" w:cs="Arial"/>
          <w:sz w:val="22"/>
          <w:szCs w:val="22"/>
        </w:rPr>
        <w:t xml:space="preserve">The pharmacist shall  work closely with clinical staff to ensure appropriate prescribing especially on doses and appropriate ARV combinations. Good collaboration will ensure correct estimates of the number of new patients to be initiated treatment for proper ordering of their medicines. </w:t>
      </w:r>
    </w:p>
    <w:p w:rsidR="008559EB" w:rsidRPr="00B708D7" w:rsidRDefault="008559EB" w:rsidP="00B708D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120"/>
        <w:ind w:left="0"/>
        <w:contextualSpacing w:val="0"/>
        <w:jc w:val="both"/>
        <w:rPr>
          <w:rFonts w:ascii="Arial" w:hAnsi="Arial" w:cs="Arial"/>
          <w:sz w:val="22"/>
          <w:szCs w:val="22"/>
        </w:rPr>
      </w:pPr>
      <w:r w:rsidRPr="00B708D7">
        <w:rPr>
          <w:rFonts w:ascii="Arial" w:hAnsi="Arial" w:cs="Arial"/>
          <w:sz w:val="22"/>
          <w:szCs w:val="22"/>
        </w:rPr>
        <w:t xml:space="preserve">The pharmacist also needs to keep clinical staff informed of the current stock levels of ARVs, particularly of items nearing stock-out and those in excess and at risk of expiry. In the event of nation-wide supply shortage, the pharmacist should communicate this information to clinical staff so that they can pursue the best course of action. In addition to logistics related collaborative activities, the pharmacist is expected to keep abreast of new information and changes in Arv regimens and act as a resource to clinicians and other health care workers in advicing on possible drug related side effects, changes in formulations or regimens and informing clinicians on available formulations and drug combinations. </w:t>
      </w:r>
    </w:p>
    <w:p w:rsidR="008559EB" w:rsidRDefault="008559EB"/>
    <w:p w:rsidR="008559EB" w:rsidRDefault="008559EB" w:rsidP="0071027C">
      <w:pPr>
        <w:pStyle w:val="Heading1"/>
      </w:pPr>
    </w:p>
    <w:p w:rsidR="008559EB" w:rsidRDefault="008559EB" w:rsidP="0071027C">
      <w:pPr>
        <w:pStyle w:val="Heading1"/>
        <w:sectPr w:rsidR="008559EB" w:rsidSect="00FF2CD0">
          <w:pgSz w:w="12240" w:h="15840"/>
          <w:pgMar w:top="1440" w:right="1440" w:bottom="1440" w:left="1440" w:header="720" w:footer="720" w:gutter="0"/>
          <w:cols w:space="720"/>
          <w:docGrid w:linePitch="360"/>
        </w:sectPr>
      </w:pPr>
    </w:p>
    <w:p w:rsidR="0071027C" w:rsidRPr="00AB4C94" w:rsidRDefault="0071027C" w:rsidP="0071027C">
      <w:pPr>
        <w:pStyle w:val="Heading1"/>
      </w:pPr>
      <w:r w:rsidRPr="00AB4C94">
        <w:t>CHAPTER 16: MONITORING AND EVALUATION</w:t>
      </w:r>
      <w:bookmarkEnd w:id="1010"/>
      <w:bookmarkEnd w:id="1011"/>
      <w:r w:rsidRPr="00AB4C94">
        <w:t xml:space="preserve"> </w:t>
      </w:r>
    </w:p>
    <w:p w:rsidR="0071027C" w:rsidRPr="008E5752" w:rsidRDefault="0071027C" w:rsidP="0071027C">
      <w:pPr>
        <w:pStyle w:val="Heading2"/>
      </w:pPr>
      <w:bookmarkStart w:id="1045" w:name="_Toc374015645"/>
      <w:bookmarkStart w:id="1046" w:name="_Toc382214169"/>
      <w:r w:rsidRPr="008E5752">
        <w:t>16.1 Introduction</w:t>
      </w:r>
      <w:bookmarkEnd w:id="1045"/>
      <w:bookmarkEnd w:id="1046"/>
      <w:r w:rsidRPr="008E5752">
        <w:t xml:space="preserve"> </w:t>
      </w:r>
    </w:p>
    <w:p w:rsidR="0071027C" w:rsidRPr="008E5752" w:rsidRDefault="0071027C" w:rsidP="0071027C">
      <w:pPr>
        <w:spacing w:before="120" w:after="120" w:line="240" w:lineRule="auto"/>
        <w:jc w:val="both"/>
        <w:rPr>
          <w:rFonts w:ascii="Arial" w:hAnsi="Arial" w:cs="Arial"/>
        </w:rPr>
      </w:pPr>
      <w:r w:rsidRPr="008E5752">
        <w:rPr>
          <w:rFonts w:ascii="Arial" w:hAnsi="Arial" w:cs="Arial"/>
        </w:rPr>
        <w:t>Monitoring is r</w:t>
      </w:r>
      <w:r w:rsidRPr="008E5752">
        <w:rPr>
          <w:rFonts w:ascii="Arial" w:hAnsi="Arial" w:cs="Arial"/>
          <w:iCs/>
        </w:rPr>
        <w:t>outine follow-up of HIV/AIDS program interventions through</w:t>
      </w:r>
      <w:r w:rsidRPr="008E5752">
        <w:rPr>
          <w:rFonts w:ascii="Arial" w:hAnsi="Arial" w:cs="Arial"/>
        </w:rPr>
        <w:t xml:space="preserve"> collecting, analyzing, and reporting of data</w:t>
      </w:r>
      <w:r w:rsidRPr="008E5752">
        <w:rPr>
          <w:rFonts w:ascii="Arial" w:hAnsi="Arial" w:cs="Arial"/>
          <w:color w:val="000000"/>
        </w:rPr>
        <w:t xml:space="preserve"> to track progress against set plans. Monitoring helps to identify trends and patterns, adapt strategies and inform decisions for programme management</w:t>
      </w:r>
      <w:r w:rsidRPr="008E5752">
        <w:rPr>
          <w:rFonts w:ascii="Arial" w:hAnsi="Arial" w:cs="Arial"/>
        </w:rPr>
        <w:t xml:space="preserve">. Evaluation, on the other hand, deals with </w:t>
      </w:r>
      <w:r w:rsidRPr="008E5752">
        <w:rPr>
          <w:rFonts w:ascii="Arial" w:hAnsi="Arial" w:cs="Arial"/>
          <w:color w:val="000000"/>
        </w:rPr>
        <w:t xml:space="preserve">assessment of an ongoing or completed project, programme or policy, its design, implementation and results. </w:t>
      </w:r>
      <w:r w:rsidRPr="008E5752">
        <w:rPr>
          <w:rFonts w:ascii="Arial" w:hAnsi="Arial" w:cs="Arial"/>
        </w:rPr>
        <w:t xml:space="preserve"> </w:t>
      </w:r>
      <w:r w:rsidRPr="008E5752">
        <w:rPr>
          <w:rFonts w:ascii="Arial" w:hAnsi="Arial" w:cs="Arial"/>
          <w:color w:val="000000"/>
        </w:rPr>
        <w:t>The aim of Evaluating HIV/AIDS programs is to determine the relevance and fulfillment of objectives, developmental efficiency, effectiveness, impact and sustainability.</w:t>
      </w:r>
      <w:r w:rsidRPr="008E5752">
        <w:rPr>
          <w:rFonts w:ascii="Arial" w:hAnsi="Arial" w:cs="Arial"/>
        </w:rPr>
        <w:t xml:space="preserve"> A set of indicators and milestones have been identified to help track changes in HIV/AIDS control in Tanzania. Monitoring and evaluation generates information needed for decision-making at different levels of care and management. </w:t>
      </w:r>
    </w:p>
    <w:p w:rsidR="0071027C" w:rsidRPr="008E5752" w:rsidRDefault="0071027C" w:rsidP="0071027C">
      <w:pPr>
        <w:pStyle w:val="Heading2"/>
      </w:pPr>
      <w:bookmarkStart w:id="1047" w:name="_Toc358139913"/>
      <w:bookmarkStart w:id="1048" w:name="_Toc374015646"/>
      <w:bookmarkStart w:id="1049" w:name="_Toc382214170"/>
      <w:r w:rsidRPr="008E5752">
        <w:t xml:space="preserve">16.2 </w:t>
      </w:r>
      <w:bookmarkStart w:id="1050" w:name="_Toc355905136"/>
      <w:r w:rsidRPr="008E5752">
        <w:t>Key components of monitoring and evaluation</w:t>
      </w:r>
      <w:bookmarkEnd w:id="1047"/>
      <w:bookmarkEnd w:id="1048"/>
      <w:bookmarkEnd w:id="1049"/>
      <w:bookmarkEnd w:id="1050"/>
      <w:r w:rsidRPr="008E5752">
        <w:t xml:space="preserve"> </w:t>
      </w:r>
    </w:p>
    <w:p w:rsidR="0071027C" w:rsidRPr="008E5752" w:rsidRDefault="0071027C" w:rsidP="0071027C">
      <w:pPr>
        <w:pStyle w:val="Heading3"/>
      </w:pPr>
      <w:bookmarkStart w:id="1051" w:name="_Toc374015647"/>
      <w:bookmarkStart w:id="1052" w:name="_Toc382214171"/>
      <w:bookmarkStart w:id="1053" w:name="_Toc358139914"/>
      <w:r w:rsidRPr="008E5752">
        <w:t>16.2.1 Recording</w:t>
      </w:r>
      <w:bookmarkEnd w:id="1051"/>
      <w:bookmarkEnd w:id="1052"/>
      <w:r w:rsidRPr="008E5752">
        <w:t xml:space="preserve"> </w:t>
      </w:r>
      <w:bookmarkEnd w:id="1053"/>
    </w:p>
    <w:p w:rsidR="0071027C" w:rsidRPr="008E5752" w:rsidRDefault="0071027C" w:rsidP="0071027C">
      <w:pPr>
        <w:pStyle w:val="ListParagraph"/>
        <w:spacing w:before="120" w:after="120"/>
        <w:ind w:left="0"/>
        <w:jc w:val="both"/>
        <w:rPr>
          <w:rFonts w:ascii="Arial" w:hAnsi="Arial" w:cs="Arial"/>
          <w:color w:val="000000"/>
        </w:rPr>
      </w:pPr>
      <w:r w:rsidRPr="008E5752">
        <w:rPr>
          <w:rFonts w:ascii="Arial" w:hAnsi="Arial" w:cs="Arial"/>
          <w:color w:val="000000"/>
        </w:rPr>
        <w:t xml:space="preserve">Data collection on HIV/AIDS interventions is done by health workers and community workers at the health facility and community levels using standardized tools coordinated by DACCs and RACCs. Reporting is done from the facility level to district and higher levels through standardized forms on a quarterly basis. The national level through the NACP compiles </w:t>
      </w:r>
      <w:r w:rsidRPr="008E5752">
        <w:rPr>
          <w:rFonts w:ascii="Arial" w:hAnsi="Arial" w:cs="Arial"/>
          <w:color w:val="000000"/>
          <w:u w:val="single"/>
        </w:rPr>
        <w:t>facility/district</w:t>
      </w:r>
      <w:r w:rsidRPr="008E5752">
        <w:rPr>
          <w:rFonts w:ascii="Arial" w:hAnsi="Arial" w:cs="Arial"/>
          <w:color w:val="000000"/>
        </w:rPr>
        <w:t xml:space="preserve"> data, which are then reported to other stakeholders within and outside the country.</w:t>
      </w:r>
    </w:p>
    <w:p w:rsidR="0071027C" w:rsidRPr="008E5752" w:rsidRDefault="0071027C" w:rsidP="0071027C">
      <w:pPr>
        <w:spacing w:before="120" w:after="120" w:line="240" w:lineRule="auto"/>
        <w:jc w:val="both"/>
        <w:rPr>
          <w:rFonts w:ascii="Arial" w:hAnsi="Arial" w:cs="Arial"/>
        </w:rPr>
      </w:pPr>
      <w:r w:rsidRPr="008E5752">
        <w:rPr>
          <w:rFonts w:ascii="Arial" w:hAnsi="Arial" w:cs="Arial"/>
        </w:rPr>
        <w:t>Patient Identification Card (CTC 1), Patient Record Form (CTC 2), Registers (pre-ART ART and cohort), Reporting Forms (for Cross-sectional and Cohort analysis) and referral form have been designed for the purpose of patient identification, patient monitoring and programme monitoring respectively. In addition, an appointment book to facilitate booking appointments and follow-up on lost patients is also included in the patient monitoring system.</w:t>
      </w:r>
    </w:p>
    <w:p w:rsidR="0071027C" w:rsidRPr="008E5752" w:rsidRDefault="0071027C" w:rsidP="0071027C">
      <w:pPr>
        <w:tabs>
          <w:tab w:val="num" w:pos="2160"/>
        </w:tabs>
        <w:spacing w:before="120" w:after="120" w:line="240" w:lineRule="auto"/>
        <w:jc w:val="both"/>
        <w:rPr>
          <w:rFonts w:ascii="Arial" w:hAnsi="Arial" w:cs="Arial"/>
        </w:rPr>
      </w:pPr>
      <w:r w:rsidRPr="008E5752">
        <w:rPr>
          <w:rFonts w:ascii="Arial" w:hAnsi="Arial" w:cs="Arial"/>
          <w:b/>
        </w:rPr>
        <w:t>a) Patient Identification Card (CTC1)</w:t>
      </w:r>
      <w:r w:rsidRPr="008E5752">
        <w:rPr>
          <w:rFonts w:ascii="Arial" w:hAnsi="Arial" w:cs="Arial"/>
        </w:rPr>
        <w:t xml:space="preserve"> is a card with a unique patient identification number issued at the registration section of the facility during the first visit. The Card is for all patients enrolled on care and treatment services and it will be kept by the patient and used for identification purposes at every visit.</w:t>
      </w:r>
    </w:p>
    <w:p w:rsidR="0071027C" w:rsidRPr="008E5752" w:rsidRDefault="0071027C" w:rsidP="0071027C">
      <w:pPr>
        <w:spacing w:before="120" w:after="120" w:line="240" w:lineRule="auto"/>
        <w:jc w:val="both"/>
        <w:rPr>
          <w:rFonts w:ascii="Arial" w:hAnsi="Arial" w:cs="Arial"/>
        </w:rPr>
      </w:pPr>
      <w:r w:rsidRPr="008E5752">
        <w:rPr>
          <w:rFonts w:ascii="Arial" w:hAnsi="Arial" w:cs="Arial"/>
          <w:b/>
        </w:rPr>
        <w:t xml:space="preserve">b) Patient Record Form (CTC2) Revision 2013 </w:t>
      </w:r>
      <w:r w:rsidRPr="008E5752">
        <w:rPr>
          <w:rFonts w:ascii="Arial" w:hAnsi="Arial" w:cs="Arial"/>
        </w:rPr>
        <w:t xml:space="preserve">is a form initiated at the first visit of any HIV positive person attending the CTC for management and monitoring of patients’ clinical outcome. The form has a unique ID number, as in the Patient Identification Card. It is kept in a file and retained in the facility registry or dedicated HIV/AIDS care and treatment cabinet.  In case of CTC services integrated in other services such as the TB/HIV and RCH/PMTCT within the same facility, CTC2 forms should be made available at relevant unit and information to be entered in the data management system of the CTC. Key information on patient management is filled in by the relevant health provider. </w:t>
      </w:r>
    </w:p>
    <w:p w:rsidR="0071027C" w:rsidRPr="008E5752" w:rsidRDefault="0071027C" w:rsidP="0071027C">
      <w:pPr>
        <w:spacing w:before="120" w:after="120" w:line="240" w:lineRule="auto"/>
        <w:jc w:val="both"/>
        <w:rPr>
          <w:rFonts w:ascii="Arial" w:hAnsi="Arial" w:cs="Arial"/>
          <w:b/>
        </w:rPr>
      </w:pPr>
      <w:r w:rsidRPr="008E5752">
        <w:rPr>
          <w:rFonts w:ascii="Arial" w:hAnsi="Arial" w:cs="Arial"/>
          <w:b/>
        </w:rPr>
        <w:t>c) Registers</w:t>
      </w:r>
    </w:p>
    <w:p w:rsidR="0071027C" w:rsidRPr="008E5752" w:rsidRDefault="0071027C" w:rsidP="0071027C">
      <w:pPr>
        <w:autoSpaceDE w:val="0"/>
        <w:autoSpaceDN w:val="0"/>
        <w:adjustRightInd w:val="0"/>
        <w:spacing w:before="120" w:after="120" w:line="240" w:lineRule="auto"/>
        <w:jc w:val="both"/>
        <w:rPr>
          <w:rFonts w:ascii="Arial" w:hAnsi="Arial" w:cs="Arial"/>
        </w:rPr>
      </w:pPr>
      <w:r w:rsidRPr="008E5752">
        <w:rPr>
          <w:rFonts w:ascii="Arial" w:hAnsi="Arial" w:cs="Arial"/>
        </w:rPr>
        <w:t>There are three types of registers used at the CTC: the Pre-ART register,ART register and Cohort Analysis Register</w:t>
      </w:r>
    </w:p>
    <w:p w:rsidR="0071027C" w:rsidRPr="008E5752" w:rsidRDefault="0071027C" w:rsidP="0071027C">
      <w:pPr>
        <w:autoSpaceDE w:val="0"/>
        <w:autoSpaceDN w:val="0"/>
        <w:adjustRightInd w:val="0"/>
        <w:spacing w:before="120" w:after="120" w:line="240" w:lineRule="auto"/>
        <w:jc w:val="both"/>
        <w:rPr>
          <w:rFonts w:ascii="Arial" w:hAnsi="Arial" w:cs="Arial"/>
        </w:rPr>
      </w:pPr>
      <w:r w:rsidRPr="008E5752">
        <w:rPr>
          <w:rFonts w:ascii="Arial" w:hAnsi="Arial" w:cs="Arial"/>
          <w:b/>
        </w:rPr>
        <w:t xml:space="preserve">The Pre-ART register </w:t>
      </w:r>
      <w:r w:rsidRPr="008E5752">
        <w:rPr>
          <w:rFonts w:ascii="Arial" w:hAnsi="Arial" w:cs="Arial"/>
        </w:rPr>
        <w:t xml:space="preserve">is a tool for tracking and monitoring the progress of patients that are enrolled in HIV care as they become eligible for ART and allows cohort analysis. </w:t>
      </w:r>
      <w:r w:rsidRPr="008E5752">
        <w:rPr>
          <w:rFonts w:ascii="Arial" w:hAnsi="Arial" w:cs="Arial"/>
          <w:b/>
        </w:rPr>
        <w:t>All</w:t>
      </w:r>
      <w:r w:rsidRPr="008E5752">
        <w:rPr>
          <w:rFonts w:ascii="Arial" w:hAnsi="Arial" w:cs="Arial"/>
        </w:rPr>
        <w:t xml:space="preserve"> patients who first enrol for HIV care, whether they are on ART or not, are initially listed in the pre-ART register and counted as enrolled in HIV care. This includes patients who transfer in with or without records who were previously in care at another facility but are not yet on ART. The only patients who will </w:t>
      </w:r>
      <w:r w:rsidRPr="008E5752">
        <w:rPr>
          <w:rFonts w:ascii="Arial" w:hAnsi="Arial" w:cs="Arial"/>
          <w:b/>
        </w:rPr>
        <w:t>NOT</w:t>
      </w:r>
      <w:r w:rsidRPr="008E5752">
        <w:rPr>
          <w:rFonts w:ascii="Arial" w:hAnsi="Arial" w:cs="Arial"/>
        </w:rPr>
        <w:t xml:space="preserve"> be entered into the pre-ART register are patients on ART who transfer in with records. </w:t>
      </w:r>
    </w:p>
    <w:p w:rsidR="0071027C" w:rsidRPr="008E5752" w:rsidRDefault="0071027C" w:rsidP="0071027C">
      <w:pPr>
        <w:spacing w:before="120" w:after="120" w:line="240" w:lineRule="auto"/>
        <w:jc w:val="both"/>
        <w:rPr>
          <w:rFonts w:ascii="Arial" w:hAnsi="Arial" w:cs="Arial"/>
        </w:rPr>
      </w:pPr>
      <w:r w:rsidRPr="008E5752">
        <w:rPr>
          <w:rFonts w:ascii="Arial" w:hAnsi="Arial" w:cs="Arial"/>
        </w:rPr>
        <w:t>Once the patient begins ART, he/she is transferred to the ART register and is no longer tracked through the pre-ART register.</w:t>
      </w:r>
    </w:p>
    <w:p w:rsidR="0071027C" w:rsidRPr="008E5752" w:rsidRDefault="0071027C" w:rsidP="0071027C">
      <w:pPr>
        <w:spacing w:before="120" w:after="120" w:line="240" w:lineRule="auto"/>
        <w:jc w:val="both"/>
        <w:rPr>
          <w:rFonts w:ascii="Arial" w:hAnsi="Arial" w:cs="Arial"/>
        </w:rPr>
      </w:pPr>
      <w:r w:rsidRPr="008E5752">
        <w:rPr>
          <w:rFonts w:ascii="Arial" w:hAnsi="Arial" w:cs="Arial"/>
          <w:b/>
        </w:rPr>
        <w:t xml:space="preserve">The ART register </w:t>
      </w:r>
      <w:r w:rsidRPr="008E5752">
        <w:rPr>
          <w:rFonts w:ascii="Arial" w:hAnsi="Arial" w:cs="Arial"/>
        </w:rPr>
        <w:t xml:space="preserve">is a tool used for patient and program monitoring and allows cohort analysis. However, it is used </w:t>
      </w:r>
      <w:r w:rsidRPr="008E5752">
        <w:rPr>
          <w:rFonts w:ascii="Arial" w:hAnsi="Arial" w:cs="Arial"/>
          <w:b/>
        </w:rPr>
        <w:t>ONLY</w:t>
      </w:r>
      <w:r w:rsidRPr="008E5752">
        <w:rPr>
          <w:rFonts w:ascii="Arial" w:hAnsi="Arial" w:cs="Arial"/>
        </w:rPr>
        <w:t xml:space="preserve"> after a patient has started ART. The purpose of the register is to collect the same information (transferred from their individual CTC 2s) about an entire group of patients in a single location (the register).</w:t>
      </w:r>
    </w:p>
    <w:p w:rsidR="0071027C" w:rsidRPr="008E5752" w:rsidRDefault="0071027C" w:rsidP="0071027C">
      <w:pPr>
        <w:autoSpaceDE w:val="0"/>
        <w:autoSpaceDN w:val="0"/>
        <w:adjustRightInd w:val="0"/>
        <w:spacing w:before="120" w:after="120" w:line="240" w:lineRule="auto"/>
        <w:jc w:val="both"/>
        <w:rPr>
          <w:rFonts w:ascii="Arial" w:hAnsi="Arial" w:cs="Arial"/>
        </w:rPr>
      </w:pPr>
      <w:r w:rsidRPr="008E5752">
        <w:rPr>
          <w:rFonts w:ascii="Arial" w:hAnsi="Arial" w:cs="Arial"/>
          <w:b/>
        </w:rPr>
        <w:t>Note:</w:t>
      </w:r>
      <w:r w:rsidRPr="008E5752">
        <w:rPr>
          <w:rFonts w:ascii="Arial" w:hAnsi="Arial" w:cs="Arial"/>
        </w:rPr>
        <w:t xml:space="preserve"> The information on the CTC 2 form facilitates the monitoring of individual patients and that collected in the register facilitates the monitoring the whole group of patients.</w:t>
      </w:r>
    </w:p>
    <w:p w:rsidR="0071027C" w:rsidRPr="008E5752" w:rsidRDefault="0071027C" w:rsidP="0071027C">
      <w:pPr>
        <w:autoSpaceDE w:val="0"/>
        <w:autoSpaceDN w:val="0"/>
        <w:adjustRightInd w:val="0"/>
        <w:spacing w:before="120" w:after="120" w:line="240" w:lineRule="auto"/>
        <w:jc w:val="both"/>
        <w:rPr>
          <w:rFonts w:ascii="Arial" w:hAnsi="Arial" w:cs="Arial"/>
          <w:b/>
        </w:rPr>
      </w:pPr>
      <w:r w:rsidRPr="008E5752">
        <w:rPr>
          <w:rFonts w:ascii="Arial" w:hAnsi="Arial" w:cs="Arial"/>
          <w:b/>
        </w:rPr>
        <w:t>The Cohort Analysis register</w:t>
      </w:r>
    </w:p>
    <w:p w:rsidR="0071027C" w:rsidRPr="008E5752" w:rsidRDefault="0071027C" w:rsidP="0071027C">
      <w:pPr>
        <w:spacing w:before="120" w:after="120" w:line="240" w:lineRule="auto"/>
        <w:jc w:val="both"/>
        <w:rPr>
          <w:rFonts w:ascii="Arial" w:hAnsi="Arial" w:cs="Arial"/>
        </w:rPr>
      </w:pPr>
      <w:r w:rsidRPr="008E5752">
        <w:rPr>
          <w:rFonts w:ascii="Arial" w:hAnsi="Arial" w:cs="Arial"/>
        </w:rPr>
        <w:t xml:space="preserve">Cohort Analysis Register uses ART register to compile it.  In turn the Cohort register is used to compile the cohort analysis report. </w:t>
      </w:r>
    </w:p>
    <w:p w:rsidR="0071027C" w:rsidRPr="008E5752" w:rsidRDefault="0071027C" w:rsidP="0071027C">
      <w:pPr>
        <w:spacing w:before="120" w:after="120" w:line="240" w:lineRule="auto"/>
        <w:jc w:val="both"/>
        <w:rPr>
          <w:rFonts w:ascii="Arial" w:hAnsi="Arial" w:cs="Arial"/>
        </w:rPr>
      </w:pPr>
      <w:r w:rsidRPr="008E5752">
        <w:rPr>
          <w:rFonts w:ascii="Arial" w:hAnsi="Arial" w:cs="Arial"/>
        </w:rPr>
        <w:t xml:space="preserve">Twelve months of baseline ART monthly cohorts (start-up groups) and outcome data at 6, 12 24,36,48,60 and 72 months are included on one side of cohort analysis register. This can be gradually filled out by someone on the Care and Treatment Team or produced from the CTC 2 database, then transferred to cohort analysis report form.   Data from the cohort analysis report form can be used for programme monitoring at the facility-level as well as higher up in the system.  The same report can generate Early Warning Indicator for HIV Drug resistance (EWI – HIVDR).  This is why the Care and Treatment Team at each facility should fill out a cohort analysis report form gradually as results become available and it should also send a copy of the cohort analysis report to their </w:t>
      </w:r>
      <w:bookmarkStart w:id="1054" w:name="OLE_LINK3"/>
      <w:bookmarkStart w:id="1055" w:name="OLE_LINK4"/>
      <w:r w:rsidRPr="008E5752">
        <w:rPr>
          <w:rFonts w:ascii="Arial" w:hAnsi="Arial" w:cs="Arial"/>
        </w:rPr>
        <w:t xml:space="preserve">District Coordinator/Supervisor </w:t>
      </w:r>
      <w:bookmarkEnd w:id="1054"/>
      <w:bookmarkEnd w:id="1055"/>
      <w:r w:rsidRPr="008E5752">
        <w:rPr>
          <w:rFonts w:ascii="Arial" w:hAnsi="Arial" w:cs="Arial"/>
        </w:rPr>
        <w:t xml:space="preserve">every reporting quarter. </w:t>
      </w:r>
    </w:p>
    <w:p w:rsidR="0071027C" w:rsidRPr="008E5752" w:rsidRDefault="0071027C" w:rsidP="0071027C">
      <w:pPr>
        <w:autoSpaceDE w:val="0"/>
        <w:autoSpaceDN w:val="0"/>
        <w:adjustRightInd w:val="0"/>
        <w:spacing w:before="120" w:after="120" w:line="240" w:lineRule="auto"/>
        <w:jc w:val="both"/>
        <w:rPr>
          <w:rFonts w:ascii="Arial" w:hAnsi="Arial" w:cs="Arial"/>
          <w:b/>
        </w:rPr>
      </w:pPr>
      <w:r w:rsidRPr="008E5752">
        <w:rPr>
          <w:rFonts w:ascii="Arial" w:hAnsi="Arial" w:cs="Arial"/>
          <w:b/>
        </w:rPr>
        <w:t xml:space="preserve">d) Patient Referral Form </w:t>
      </w:r>
    </w:p>
    <w:p w:rsidR="0071027C" w:rsidRPr="008E5752" w:rsidRDefault="0071027C" w:rsidP="0071027C">
      <w:pPr>
        <w:tabs>
          <w:tab w:val="num" w:pos="2160"/>
        </w:tabs>
        <w:spacing w:before="120" w:after="120" w:line="240" w:lineRule="auto"/>
        <w:jc w:val="both"/>
        <w:rPr>
          <w:rFonts w:ascii="Arial" w:hAnsi="Arial" w:cs="Arial"/>
        </w:rPr>
      </w:pPr>
      <w:r w:rsidRPr="008E5752">
        <w:rPr>
          <w:rFonts w:ascii="Arial" w:hAnsi="Arial" w:cs="Arial"/>
        </w:rPr>
        <w:t xml:space="preserve">It is important that the patient carries treatment relevant information with him/her whenever he sees a new clinician, e.g. when he transfers to another facility. The same initial identification number will be retained to avoid loss of follow up and double recording of the patient. </w:t>
      </w:r>
    </w:p>
    <w:p w:rsidR="0071027C" w:rsidRPr="008E5752" w:rsidRDefault="0071027C" w:rsidP="0071027C">
      <w:pPr>
        <w:pStyle w:val="Heading3"/>
      </w:pPr>
      <w:bookmarkStart w:id="1056" w:name="_Toc374015648"/>
      <w:bookmarkStart w:id="1057" w:name="_Toc382214172"/>
      <w:r w:rsidRPr="008E5752">
        <w:t>16.2.2 Reporting</w:t>
      </w:r>
      <w:bookmarkEnd w:id="1056"/>
      <w:bookmarkEnd w:id="1057"/>
    </w:p>
    <w:p w:rsidR="0071027C" w:rsidRPr="008E5752" w:rsidRDefault="0071027C" w:rsidP="0071027C">
      <w:pPr>
        <w:autoSpaceDE w:val="0"/>
        <w:autoSpaceDN w:val="0"/>
        <w:adjustRightInd w:val="0"/>
        <w:spacing w:before="120" w:after="120" w:line="240" w:lineRule="auto"/>
        <w:jc w:val="both"/>
        <w:rPr>
          <w:rFonts w:ascii="Arial" w:hAnsi="Arial" w:cs="Arial"/>
        </w:rPr>
      </w:pPr>
      <w:r w:rsidRPr="008E5752">
        <w:rPr>
          <w:rFonts w:ascii="Arial" w:hAnsi="Arial" w:cs="Arial"/>
        </w:rPr>
        <w:t>Reporting at the CTC should be done as follows using the appropriate reporting forms and tools:</w:t>
      </w:r>
    </w:p>
    <w:p w:rsidR="0071027C" w:rsidRPr="008E5752" w:rsidRDefault="0071027C" w:rsidP="0071027C">
      <w:pPr>
        <w:autoSpaceDE w:val="0"/>
        <w:autoSpaceDN w:val="0"/>
        <w:adjustRightInd w:val="0"/>
        <w:spacing w:before="120" w:after="120" w:line="240" w:lineRule="auto"/>
        <w:jc w:val="both"/>
        <w:rPr>
          <w:rFonts w:ascii="Arial" w:hAnsi="Arial" w:cs="Arial"/>
          <w:b/>
        </w:rPr>
      </w:pPr>
      <w:r w:rsidRPr="008E5752">
        <w:rPr>
          <w:rFonts w:ascii="Arial" w:hAnsi="Arial" w:cs="Arial"/>
          <w:b/>
        </w:rPr>
        <w:t>a) Quarterly Reports</w:t>
      </w:r>
    </w:p>
    <w:p w:rsidR="0071027C" w:rsidRPr="008E5752" w:rsidRDefault="0071027C" w:rsidP="0071027C">
      <w:pPr>
        <w:autoSpaceDE w:val="0"/>
        <w:autoSpaceDN w:val="0"/>
        <w:adjustRightInd w:val="0"/>
        <w:spacing w:before="120" w:after="120" w:line="240" w:lineRule="auto"/>
        <w:jc w:val="both"/>
        <w:rPr>
          <w:rFonts w:ascii="Arial" w:hAnsi="Arial" w:cs="Arial"/>
        </w:rPr>
      </w:pPr>
      <w:r w:rsidRPr="008E5752">
        <w:rPr>
          <w:rFonts w:ascii="Arial" w:hAnsi="Arial" w:cs="Arial"/>
        </w:rPr>
        <w:t xml:space="preserve">A summary of newly enrolled patients is reported quarterly using a cross-sectional summary of all patients ever enrolled and currently in care and on ART. </w:t>
      </w:r>
    </w:p>
    <w:p w:rsidR="0071027C" w:rsidRPr="008E5752" w:rsidRDefault="0071027C" w:rsidP="0071027C">
      <w:pPr>
        <w:autoSpaceDE w:val="0"/>
        <w:autoSpaceDN w:val="0"/>
        <w:adjustRightInd w:val="0"/>
        <w:spacing w:before="120" w:after="120" w:line="240" w:lineRule="auto"/>
        <w:jc w:val="both"/>
        <w:rPr>
          <w:rFonts w:ascii="Arial" w:hAnsi="Arial" w:cs="Arial"/>
        </w:rPr>
      </w:pPr>
      <w:r w:rsidRPr="008E5752">
        <w:rPr>
          <w:rFonts w:ascii="Arial" w:hAnsi="Arial" w:cs="Arial"/>
        </w:rPr>
        <w:t>The cross-sectional report form is filled using data from the pre-ART and ART registers. It provides the following important information:</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New patients enrolled and eligible for ART but not yet started on ART</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New patients on ART (in the last reporting period; not transfer in)</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Cumulative patients enrolled in HIV care (including transfer in)</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Cumulative patients ever started on ART</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Patients currently on ART and currently in care (non-ART plus ART)</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Patients currently on ART and what proportion are on first line and second line regimens</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Subset of patients on treatment for OIs </w:t>
      </w:r>
    </w:p>
    <w:p w:rsidR="0071027C" w:rsidRPr="008E5752" w:rsidRDefault="0071027C" w:rsidP="0071027C">
      <w:pPr>
        <w:spacing w:before="120" w:after="120" w:line="240" w:lineRule="auto"/>
        <w:jc w:val="both"/>
        <w:rPr>
          <w:rFonts w:ascii="Arial" w:hAnsi="Arial" w:cs="Arial"/>
          <w:b/>
        </w:rPr>
      </w:pPr>
      <w:r w:rsidRPr="008E5752">
        <w:rPr>
          <w:rFonts w:ascii="Arial" w:hAnsi="Arial" w:cs="Arial"/>
          <w:b/>
        </w:rPr>
        <w:t xml:space="preserve">b) Programme Monitoring </w:t>
      </w:r>
    </w:p>
    <w:p w:rsidR="0071027C" w:rsidRPr="008E5752" w:rsidRDefault="0071027C" w:rsidP="0071027C">
      <w:pPr>
        <w:autoSpaceDE w:val="0"/>
        <w:autoSpaceDN w:val="0"/>
        <w:adjustRightInd w:val="0"/>
        <w:spacing w:before="120" w:after="120" w:line="240" w:lineRule="auto"/>
        <w:jc w:val="both"/>
        <w:rPr>
          <w:rFonts w:ascii="Arial" w:hAnsi="Arial" w:cs="Arial"/>
        </w:rPr>
      </w:pPr>
      <w:r w:rsidRPr="008E5752">
        <w:rPr>
          <w:rFonts w:ascii="Arial" w:hAnsi="Arial" w:cs="Arial"/>
        </w:rPr>
        <w:t xml:space="preserve">Programme monitoring is done at the facility-level as well as higher up in the system using a </w:t>
      </w:r>
      <w:r w:rsidRPr="008E5752">
        <w:rPr>
          <w:rFonts w:ascii="Arial" w:hAnsi="Arial" w:cs="Arial"/>
          <w:b/>
        </w:rPr>
        <w:t>cohort analysis reporting form</w:t>
      </w:r>
      <w:r w:rsidRPr="008E5752">
        <w:rPr>
          <w:rFonts w:ascii="Arial" w:hAnsi="Arial" w:cs="Arial"/>
        </w:rPr>
        <w:t xml:space="preserve"> which comprises a collection of indicators for ART start-up groups (monthly cohort) with their status at 6 months, 12 months, and 24 months. Data is gradually filled out by a member of the Care and Treatment Team as cohort reaches 6, 12, 24 months then transferred to an identical cohort analysis report form by the District Coordinator/Supervisor, for submission to higher levels in the system. The Cohort analysis reporting form provides the following information to the Care and Treatment Team and district, regional and national levels to monitor how well the programme is doing with regard to patients started on ART. It contains information on the following:</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Surviving patients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Patients still on a first line regimen</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Functional status of the patient  </w:t>
      </w:r>
    </w:p>
    <w:p w:rsidR="0071027C" w:rsidRPr="008E5752" w:rsidRDefault="0071027C" w:rsidP="0071027C">
      <w:pPr>
        <w:spacing w:before="120" w:after="120" w:line="240" w:lineRule="auto"/>
        <w:jc w:val="both"/>
        <w:rPr>
          <w:rFonts w:ascii="Arial" w:hAnsi="Arial" w:cs="Arial"/>
        </w:rPr>
      </w:pPr>
      <w:r w:rsidRPr="008E5752">
        <w:rPr>
          <w:rFonts w:ascii="Arial" w:hAnsi="Arial" w:cs="Arial"/>
        </w:rPr>
        <w:t>It also provides a comparison between patients with 6 months of ART and other patients with 6 months of ART elsewhere.</w:t>
      </w:r>
    </w:p>
    <w:p w:rsidR="0071027C" w:rsidRPr="008E5752" w:rsidRDefault="0071027C" w:rsidP="0071027C">
      <w:pPr>
        <w:spacing w:before="120" w:after="120" w:line="240" w:lineRule="auto"/>
        <w:jc w:val="both"/>
        <w:rPr>
          <w:rFonts w:ascii="Arial" w:hAnsi="Arial" w:cs="Arial"/>
        </w:rPr>
      </w:pPr>
      <w:r w:rsidRPr="008E5752">
        <w:rPr>
          <w:rFonts w:ascii="Arial" w:hAnsi="Arial" w:cs="Arial"/>
        </w:rPr>
        <w:t xml:space="preserve">Because the data from the cohort analyses are of critical importance, it is essential for the District AIDS Control Coordinator (DACC) to fully verify them and provide technical support. </w:t>
      </w:r>
    </w:p>
    <w:p w:rsidR="0071027C" w:rsidRPr="008E5752" w:rsidRDefault="0071027C" w:rsidP="0071027C">
      <w:pPr>
        <w:autoSpaceDE w:val="0"/>
        <w:autoSpaceDN w:val="0"/>
        <w:adjustRightInd w:val="0"/>
        <w:spacing w:before="120" w:after="120" w:line="240" w:lineRule="auto"/>
        <w:jc w:val="both"/>
        <w:rPr>
          <w:rFonts w:ascii="Arial" w:hAnsi="Arial" w:cs="Arial"/>
        </w:rPr>
      </w:pPr>
      <w:r w:rsidRPr="008E5752">
        <w:rPr>
          <w:rFonts w:ascii="Arial" w:hAnsi="Arial" w:cs="Arial"/>
        </w:rPr>
        <w:t xml:space="preserve">An </w:t>
      </w:r>
      <w:r w:rsidRPr="008E5752">
        <w:rPr>
          <w:rFonts w:ascii="Arial" w:hAnsi="Arial" w:cs="Arial"/>
          <w:b/>
        </w:rPr>
        <w:t xml:space="preserve">Appointment Book </w:t>
      </w:r>
      <w:r w:rsidRPr="008E5752">
        <w:rPr>
          <w:rFonts w:ascii="Arial" w:hAnsi="Arial" w:cs="Arial"/>
        </w:rPr>
        <w:t>should be kept by a member of the Care and Treatment Team at the registration unit and filled after the patient has received the date for the next visit. It should contain the patient’s name, date, unique CTC ID number, the reason for visit and a column for the patient’s show up. Information on patient show up is crucial for tracking missing patients who can easily be identified and traced if the patient show up column is properly filled out.</w:t>
      </w:r>
    </w:p>
    <w:p w:rsidR="0071027C" w:rsidRPr="008E5752" w:rsidRDefault="0071027C" w:rsidP="0071027C">
      <w:pPr>
        <w:autoSpaceDE w:val="0"/>
        <w:autoSpaceDN w:val="0"/>
        <w:adjustRightInd w:val="0"/>
        <w:spacing w:before="120" w:after="120" w:line="240" w:lineRule="auto"/>
        <w:jc w:val="both"/>
        <w:rPr>
          <w:rFonts w:ascii="Arial" w:hAnsi="Arial" w:cs="Arial"/>
        </w:rPr>
      </w:pPr>
      <w:r w:rsidRPr="008E5752">
        <w:rPr>
          <w:rFonts w:ascii="Arial" w:hAnsi="Arial" w:cs="Arial"/>
        </w:rPr>
        <w:t>Each facility participating in the National Care and Treatment Programme should identify a specific person to be responsible for care and Treatment data handling and reporting.  At each health facility the CTC in charge is responsible for timely and correct collection and submission of reports.</w:t>
      </w:r>
    </w:p>
    <w:p w:rsidR="0071027C" w:rsidRPr="008E5752" w:rsidRDefault="0071027C" w:rsidP="0071027C">
      <w:pPr>
        <w:autoSpaceDE w:val="0"/>
        <w:autoSpaceDN w:val="0"/>
        <w:adjustRightInd w:val="0"/>
        <w:spacing w:before="120" w:after="120" w:line="240" w:lineRule="auto"/>
        <w:jc w:val="both"/>
        <w:rPr>
          <w:rFonts w:ascii="Arial" w:hAnsi="Arial" w:cs="Arial"/>
        </w:rPr>
      </w:pPr>
      <w:r w:rsidRPr="008E5752">
        <w:rPr>
          <w:rFonts w:ascii="Arial" w:hAnsi="Arial" w:cs="Arial"/>
        </w:rPr>
        <w:t xml:space="preserve">In case of no show, the missed client should be transferred to </w:t>
      </w:r>
      <w:r w:rsidRPr="008E5752">
        <w:rPr>
          <w:rFonts w:ascii="Arial" w:hAnsi="Arial" w:cs="Arial"/>
          <w:b/>
        </w:rPr>
        <w:t xml:space="preserve">HBC Register for Tracking Missing Appointments </w:t>
      </w:r>
      <w:r w:rsidRPr="008E5752">
        <w:rPr>
          <w:rFonts w:ascii="Arial" w:hAnsi="Arial" w:cs="Arial"/>
        </w:rPr>
        <w:t>so as to facilitate Home Based Care Providers tracking responsibility.</w:t>
      </w:r>
    </w:p>
    <w:p w:rsidR="0071027C" w:rsidRPr="008E5752" w:rsidRDefault="0071027C" w:rsidP="0071027C">
      <w:pPr>
        <w:spacing w:before="120" w:after="120" w:line="240" w:lineRule="auto"/>
        <w:jc w:val="both"/>
        <w:rPr>
          <w:rFonts w:ascii="Arial" w:hAnsi="Arial" w:cs="Arial"/>
          <w:b/>
          <w:color w:val="000000"/>
        </w:rPr>
      </w:pPr>
      <w:r w:rsidRPr="008E5752">
        <w:rPr>
          <w:rFonts w:ascii="Arial" w:hAnsi="Arial" w:cs="Arial"/>
          <w:b/>
          <w:color w:val="000000"/>
        </w:rPr>
        <w:t>c. CTC 2 database</w:t>
      </w:r>
    </w:p>
    <w:p w:rsidR="0071027C" w:rsidRPr="008E5752" w:rsidRDefault="0071027C" w:rsidP="0071027C">
      <w:pPr>
        <w:spacing w:before="120" w:after="120" w:line="240" w:lineRule="auto"/>
        <w:jc w:val="both"/>
        <w:rPr>
          <w:rFonts w:ascii="Arial" w:hAnsi="Arial" w:cs="Arial"/>
        </w:rPr>
      </w:pPr>
      <w:r w:rsidRPr="008E5752">
        <w:rPr>
          <w:rFonts w:ascii="Arial" w:hAnsi="Arial" w:cs="Arial"/>
        </w:rPr>
        <w:t>The CTC2 database is a database designed for HIV/AIDS Care and Treatment clinics in Tanzania. It is designed according to the NACP standard CTC2 card and report formats. The Pharmacy Module of the CTC2 database is a tool to help managing stocks of ARV drugs and matching dispensing records with prescription records, and follows the standard NACP dispensing registers and report and request forms. The CTC3 macro database is a database for multi-clinic analysis designed for use by the NACP, regions, districts and development partners.</w:t>
      </w:r>
    </w:p>
    <w:p w:rsidR="0071027C" w:rsidRDefault="0071027C" w:rsidP="0071027C">
      <w:pPr>
        <w:spacing w:before="120" w:after="120" w:line="240" w:lineRule="auto"/>
        <w:jc w:val="both"/>
        <w:rPr>
          <w:rFonts w:ascii="Arial" w:hAnsi="Arial" w:cs="Arial"/>
          <w:b/>
        </w:rPr>
      </w:pPr>
    </w:p>
    <w:p w:rsidR="0071027C" w:rsidRDefault="0071027C" w:rsidP="0071027C">
      <w:pPr>
        <w:spacing w:before="120" w:after="120" w:line="240" w:lineRule="auto"/>
        <w:jc w:val="both"/>
        <w:rPr>
          <w:rFonts w:ascii="Arial" w:hAnsi="Arial" w:cs="Arial"/>
          <w:b/>
        </w:rPr>
      </w:pPr>
    </w:p>
    <w:p w:rsidR="0071027C" w:rsidRDefault="0071027C" w:rsidP="0071027C">
      <w:pPr>
        <w:spacing w:before="120" w:after="120" w:line="240" w:lineRule="auto"/>
        <w:jc w:val="both"/>
        <w:rPr>
          <w:rFonts w:ascii="Arial" w:hAnsi="Arial" w:cs="Arial"/>
          <w:b/>
        </w:rPr>
      </w:pPr>
    </w:p>
    <w:p w:rsidR="0071027C" w:rsidRDefault="0071027C" w:rsidP="0071027C">
      <w:pPr>
        <w:spacing w:before="120" w:after="120" w:line="240" w:lineRule="auto"/>
        <w:jc w:val="both"/>
        <w:rPr>
          <w:rFonts w:ascii="Arial" w:hAnsi="Arial" w:cs="Arial"/>
          <w:b/>
        </w:rPr>
      </w:pPr>
    </w:p>
    <w:p w:rsidR="0071027C" w:rsidRDefault="0071027C" w:rsidP="0071027C">
      <w:pPr>
        <w:spacing w:before="120" w:after="120" w:line="240" w:lineRule="auto"/>
        <w:jc w:val="both"/>
        <w:rPr>
          <w:rFonts w:ascii="Arial" w:hAnsi="Arial" w:cs="Arial"/>
          <w:b/>
        </w:rPr>
      </w:pPr>
    </w:p>
    <w:p w:rsidR="0071027C" w:rsidRPr="008E5752" w:rsidRDefault="0071027C" w:rsidP="0071027C">
      <w:pPr>
        <w:spacing w:before="120" w:after="120" w:line="240" w:lineRule="auto"/>
        <w:jc w:val="both"/>
        <w:rPr>
          <w:rFonts w:ascii="Arial" w:hAnsi="Arial" w:cs="Arial"/>
          <w:b/>
        </w:rPr>
      </w:pPr>
      <w:r>
        <w:rPr>
          <w:rFonts w:ascii="Arial" w:hAnsi="Arial" w:cs="Arial"/>
          <w:b/>
        </w:rPr>
        <w:t>Figure 16. 1</w:t>
      </w:r>
      <w:r w:rsidRPr="008E5752">
        <w:rPr>
          <w:rFonts w:ascii="Arial" w:hAnsi="Arial" w:cs="Arial"/>
          <w:b/>
        </w:rPr>
        <w:t>: Data Flow from Health Facility to National Level</w:t>
      </w:r>
    </w:p>
    <w:p w:rsidR="0071027C" w:rsidRPr="008E5752" w:rsidRDefault="0071027C" w:rsidP="0071027C">
      <w:pPr>
        <w:spacing w:before="120" w:after="120" w:line="240" w:lineRule="auto"/>
        <w:jc w:val="both"/>
        <w:rPr>
          <w:rFonts w:ascii="Arial" w:hAnsi="Arial" w:cs="Arial"/>
          <w:b/>
        </w:rPr>
      </w:pPr>
    </w:p>
    <w:p w:rsidR="0071027C" w:rsidRPr="008E5752" w:rsidRDefault="00AA771C" w:rsidP="0071027C">
      <w:pPr>
        <w:spacing w:before="120" w:after="120" w:line="240" w:lineRule="auto"/>
        <w:jc w:val="both"/>
        <w:rPr>
          <w:rFonts w:ascii="Arial" w:hAnsi="Arial" w:cs="Arial"/>
          <w:b/>
        </w:rPr>
      </w:pPr>
      <w:r>
        <w:rPr>
          <w:rFonts w:ascii="Arial" w:hAnsi="Arial" w:cs="Arial"/>
          <w:b/>
          <w:noProof/>
        </w:rPr>
        <mc:AlternateContent>
          <mc:Choice Requires="wpg">
            <w:drawing>
              <wp:inline distT="0" distB="0" distL="0" distR="0">
                <wp:extent cx="8572832" cy="5814107"/>
                <wp:effectExtent l="0" t="0" r="0" b="0"/>
                <wp:docPr id="9283" name="Group 9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832" cy="5814107"/>
                          <a:chOff x="285750" y="285750"/>
                          <a:chExt cx="8572832" cy="5814107"/>
                        </a:xfrm>
                      </wpg:grpSpPr>
                      <wps:wsp>
                        <wps:cNvPr id="832" name="フローチャート: 処理 7"/>
                        <wps:cNvSpPr/>
                        <wps:spPr>
                          <a:xfrm>
                            <a:off x="2500313" y="2428875"/>
                            <a:ext cx="2286000" cy="928688"/>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AA771C" w:rsidRDefault="00AA771C" w:rsidP="00AA771C">
                              <w:pPr>
                                <w:pStyle w:val="NormalWeb"/>
                                <w:spacing w:before="0" w:beforeAutospacing="0" w:after="0" w:afterAutospacing="0"/>
                                <w:jc w:val="center"/>
                                <w:textAlignment w:val="baseline"/>
                              </w:pPr>
                              <w:r>
                                <w:rPr>
                                  <w:rFonts w:asciiTheme="minorHAnsi" w:hAnsi="Calibri" w:cstheme="minorBidi"/>
                                  <w:b/>
                                  <w:bCs/>
                                  <w:color w:val="000000"/>
                                  <w:kern w:val="24"/>
                                  <w:sz w:val="48"/>
                                  <w:szCs w:val="48"/>
                                </w:rPr>
                                <w:t>RMO</w:t>
                              </w:r>
                            </w:p>
                          </w:txbxContent>
                        </wps:txbx>
                        <wps:bodyPr anchor="ctr"/>
                      </wps:wsp>
                      <wps:wsp>
                        <wps:cNvPr id="833" name="フローチャート: 処理 8"/>
                        <wps:cNvSpPr/>
                        <wps:spPr>
                          <a:xfrm>
                            <a:off x="4357688" y="3500438"/>
                            <a:ext cx="2286000" cy="928687"/>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AA771C" w:rsidRDefault="00AA771C" w:rsidP="00AA771C">
                              <w:pPr>
                                <w:pStyle w:val="NormalWeb"/>
                                <w:spacing w:before="0" w:beforeAutospacing="0" w:after="0" w:afterAutospacing="0"/>
                                <w:jc w:val="center"/>
                                <w:textAlignment w:val="baseline"/>
                              </w:pPr>
                              <w:r>
                                <w:rPr>
                                  <w:rFonts w:asciiTheme="minorHAnsi" w:hAnsi="Calibri" w:cstheme="minorBidi"/>
                                  <w:b/>
                                  <w:bCs/>
                                  <w:color w:val="000000"/>
                                  <w:kern w:val="24"/>
                                  <w:sz w:val="48"/>
                                  <w:szCs w:val="48"/>
                                </w:rPr>
                                <w:t>DMO</w:t>
                              </w:r>
                            </w:p>
                          </w:txbxContent>
                        </wps:txbx>
                        <wps:bodyPr anchor="ctr"/>
                      </wps:wsp>
                      <wps:wsp>
                        <wps:cNvPr id="834" name="フローチャート: 処理 17"/>
                        <wps:cNvSpPr/>
                        <wps:spPr>
                          <a:xfrm>
                            <a:off x="642938" y="1285875"/>
                            <a:ext cx="2286000" cy="928688"/>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AA771C" w:rsidRDefault="00AA771C" w:rsidP="00AA771C">
                              <w:pPr>
                                <w:pStyle w:val="NormalWeb"/>
                                <w:spacing w:before="0" w:beforeAutospacing="0" w:after="0" w:afterAutospacing="0"/>
                                <w:jc w:val="center"/>
                                <w:textAlignment w:val="baseline"/>
                              </w:pPr>
                              <w:r>
                                <w:rPr>
                                  <w:rFonts w:asciiTheme="minorHAnsi" w:hAnsi="Calibri" w:cstheme="minorBidi"/>
                                  <w:b/>
                                  <w:bCs/>
                                  <w:color w:val="000000"/>
                                  <w:kern w:val="24"/>
                                  <w:sz w:val="48"/>
                                  <w:szCs w:val="48"/>
                                </w:rPr>
                                <w:t>NACP</w:t>
                              </w:r>
                            </w:p>
                          </w:txbxContent>
                        </wps:txbx>
                        <wps:bodyPr anchor="ctr"/>
                      </wps:wsp>
                      <wps:wsp>
                        <wps:cNvPr id="835" name="フローチャート: 処理 18"/>
                        <wps:cNvSpPr/>
                        <wps:spPr>
                          <a:xfrm>
                            <a:off x="6215063" y="4643438"/>
                            <a:ext cx="2286000" cy="928687"/>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AA771C" w:rsidRDefault="00AA771C" w:rsidP="00AA771C">
                              <w:pPr>
                                <w:pStyle w:val="NormalWeb"/>
                                <w:spacing w:before="0" w:beforeAutospacing="0" w:after="0" w:afterAutospacing="0"/>
                                <w:jc w:val="center"/>
                                <w:textAlignment w:val="baseline"/>
                              </w:pPr>
                              <w:r>
                                <w:rPr>
                                  <w:rFonts w:asciiTheme="minorHAnsi" w:hAnsi="Calibri" w:cstheme="minorBidi"/>
                                  <w:b/>
                                  <w:bCs/>
                                  <w:color w:val="000000"/>
                                  <w:kern w:val="24"/>
                                  <w:sz w:val="48"/>
                                  <w:szCs w:val="48"/>
                                </w:rPr>
                                <w:t>Health Facility</w:t>
                              </w:r>
                            </w:p>
                          </w:txbxContent>
                        </wps:txbx>
                        <wps:bodyPr anchor="ctr"/>
                      </wps:wsp>
                      <wpg:grpSp>
                        <wpg:cNvPr id="836" name="グループ化 29"/>
                        <wpg:cNvGrpSpPr>
                          <a:grpSpLocks/>
                        </wpg:cNvGrpSpPr>
                        <wpg:grpSpPr bwMode="auto">
                          <a:xfrm>
                            <a:off x="285750" y="2428874"/>
                            <a:ext cx="2357754" cy="1459714"/>
                            <a:chOff x="285750" y="2428875"/>
                            <a:chExt cx="2357754" cy="1460209"/>
                          </a:xfrm>
                        </wpg:grpSpPr>
                        <wps:wsp>
                          <wps:cNvPr id="853" name="曲折矢印 19"/>
                          <wps:cNvSpPr/>
                          <wps:spPr>
                            <a:xfrm rot="16200000">
                              <a:off x="1821590" y="2285273"/>
                              <a:ext cx="392246" cy="679450"/>
                            </a:xfrm>
                            <a:prstGeom prst="bentArrow">
                              <a:avLst/>
                            </a:prstGeom>
                          </wps:spPr>
                          <wps:style>
                            <a:lnRef idx="2">
                              <a:schemeClr val="dk1"/>
                            </a:lnRef>
                            <a:fillRef idx="1">
                              <a:schemeClr val="lt1"/>
                            </a:fillRef>
                            <a:effectRef idx="0">
                              <a:schemeClr val="dk1"/>
                            </a:effectRef>
                            <a:fontRef idx="minor">
                              <a:schemeClr val="dk1"/>
                            </a:fontRef>
                          </wps:style>
                          <wps:txbx>
                            <w:txbxContent>
                              <w:p w:rsidR="00AA771C" w:rsidRDefault="00AA771C" w:rsidP="00AA771C">
                                <w:pPr>
                                  <w:rPr>
                                    <w:rFonts w:eastAsia="Times New Roman"/>
                                  </w:rPr>
                                </w:pPr>
                              </w:p>
                            </w:txbxContent>
                          </wps:txbx>
                          <wps:bodyPr anchor="ctr"/>
                        </wps:wsp>
                        <wps:wsp>
                          <wps:cNvPr id="854" name="テキスト ボックス 13"/>
                          <wps:cNvSpPr txBox="1">
                            <a:spLocks noChangeArrowheads="1"/>
                          </wps:cNvSpPr>
                          <wps:spPr bwMode="auto">
                            <a:xfrm>
                              <a:off x="285750" y="2857496"/>
                              <a:ext cx="2357754" cy="1031588"/>
                            </a:xfrm>
                            <a:prstGeom prst="rect">
                              <a:avLst/>
                            </a:prstGeom>
                            <a:noFill/>
                            <a:ln w="9525">
                              <a:noFill/>
                              <a:miter lim="800000"/>
                              <a:headEnd/>
                              <a:tailEnd/>
                            </a:ln>
                          </wps:spPr>
                          <wps:txbx>
                            <w:txbxContent>
                              <w:p w:rsidR="00AA771C" w:rsidRDefault="00AA771C" w:rsidP="00AA771C">
                                <w:pPr>
                                  <w:pStyle w:val="NormalWeb"/>
                                  <w:spacing w:before="0" w:beforeAutospacing="0" w:after="0" w:afterAutospacing="0"/>
                                  <w:textAlignment w:val="baseline"/>
                                </w:pPr>
                                <w:r>
                                  <w:rPr>
                                    <w:rFonts w:ascii="Calibri" w:eastAsia="MS PGothic" w:hAnsi="Calibri" w:cstheme="minorBidi"/>
                                    <w:color w:val="000000" w:themeColor="text1"/>
                                    <w:kern w:val="24"/>
                                    <w:sz w:val="32"/>
                                    <w:szCs w:val="32"/>
                                    <w:lang w:val="en-GB"/>
                                  </w:rPr>
                                  <w:t xml:space="preserve">Collect &amp; aggregate data and submit monthly report by </w:t>
                                </w:r>
                                <w:r>
                                  <w:rPr>
                                    <w:rFonts w:ascii="Calibri" w:eastAsia="MS PGothic" w:hAnsi="Calibri" w:cstheme="minorBidi"/>
                                    <w:b/>
                                    <w:bCs/>
                                    <w:color w:val="000000" w:themeColor="text1"/>
                                    <w:kern w:val="24"/>
                                    <w:lang w:val="en-GB"/>
                                  </w:rPr>
                                  <w:t>21</w:t>
                                </w:r>
                                <w:r>
                                  <w:rPr>
                                    <w:rFonts w:ascii="Calibri" w:eastAsia="MS PGothic" w:hAnsi="Calibri" w:cstheme="minorBidi"/>
                                    <w:b/>
                                    <w:bCs/>
                                    <w:color w:val="000000" w:themeColor="text1"/>
                                    <w:kern w:val="24"/>
                                    <w:position w:val="7"/>
                                    <w:vertAlign w:val="superscript"/>
                                    <w:lang w:val="en-GB"/>
                                  </w:rPr>
                                  <w:t>st</w:t>
                                </w:r>
                                <w:r>
                                  <w:rPr>
                                    <w:rFonts w:ascii="Calibri" w:eastAsia="MS PGothic" w:hAnsi="Calibri" w:cstheme="minorBidi"/>
                                    <w:b/>
                                    <w:bCs/>
                                    <w:color w:val="000000" w:themeColor="text1"/>
                                    <w:kern w:val="24"/>
                                    <w:lang w:val="en-GB"/>
                                  </w:rPr>
                                  <w:t xml:space="preserve"> of the following month</w:t>
                                </w:r>
                                <w:r>
                                  <w:rPr>
                                    <w:rFonts w:ascii="Calibri" w:eastAsia="MS PGothic" w:hAnsi="Calibri" w:cstheme="minorBidi"/>
                                    <w:color w:val="000000" w:themeColor="text1"/>
                                    <w:kern w:val="24"/>
                                    <w:lang w:val="en-GB"/>
                                  </w:rPr>
                                  <w:t>.</w:t>
                                </w:r>
                              </w:p>
                            </w:txbxContent>
                          </wps:txbx>
                          <wps:bodyPr>
                            <a:spAutoFit/>
                          </wps:bodyPr>
                        </wps:wsp>
                      </wpg:grpSp>
                      <wpg:grpSp>
                        <wpg:cNvPr id="837" name="グループ化 30"/>
                        <wpg:cNvGrpSpPr>
                          <a:grpSpLocks/>
                        </wpg:cNvGrpSpPr>
                        <wpg:grpSpPr bwMode="auto">
                          <a:xfrm>
                            <a:off x="3106738" y="1643063"/>
                            <a:ext cx="3251186" cy="642937"/>
                            <a:chOff x="3106738" y="1643063"/>
                            <a:chExt cx="3251219" cy="642950"/>
                          </a:xfrm>
                        </wpg:grpSpPr>
                        <wps:wsp>
                          <wps:cNvPr id="851" name="曲折矢印 10"/>
                          <wps:cNvSpPr/>
                          <wps:spPr>
                            <a:xfrm rot="5400000">
                              <a:off x="3249613" y="1749430"/>
                              <a:ext cx="393708" cy="679457"/>
                            </a:xfrm>
                            <a:prstGeom prst="bentArrow">
                              <a:avLst/>
                            </a:prstGeom>
                          </wps:spPr>
                          <wps:style>
                            <a:lnRef idx="2">
                              <a:schemeClr val="dk1"/>
                            </a:lnRef>
                            <a:fillRef idx="1">
                              <a:schemeClr val="lt1"/>
                            </a:fillRef>
                            <a:effectRef idx="0">
                              <a:schemeClr val="dk1"/>
                            </a:effectRef>
                            <a:fontRef idx="minor">
                              <a:schemeClr val="dk1"/>
                            </a:fontRef>
                          </wps:style>
                          <wps:txbx>
                            <w:txbxContent>
                              <w:p w:rsidR="00AA771C" w:rsidRDefault="00AA771C" w:rsidP="00AA771C">
                                <w:pPr>
                                  <w:rPr>
                                    <w:rFonts w:eastAsia="Times New Roman"/>
                                  </w:rPr>
                                </w:pPr>
                              </w:p>
                            </w:txbxContent>
                          </wps:txbx>
                          <wps:bodyPr anchor="ctr"/>
                        </wps:wsp>
                        <wps:wsp>
                          <wps:cNvPr id="852" name="テキスト ボックス 14"/>
                          <wps:cNvSpPr txBox="1">
                            <a:spLocks noChangeArrowheads="1"/>
                          </wps:cNvSpPr>
                          <wps:spPr bwMode="auto">
                            <a:xfrm>
                              <a:off x="3786182" y="1643063"/>
                              <a:ext cx="2571775" cy="287025"/>
                            </a:xfrm>
                            <a:prstGeom prst="rect">
                              <a:avLst/>
                            </a:prstGeom>
                            <a:noFill/>
                            <a:ln w="9525">
                              <a:noFill/>
                              <a:miter lim="800000"/>
                              <a:headEnd/>
                              <a:tailEnd/>
                            </a:ln>
                          </wps:spPr>
                          <wps:txbx>
                            <w:txbxContent>
                              <w:p w:rsidR="00AA771C" w:rsidRDefault="00AA771C" w:rsidP="00AA771C">
                                <w:pPr>
                                  <w:pStyle w:val="NormalWeb"/>
                                  <w:spacing w:before="0" w:beforeAutospacing="0" w:after="0" w:afterAutospacing="0"/>
                                  <w:textAlignment w:val="baseline"/>
                                </w:pPr>
                                <w:r>
                                  <w:rPr>
                                    <w:rFonts w:ascii="Calibri" w:eastAsia="MS PGothic" w:hAnsi="Calibri" w:cstheme="minorBidi"/>
                                    <w:color w:val="000000" w:themeColor="text1"/>
                                    <w:kern w:val="24"/>
                                    <w:lang w:val="en-GB"/>
                                  </w:rPr>
                                  <w:t>Feedback to lower levels</w:t>
                                </w:r>
                              </w:p>
                            </w:txbxContent>
                          </wps:txbx>
                          <wps:bodyPr>
                            <a:spAutoFit/>
                          </wps:bodyPr>
                        </wps:wsp>
                      </wpg:grpSp>
                      <wpg:grpSp>
                        <wpg:cNvPr id="838" name="グループ化 31"/>
                        <wpg:cNvGrpSpPr>
                          <a:grpSpLocks/>
                        </wpg:cNvGrpSpPr>
                        <wpg:grpSpPr bwMode="auto">
                          <a:xfrm>
                            <a:off x="4965701" y="2571746"/>
                            <a:ext cx="3249607" cy="642937"/>
                            <a:chOff x="4965700" y="2571750"/>
                            <a:chExt cx="3249665" cy="642944"/>
                          </a:xfrm>
                        </wpg:grpSpPr>
                        <wps:wsp>
                          <wps:cNvPr id="849" name="曲折矢印 11"/>
                          <wps:cNvSpPr/>
                          <wps:spPr>
                            <a:xfrm rot="5400000">
                              <a:off x="5107786" y="2678904"/>
                              <a:ext cx="393704" cy="677875"/>
                            </a:xfrm>
                            <a:prstGeom prst="bentArrow">
                              <a:avLst/>
                            </a:prstGeom>
                          </wps:spPr>
                          <wps:style>
                            <a:lnRef idx="2">
                              <a:schemeClr val="dk1"/>
                            </a:lnRef>
                            <a:fillRef idx="1">
                              <a:schemeClr val="lt1"/>
                            </a:fillRef>
                            <a:effectRef idx="0">
                              <a:schemeClr val="dk1"/>
                            </a:effectRef>
                            <a:fontRef idx="minor">
                              <a:schemeClr val="dk1"/>
                            </a:fontRef>
                          </wps:style>
                          <wps:txbx>
                            <w:txbxContent>
                              <w:p w:rsidR="00AA771C" w:rsidRDefault="00AA771C" w:rsidP="00AA771C">
                                <w:pPr>
                                  <w:rPr>
                                    <w:rFonts w:eastAsia="Times New Roman"/>
                                  </w:rPr>
                                </w:pPr>
                              </w:p>
                            </w:txbxContent>
                          </wps:txbx>
                          <wps:bodyPr anchor="ctr"/>
                        </wps:wsp>
                        <wps:wsp>
                          <wps:cNvPr id="850" name="テキスト ボックス 14"/>
                          <wps:cNvSpPr txBox="1">
                            <a:spLocks noChangeArrowheads="1"/>
                          </wps:cNvSpPr>
                          <wps:spPr bwMode="auto">
                            <a:xfrm>
                              <a:off x="5643570" y="2571750"/>
                              <a:ext cx="2571795" cy="287022"/>
                            </a:xfrm>
                            <a:prstGeom prst="rect">
                              <a:avLst/>
                            </a:prstGeom>
                            <a:noFill/>
                            <a:ln w="9525">
                              <a:noFill/>
                              <a:miter lim="800000"/>
                              <a:headEnd/>
                              <a:tailEnd/>
                            </a:ln>
                          </wps:spPr>
                          <wps:txbx>
                            <w:txbxContent>
                              <w:p w:rsidR="00AA771C" w:rsidRDefault="00AA771C" w:rsidP="00AA771C">
                                <w:pPr>
                                  <w:pStyle w:val="NormalWeb"/>
                                  <w:spacing w:before="0" w:beforeAutospacing="0" w:after="0" w:afterAutospacing="0"/>
                                  <w:textAlignment w:val="baseline"/>
                                </w:pPr>
                                <w:r>
                                  <w:rPr>
                                    <w:rFonts w:ascii="Calibri" w:eastAsia="MS PGothic" w:hAnsi="Calibri" w:cstheme="minorBidi"/>
                                    <w:color w:val="000000" w:themeColor="text1"/>
                                    <w:kern w:val="24"/>
                                    <w:lang w:val="en-GB"/>
                                  </w:rPr>
                                  <w:t>Feedback to lower levels</w:t>
                                </w:r>
                              </w:p>
                            </w:txbxContent>
                          </wps:txbx>
                          <wps:bodyPr>
                            <a:spAutoFit/>
                          </wps:bodyPr>
                        </wps:wsp>
                      </wpg:grpSp>
                      <wpg:grpSp>
                        <wpg:cNvPr id="839" name="グループ化 32"/>
                        <wpg:cNvGrpSpPr>
                          <a:grpSpLocks/>
                        </wpg:cNvGrpSpPr>
                        <wpg:grpSpPr bwMode="auto">
                          <a:xfrm>
                            <a:off x="6858000" y="3357566"/>
                            <a:ext cx="2000582" cy="1143001"/>
                            <a:chOff x="6858000" y="3357563"/>
                            <a:chExt cx="2000600" cy="1143001"/>
                          </a:xfrm>
                        </wpg:grpSpPr>
                        <wps:wsp>
                          <wps:cNvPr id="847" name="曲折矢印 12"/>
                          <wps:cNvSpPr/>
                          <wps:spPr>
                            <a:xfrm rot="5400000">
                              <a:off x="7001671" y="3964780"/>
                              <a:ext cx="392113" cy="679456"/>
                            </a:xfrm>
                            <a:prstGeom prst="bentArrow">
                              <a:avLst/>
                            </a:prstGeom>
                          </wps:spPr>
                          <wps:style>
                            <a:lnRef idx="2">
                              <a:schemeClr val="dk1"/>
                            </a:lnRef>
                            <a:fillRef idx="1">
                              <a:schemeClr val="lt1"/>
                            </a:fillRef>
                            <a:effectRef idx="0">
                              <a:schemeClr val="dk1"/>
                            </a:effectRef>
                            <a:fontRef idx="minor">
                              <a:schemeClr val="dk1"/>
                            </a:fontRef>
                          </wps:style>
                          <wps:txbx>
                            <w:txbxContent>
                              <w:p w:rsidR="00AA771C" w:rsidRDefault="00AA771C" w:rsidP="00AA771C">
                                <w:pPr>
                                  <w:rPr>
                                    <w:rFonts w:eastAsia="Times New Roman"/>
                                  </w:rPr>
                                </w:pPr>
                              </w:p>
                            </w:txbxContent>
                          </wps:txbx>
                          <wps:bodyPr anchor="ctr"/>
                        </wps:wsp>
                        <wps:wsp>
                          <wps:cNvPr id="848" name="テキスト ボックス 14"/>
                          <wps:cNvSpPr txBox="1">
                            <a:spLocks noChangeArrowheads="1"/>
                          </wps:cNvSpPr>
                          <wps:spPr bwMode="auto">
                            <a:xfrm>
                              <a:off x="7072330" y="3357563"/>
                              <a:ext cx="1786270" cy="287019"/>
                            </a:xfrm>
                            <a:prstGeom prst="rect">
                              <a:avLst/>
                            </a:prstGeom>
                            <a:noFill/>
                            <a:ln w="9525">
                              <a:noFill/>
                              <a:miter lim="800000"/>
                              <a:headEnd/>
                              <a:tailEnd/>
                            </a:ln>
                          </wps:spPr>
                          <wps:txbx>
                            <w:txbxContent>
                              <w:p w:rsidR="00AA771C" w:rsidRDefault="00AA771C" w:rsidP="00AA771C">
                                <w:pPr>
                                  <w:pStyle w:val="NormalWeb"/>
                                  <w:spacing w:before="0" w:beforeAutospacing="0" w:after="0" w:afterAutospacing="0"/>
                                  <w:textAlignment w:val="baseline"/>
                                </w:pPr>
                                <w:r>
                                  <w:rPr>
                                    <w:rFonts w:ascii="Calibri" w:eastAsia="MS PGothic" w:hAnsi="Calibri" w:cstheme="minorBidi"/>
                                    <w:color w:val="000000" w:themeColor="text1"/>
                                    <w:kern w:val="24"/>
                                    <w:lang w:val="en-GB"/>
                                  </w:rPr>
                                  <w:t>Feedback to lower levels</w:t>
                                </w:r>
                              </w:p>
                            </w:txbxContent>
                          </wps:txbx>
                          <wps:bodyPr>
                            <a:spAutoFit/>
                          </wps:bodyPr>
                        </wps:wsp>
                      </wpg:grpSp>
                      <wpg:grpSp>
                        <wpg:cNvPr id="840" name="グループ化 28"/>
                        <wpg:cNvGrpSpPr>
                          <a:grpSpLocks/>
                        </wpg:cNvGrpSpPr>
                        <wpg:grpSpPr bwMode="auto">
                          <a:xfrm>
                            <a:off x="2071619" y="3500443"/>
                            <a:ext cx="2357119" cy="1456421"/>
                            <a:chOff x="2071619" y="3500438"/>
                            <a:chExt cx="2357098" cy="1456761"/>
                          </a:xfrm>
                        </wpg:grpSpPr>
                        <wps:wsp>
                          <wps:cNvPr id="845" name="曲折矢印 16"/>
                          <wps:cNvSpPr/>
                          <wps:spPr>
                            <a:xfrm rot="16200000">
                              <a:off x="3606738" y="3357612"/>
                              <a:ext cx="393792" cy="679444"/>
                            </a:xfrm>
                            <a:prstGeom prst="bentArrow">
                              <a:avLst/>
                            </a:prstGeom>
                          </wps:spPr>
                          <wps:style>
                            <a:lnRef idx="2">
                              <a:schemeClr val="dk1"/>
                            </a:lnRef>
                            <a:fillRef idx="1">
                              <a:schemeClr val="lt1"/>
                            </a:fillRef>
                            <a:effectRef idx="0">
                              <a:schemeClr val="dk1"/>
                            </a:effectRef>
                            <a:fontRef idx="minor">
                              <a:schemeClr val="dk1"/>
                            </a:fontRef>
                          </wps:style>
                          <wps:txbx>
                            <w:txbxContent>
                              <w:p w:rsidR="00AA771C" w:rsidRDefault="00AA771C" w:rsidP="00AA771C">
                                <w:pPr>
                                  <w:rPr>
                                    <w:rFonts w:eastAsia="Times New Roman"/>
                                  </w:rPr>
                                </w:pPr>
                              </w:p>
                            </w:txbxContent>
                          </wps:txbx>
                          <wps:bodyPr anchor="ctr"/>
                        </wps:wsp>
                        <wps:wsp>
                          <wps:cNvPr id="846" name="テキスト ボックス 13"/>
                          <wps:cNvSpPr txBox="1">
                            <a:spLocks noChangeArrowheads="1"/>
                          </wps:cNvSpPr>
                          <wps:spPr bwMode="auto">
                            <a:xfrm>
                              <a:off x="2071619" y="3925719"/>
                              <a:ext cx="2357098" cy="1031480"/>
                            </a:xfrm>
                            <a:prstGeom prst="rect">
                              <a:avLst/>
                            </a:prstGeom>
                            <a:noFill/>
                            <a:ln w="9525">
                              <a:noFill/>
                              <a:miter lim="800000"/>
                              <a:headEnd/>
                              <a:tailEnd/>
                            </a:ln>
                          </wps:spPr>
                          <wps:txbx>
                            <w:txbxContent>
                              <w:p w:rsidR="00AA771C" w:rsidRDefault="00AA771C" w:rsidP="00AA771C">
                                <w:pPr>
                                  <w:pStyle w:val="NormalWeb"/>
                                  <w:spacing w:before="0" w:beforeAutospacing="0" w:after="0" w:afterAutospacing="0"/>
                                  <w:textAlignment w:val="baseline"/>
                                </w:pPr>
                                <w:r>
                                  <w:rPr>
                                    <w:rFonts w:ascii="Calibri" w:eastAsia="MS PGothic" w:hAnsi="Calibri" w:cstheme="minorBidi"/>
                                    <w:color w:val="000000" w:themeColor="text1"/>
                                    <w:kern w:val="24"/>
                                    <w:sz w:val="32"/>
                                    <w:szCs w:val="32"/>
                                    <w:lang w:val="en-GB"/>
                                  </w:rPr>
                                  <w:t xml:space="preserve">Collect &amp; aggregate data and submit monthly report by </w:t>
                                </w:r>
                                <w:r>
                                  <w:rPr>
                                    <w:rFonts w:ascii="Calibri" w:eastAsia="MS PGothic" w:hAnsi="Calibri" w:cstheme="minorBidi"/>
                                    <w:b/>
                                    <w:bCs/>
                                    <w:color w:val="000000" w:themeColor="text1"/>
                                    <w:kern w:val="24"/>
                                    <w:lang w:val="en-GB"/>
                                  </w:rPr>
                                  <w:t>14</w:t>
                                </w:r>
                                <w:r>
                                  <w:rPr>
                                    <w:rFonts w:ascii="Calibri" w:eastAsia="MS PGothic" w:hAnsi="Calibri" w:cstheme="minorBidi"/>
                                    <w:b/>
                                    <w:bCs/>
                                    <w:color w:val="000000" w:themeColor="text1"/>
                                    <w:kern w:val="24"/>
                                    <w:position w:val="7"/>
                                    <w:vertAlign w:val="superscript"/>
                                    <w:lang w:val="en-GB"/>
                                  </w:rPr>
                                  <w:t>th</w:t>
                                </w:r>
                                <w:r>
                                  <w:rPr>
                                    <w:rFonts w:ascii="Calibri" w:eastAsia="MS PGothic" w:hAnsi="Calibri" w:cstheme="minorBidi"/>
                                    <w:b/>
                                    <w:bCs/>
                                    <w:color w:val="000000" w:themeColor="text1"/>
                                    <w:kern w:val="24"/>
                                    <w:lang w:val="en-GB"/>
                                  </w:rPr>
                                  <w:t xml:space="preserve"> of the following month</w:t>
                                </w:r>
                                <w:r>
                                  <w:rPr>
                                    <w:rFonts w:ascii="Calibri" w:eastAsia="MS PGothic" w:hAnsi="Calibri" w:cstheme="minorBidi"/>
                                    <w:color w:val="000000" w:themeColor="text1"/>
                                    <w:kern w:val="24"/>
                                    <w:lang w:val="en-GB"/>
                                  </w:rPr>
                                  <w:t>.</w:t>
                                </w:r>
                              </w:p>
                            </w:txbxContent>
                          </wps:txbx>
                          <wps:bodyPr>
                            <a:spAutoFit/>
                          </wps:bodyPr>
                        </wps:wsp>
                      </wpg:grpSp>
                      <wpg:grpSp>
                        <wpg:cNvPr id="841" name="グループ化 27"/>
                        <wpg:cNvGrpSpPr>
                          <a:grpSpLocks/>
                        </wpg:cNvGrpSpPr>
                        <wpg:grpSpPr bwMode="auto">
                          <a:xfrm>
                            <a:off x="4000354" y="4608512"/>
                            <a:ext cx="2357754" cy="1491345"/>
                            <a:chOff x="4000356" y="4608513"/>
                            <a:chExt cx="2357733" cy="1491695"/>
                          </a:xfrm>
                        </wpg:grpSpPr>
                        <wps:wsp>
                          <wps:cNvPr id="843" name="曲折矢印 14"/>
                          <wps:cNvSpPr/>
                          <wps:spPr>
                            <a:xfrm rot="16200000">
                              <a:off x="5537139" y="4465686"/>
                              <a:ext cx="392204" cy="677857"/>
                            </a:xfrm>
                            <a:prstGeom prst="bentArrow">
                              <a:avLst/>
                            </a:prstGeom>
                          </wps:spPr>
                          <wps:style>
                            <a:lnRef idx="2">
                              <a:schemeClr val="dk1"/>
                            </a:lnRef>
                            <a:fillRef idx="1">
                              <a:schemeClr val="lt1"/>
                            </a:fillRef>
                            <a:effectRef idx="0">
                              <a:schemeClr val="dk1"/>
                            </a:effectRef>
                            <a:fontRef idx="minor">
                              <a:schemeClr val="dk1"/>
                            </a:fontRef>
                          </wps:style>
                          <wps:txbx>
                            <w:txbxContent>
                              <w:p w:rsidR="00AA771C" w:rsidRDefault="00AA771C" w:rsidP="00AA771C">
                                <w:pPr>
                                  <w:rPr>
                                    <w:rFonts w:eastAsia="Times New Roman"/>
                                  </w:rPr>
                                </w:pPr>
                              </w:p>
                            </w:txbxContent>
                          </wps:txbx>
                          <wps:bodyPr anchor="ctr"/>
                        </wps:wsp>
                        <wps:wsp>
                          <wps:cNvPr id="844" name="テキスト ボックス 13"/>
                          <wps:cNvSpPr txBox="1">
                            <a:spLocks noChangeArrowheads="1"/>
                          </wps:cNvSpPr>
                          <wps:spPr bwMode="auto">
                            <a:xfrm>
                              <a:off x="4000356" y="5068727"/>
                              <a:ext cx="2357733" cy="1031481"/>
                            </a:xfrm>
                            <a:prstGeom prst="rect">
                              <a:avLst/>
                            </a:prstGeom>
                            <a:noFill/>
                            <a:ln w="9525">
                              <a:noFill/>
                              <a:miter lim="800000"/>
                              <a:headEnd/>
                              <a:tailEnd/>
                            </a:ln>
                          </wps:spPr>
                          <wps:txbx>
                            <w:txbxContent>
                              <w:p w:rsidR="00AA771C" w:rsidRDefault="00AA771C" w:rsidP="00AA771C">
                                <w:pPr>
                                  <w:pStyle w:val="NormalWeb"/>
                                  <w:spacing w:before="0" w:beforeAutospacing="0" w:after="0" w:afterAutospacing="0"/>
                                  <w:textAlignment w:val="baseline"/>
                                </w:pPr>
                                <w:r>
                                  <w:rPr>
                                    <w:rFonts w:ascii="Calibri" w:eastAsia="MS PGothic" w:hAnsi="Calibri" w:cstheme="minorBidi"/>
                                    <w:color w:val="000000" w:themeColor="text1"/>
                                    <w:kern w:val="24"/>
                                    <w:sz w:val="32"/>
                                    <w:szCs w:val="32"/>
                                    <w:lang w:val="en-GB"/>
                                  </w:rPr>
                                  <w:t xml:space="preserve">Collect &amp; aggregate data and submit monthly report by </w:t>
                                </w:r>
                                <w:r>
                                  <w:rPr>
                                    <w:rFonts w:ascii="Calibri" w:eastAsia="MS PGothic" w:hAnsi="Calibri" w:cstheme="minorBidi"/>
                                    <w:b/>
                                    <w:bCs/>
                                    <w:color w:val="000000" w:themeColor="text1"/>
                                    <w:kern w:val="24"/>
                                    <w:lang w:val="en-GB"/>
                                  </w:rPr>
                                  <w:t>7</w:t>
                                </w:r>
                                <w:r>
                                  <w:rPr>
                                    <w:rFonts w:ascii="Calibri" w:eastAsia="MS PGothic" w:hAnsi="Calibri" w:cstheme="minorBidi"/>
                                    <w:b/>
                                    <w:bCs/>
                                    <w:color w:val="000000" w:themeColor="text1"/>
                                    <w:kern w:val="24"/>
                                    <w:position w:val="7"/>
                                    <w:vertAlign w:val="superscript"/>
                                    <w:lang w:val="en-GB"/>
                                  </w:rPr>
                                  <w:t>th</w:t>
                                </w:r>
                                <w:r>
                                  <w:rPr>
                                    <w:rFonts w:ascii="Calibri" w:eastAsia="MS PGothic" w:hAnsi="Calibri" w:cstheme="minorBidi"/>
                                    <w:b/>
                                    <w:bCs/>
                                    <w:color w:val="000000" w:themeColor="text1"/>
                                    <w:kern w:val="24"/>
                                    <w:lang w:val="en-GB"/>
                                  </w:rPr>
                                  <w:t xml:space="preserve"> of the following month</w:t>
                                </w:r>
                                <w:r>
                                  <w:rPr>
                                    <w:rFonts w:ascii="Calibri" w:eastAsia="MS PGothic" w:hAnsi="Calibri" w:cstheme="minorBidi"/>
                                    <w:color w:val="000000" w:themeColor="text1"/>
                                    <w:kern w:val="24"/>
                                    <w:lang w:val="en-GB"/>
                                  </w:rPr>
                                  <w:t>.</w:t>
                                </w:r>
                              </w:p>
                            </w:txbxContent>
                          </wps:txbx>
                          <wps:bodyPr>
                            <a:spAutoFit/>
                          </wps:bodyPr>
                        </wps:wsp>
                      </wpg:grpSp>
                      <wps:wsp>
                        <wps:cNvPr id="842" name="テキスト ボックス 26"/>
                        <wps:cNvSpPr txBox="1"/>
                        <wps:spPr>
                          <a:xfrm>
                            <a:off x="428625" y="285750"/>
                            <a:ext cx="8215313" cy="646113"/>
                          </a:xfrm>
                          <a:prstGeom prst="rect">
                            <a:avLst/>
                          </a:prstGeom>
                          <a:noFill/>
                        </wps:spPr>
                        <wps:txbx>
                          <w:txbxContent>
                            <w:p w:rsidR="00AA771C" w:rsidRDefault="00AA771C" w:rsidP="00AA771C">
                              <w:pPr>
                                <w:pStyle w:val="NormalWeb"/>
                                <w:spacing w:before="0" w:beforeAutospacing="0" w:after="0" w:afterAutospacing="0"/>
                                <w:textAlignment w:val="baseline"/>
                              </w:pPr>
                              <w:r>
                                <w:rPr>
                                  <w:rFonts w:ascii="Calibri" w:eastAsia="MS PGothic" w:hAnsi="Calibri" w:cstheme="minorBidi"/>
                                  <w:b/>
                                  <w:bCs/>
                                  <w:color w:val="000000" w:themeColor="text1"/>
                                  <w:kern w:val="24"/>
                                  <w:sz w:val="72"/>
                                  <w:szCs w:val="72"/>
                                  <w:lang w:val="en-GB"/>
                                </w:rPr>
                                <w:t>How is the information supposed to flow?</w:t>
                              </w:r>
                            </w:p>
                          </w:txbxContent>
                        </wps:txbx>
                        <wps:bodyPr>
                          <a:spAutoFit/>
                        </wps:bodyPr>
                      </wps:wsp>
                    </wpg:wgp>
                  </a:graphicData>
                </a:graphic>
              </wp:inline>
            </w:drawing>
          </mc:Choice>
          <mc:Fallback>
            <w:pict>
              <v:group id="Group 9283" o:spid="_x0000_s1452" style="width:468pt;height:266.25pt;mso-position-horizontal-relative:char;mso-position-vertical-relative:line" coordorigin="2857,2857" coordsize="85725,5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">
                <v:shapetype id="_x0000_t109" coordsize="21600,21600" o:spt="109" path="m,l,21600r21600,l21600,xe">
                  <v:stroke joinstyle="miter"/>
                  <v:path gradientshapeok="t" o:connecttype="rect"/>
                </v:shapetype>
                <v:shape id="フローチャート: 処理 7" o:spid="_x0000_s1453" type="#_x0000_t109" style="position:absolute;left:25003;top:24288;width:22860;height:9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7YMcA&#10;AADcAAAADwAAAGRycy9kb3ducmV2LnhtbESPQWvCQBSE70L/w/IKXqTZVKVodBVpFYRCi2kOPT6y&#10;zyQ2+zZkVxP/fVcQPA4z8w2zXPemFhdqXWVZwWsUgyDOra64UJD97F5mIJxH1lhbJgVXcrBePQ2W&#10;mGjb8YEuqS9EgLBLUEHpfZNI6fKSDLrINsTBO9rWoA+yLaRusQtwU8txHL9JgxWHhRIbei8p/0vP&#10;RoGcbI/zj25T/xbTQzqaZ/L09fmt1PC53yxAeOr9I3xv77WC2WQMtzPhC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Be2DHAAAA3AAAAA8AAAAAAAAAAAAAAAAAmAIAAGRy&#10;cy9kb3ducmV2LnhtbFBLBQYAAAAABAAEAPUAAACMAwAAAAA=&#10;" fillcolor="white [3201]" strokecolor="black [3200]" strokeweight="2pt">
                  <v:textbox>
                    <w:txbxContent>
                      <w:p w:rsidR="00AA771C" w:rsidRDefault="00AA771C" w:rsidP="00AA771C">
                        <w:pPr>
                          <w:pStyle w:val="NormalWeb"/>
                          <w:spacing w:before="0" w:beforeAutospacing="0" w:after="0" w:afterAutospacing="0"/>
                          <w:jc w:val="center"/>
                          <w:textAlignment w:val="baseline"/>
                        </w:pPr>
                        <w:r>
                          <w:rPr>
                            <w:rFonts w:asciiTheme="minorHAnsi" w:hAnsi="Calibri" w:cstheme="minorBidi"/>
                            <w:b/>
                            <w:bCs/>
                            <w:color w:val="000000"/>
                            <w:kern w:val="24"/>
                            <w:sz w:val="48"/>
                            <w:szCs w:val="48"/>
                            <w:eastAsianLayout w:id="636677376"/>
                          </w:rPr>
                          <w:t>RMO</w:t>
                        </w:r>
                      </w:p>
                    </w:txbxContent>
                  </v:textbox>
                </v:shape>
                <v:shape id="フローチャート: 処理 8" o:spid="_x0000_s1454" type="#_x0000_t109" style="position:absolute;left:43576;top:35004;width:22860;height:9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e+8YA&#10;AADcAAAADwAAAGRycy9kb3ducmV2LnhtbESPQWvCQBSE70L/w/IKXopubErR6CpiFQTBYvTg8ZF9&#10;Jmmzb0N2NfHfu4WCx2FmvmFmi85U4kaNKy0rGA0jEMSZ1SXnCk7HzWAMwnlkjZVlUnAnB4v5S2+G&#10;ibYtH+iW+lwECLsEFRTe14mULivIoBvamjh4F9sY9EE2udQNtgFuKvkeRZ/SYMlhocCaVgVlv+nV&#10;KJDx+jL5apfVOf84pG+Tk/zZ776V6r92yykIT51/hv/bW61gHMfwdy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e+8YAAADcAAAADwAAAAAAAAAAAAAAAACYAgAAZHJz&#10;L2Rvd25yZXYueG1sUEsFBgAAAAAEAAQA9QAAAIsDAAAAAA==&#10;" fillcolor="white [3201]" strokecolor="black [3200]" strokeweight="2pt">
                  <v:textbox>
                    <w:txbxContent>
                      <w:p w:rsidR="00AA771C" w:rsidRDefault="00AA771C" w:rsidP="00AA771C">
                        <w:pPr>
                          <w:pStyle w:val="NormalWeb"/>
                          <w:spacing w:before="0" w:beforeAutospacing="0" w:after="0" w:afterAutospacing="0"/>
                          <w:jc w:val="center"/>
                          <w:textAlignment w:val="baseline"/>
                        </w:pPr>
                        <w:r>
                          <w:rPr>
                            <w:rFonts w:asciiTheme="minorHAnsi" w:hAnsi="Calibri" w:cstheme="minorBidi"/>
                            <w:b/>
                            <w:bCs/>
                            <w:color w:val="000000"/>
                            <w:kern w:val="24"/>
                            <w:sz w:val="48"/>
                            <w:szCs w:val="48"/>
                            <w:eastAsianLayout w:id="636677377"/>
                          </w:rPr>
                          <w:t>DMO</w:t>
                        </w:r>
                      </w:p>
                    </w:txbxContent>
                  </v:textbox>
                </v:shape>
                <v:shape id="フローチャート: 処理 17" o:spid="_x0000_s1455" type="#_x0000_t109" style="position:absolute;left:6429;top:12858;width:22860;height:9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Gj8cA&#10;AADcAAAADwAAAGRycy9kb3ducmV2LnhtbESPT2vCQBTE7wW/w/KEXsRsrCIaXUX6BwpCizEHj4/s&#10;M4lm34bs1qTfvisIPQ4z8xtmve1NLW7UusqygkkUgyDOra64UJAdP8YLEM4ja6wtk4JfcrDdDJ7W&#10;mGjb8YFuqS9EgLBLUEHpfZNI6fKSDLrINsTBO9vWoA+yLaRusQtwU8uXOJ5LgxWHhRIbei0pv6Y/&#10;RoGcvp+Xb92uPhWzQzpaZvLytf9W6nnY71YgPPX+P/xof2oFi+kM7m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kRo/HAAAA3AAAAA8AAAAAAAAAAAAAAAAAmAIAAGRy&#10;cy9kb3ducmV2LnhtbFBLBQYAAAAABAAEAPUAAACMAwAAAAA=&#10;" fillcolor="white [3201]" strokecolor="black [3200]" strokeweight="2pt">
                  <v:textbox>
                    <w:txbxContent>
                      <w:p w:rsidR="00AA771C" w:rsidRDefault="00AA771C" w:rsidP="00AA771C">
                        <w:pPr>
                          <w:pStyle w:val="NormalWeb"/>
                          <w:spacing w:before="0" w:beforeAutospacing="0" w:after="0" w:afterAutospacing="0"/>
                          <w:jc w:val="center"/>
                          <w:textAlignment w:val="baseline"/>
                        </w:pPr>
                        <w:r>
                          <w:rPr>
                            <w:rFonts w:asciiTheme="minorHAnsi" w:hAnsi="Calibri" w:cstheme="minorBidi"/>
                            <w:b/>
                            <w:bCs/>
                            <w:color w:val="000000"/>
                            <w:kern w:val="24"/>
                            <w:sz w:val="48"/>
                            <w:szCs w:val="48"/>
                            <w:eastAsianLayout w:id="636677378"/>
                          </w:rPr>
                          <w:t>NACP</w:t>
                        </w:r>
                      </w:p>
                    </w:txbxContent>
                  </v:textbox>
                </v:shape>
                <v:shape id="フローチャート: 処理 18" o:spid="_x0000_s1456" type="#_x0000_t109" style="position:absolute;left:62150;top:46434;width:22860;height:9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jFMcA&#10;AADcAAAADwAAAGRycy9kb3ducmV2LnhtbESPT2vCQBTE70K/w/KEXopurFZMdBXpHxAKLcYcPD6y&#10;zyQ1+zZktyb99q5Q8DjMzG+Y1aY3tbhQ6yrLCibjCARxbnXFhYLs8DFagHAeWWNtmRT8kYPN+mGw&#10;wkTbjvd0SX0hAoRdggpK75tESpeXZNCNbUMcvJNtDfog20LqFrsAN7V8jqK5NFhxWCixodeS8nP6&#10;axTI6fspfuu29bGY7dOnOJM/X5/fSj0O++0ShKfe38P/7Z1WsJi+wO1MO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o4xTHAAAA3AAAAA8AAAAAAAAAAAAAAAAAmAIAAGRy&#10;cy9kb3ducmV2LnhtbFBLBQYAAAAABAAEAPUAAACMAwAAAAA=&#10;" fillcolor="white [3201]" strokecolor="black [3200]" strokeweight="2pt">
                  <v:textbox>
                    <w:txbxContent>
                      <w:p w:rsidR="00AA771C" w:rsidRDefault="00AA771C" w:rsidP="00AA771C">
                        <w:pPr>
                          <w:pStyle w:val="NormalWeb"/>
                          <w:spacing w:before="0" w:beforeAutospacing="0" w:after="0" w:afterAutospacing="0"/>
                          <w:jc w:val="center"/>
                          <w:textAlignment w:val="baseline"/>
                        </w:pPr>
                        <w:r>
                          <w:rPr>
                            <w:rFonts w:asciiTheme="minorHAnsi" w:hAnsi="Calibri" w:cstheme="minorBidi"/>
                            <w:b/>
                            <w:bCs/>
                            <w:color w:val="000000"/>
                            <w:kern w:val="24"/>
                            <w:sz w:val="48"/>
                            <w:szCs w:val="48"/>
                            <w:eastAsianLayout w:id="636677379"/>
                          </w:rPr>
                          <w:t>Health Facility</w:t>
                        </w:r>
                      </w:p>
                    </w:txbxContent>
                  </v:textbox>
                </v:shape>
                <v:group id="グループ化 29" o:spid="_x0000_s1457" style="position:absolute;left:2857;top:24288;width:23574;height:15669" coordorigin="2857,24288" coordsize="23574,15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曲折矢印 19" o:spid="_x0000_s1458" style="position:absolute;left:18215;top:22852;width:3923;height:6795;rotation:-90;visibility:visible;mso-wrap-style:square;v-text-anchor:middle" coordsize="392246,679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z6sQA&#10;AADcAAAADwAAAGRycy9kb3ducmV2LnhtbESPzWrDMBCE74W+g9hAb7Wcvya4UUIJtGmOcUKgt8Xa&#10;WqbWykiK4759VAj0OMzMN8xqM9hW9ORD41jBOMtBEFdON1wrOB3fn5cgQkTW2DomBb8UYLN+fFhh&#10;od2VD9SXsRYJwqFABSbGrpAyVIYshsx1xMn7dt5iTNLXUnu8Jrht5STPX6TFhtOCwY62hqqf8mIV&#10;DNNZc/k6u3L20fW7Q7vYe4N7pZ5Gw9sriEhD/A/f259awXI+hb8z6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wc+rEAAAA3AAAAA8AAAAAAAAAAAAAAAAAmAIAAGRycy9k&#10;b3ducmV2LnhtbFBLBQYAAAAABAAEAPUAAACJAwAAAAA=&#10;" adj="-11796480,,5400" path="m,679450l,220638c,125862,76832,49030,171608,49030r122577,1l294185,r98061,98062l294185,196123r,-49031l171608,147092v-40618,,-73546,32928,-73546,73546l98062,679450,,679450xe" fillcolor="white [3201]" strokecolor="black [3200]" strokeweight="2pt">
                    <v:stroke joinstyle="miter"/>
                    <v:formulas/>
                    <v:path arrowok="t" o:connecttype="custom" o:connectlocs="0,679450;0,220638;171608,49030;294185,49031;294185,0;392246,98062;294185,196123;294185,147092;171608,147092;98062,220638;98062,679450;0,679450" o:connectangles="0,0,0,0,0,0,0,0,0,0,0,0" textboxrect="0,0,392246,679450"/>
                    <v:textbox>
                      <w:txbxContent>
                        <w:p w:rsidR="00AA771C" w:rsidRDefault="00AA771C" w:rsidP="00AA771C">
                          <w:pPr>
                            <w:rPr>
                              <w:rFonts w:eastAsia="Times New Roman"/>
                            </w:rPr>
                          </w:pPr>
                        </w:p>
                      </w:txbxContent>
                    </v:textbox>
                  </v:shape>
                  <v:shape id="テキスト ボックス 13" o:spid="_x0000_s1459" type="#_x0000_t202" style="position:absolute;left:2857;top:28574;width:23574;height:1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NScMA&#10;AADcAAAADwAAAGRycy9kb3ducmV2LnhtbESPT2vCQBTE7wW/w/IKvdWNokWiq4h/wEMvten9kX1m&#10;Q7NvQ/Zp4rfvFgSPw8z8hlltBt+oG3WxDmxgMs5AEZfB1lwZKL6P7wtQUZAtNoHJwJ0ibNajlxXm&#10;NvT8RbezVCpBOOZowIm0udaxdOQxjkNLnLxL6DxKkl2lbYd9gvtGT7PsQ3usOS04bGnnqPw9X70B&#10;Ebud3IuDj6ef4XPfu6ycY2HM2+uwXYISGuQZfrRP1sBiPoP/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PNScMAAADcAAAADwAAAAAAAAAAAAAAAACYAgAAZHJzL2Rv&#10;d25yZXYueG1sUEsFBgAAAAAEAAQA9QAAAIgDAAAAAA==&#10;" filled="f" stroked="f">
                    <v:textbox style="mso-fit-shape-to-text:t">
                      <w:txbxContent>
                        <w:p w:rsidR="00AA771C" w:rsidRDefault="00AA771C" w:rsidP="00AA771C">
                          <w:pPr>
                            <w:pStyle w:val="NormalWeb"/>
                            <w:spacing w:before="0" w:beforeAutospacing="0" w:after="0" w:afterAutospacing="0"/>
                            <w:textAlignment w:val="baseline"/>
                          </w:pPr>
                          <w:r>
                            <w:rPr>
                              <w:rFonts w:ascii="Calibri" w:eastAsia="MS PGothic" w:hAnsi="Calibri" w:cstheme="minorBidi"/>
                              <w:color w:val="000000" w:themeColor="text1"/>
                              <w:kern w:val="24"/>
                              <w:sz w:val="32"/>
                              <w:szCs w:val="32"/>
                              <w:lang w:val="en-GB"/>
                              <w:eastAsianLayout w:id="636677377"/>
                            </w:rPr>
                            <w:t xml:space="preserve">Collect &amp; aggregate data and submit monthly report by </w:t>
                          </w:r>
                          <w:r>
                            <w:rPr>
                              <w:rFonts w:ascii="Calibri" w:eastAsia="MS PGothic" w:hAnsi="Calibri" w:cstheme="minorBidi"/>
                              <w:b/>
                              <w:bCs/>
                              <w:color w:val="000000" w:themeColor="text1"/>
                              <w:kern w:val="24"/>
                              <w:lang w:val="en-GB"/>
                              <w:eastAsianLayout w:id="636677378"/>
                            </w:rPr>
                            <w:t>21</w:t>
                          </w:r>
                          <w:r>
                            <w:rPr>
                              <w:rFonts w:ascii="Calibri" w:eastAsia="MS PGothic" w:hAnsi="Calibri" w:cstheme="minorBidi"/>
                              <w:b/>
                              <w:bCs/>
                              <w:color w:val="000000" w:themeColor="text1"/>
                              <w:kern w:val="24"/>
                              <w:position w:val="7"/>
                              <w:vertAlign w:val="superscript"/>
                              <w:lang w:val="en-GB"/>
                              <w:eastAsianLayout w:id="636677379"/>
                            </w:rPr>
                            <w:t>st</w:t>
                          </w:r>
                          <w:r>
                            <w:rPr>
                              <w:rFonts w:ascii="Calibri" w:eastAsia="MS PGothic" w:hAnsi="Calibri" w:cstheme="minorBidi"/>
                              <w:b/>
                              <w:bCs/>
                              <w:color w:val="000000" w:themeColor="text1"/>
                              <w:kern w:val="24"/>
                              <w:lang w:val="en-GB"/>
                              <w:eastAsianLayout w:id="636677380"/>
                            </w:rPr>
                            <w:t xml:space="preserve"> of the following month</w:t>
                          </w:r>
                          <w:r>
                            <w:rPr>
                              <w:rFonts w:ascii="Calibri" w:eastAsia="MS PGothic" w:hAnsi="Calibri" w:cstheme="minorBidi"/>
                              <w:color w:val="000000" w:themeColor="text1"/>
                              <w:kern w:val="24"/>
                              <w:lang w:val="en-GB"/>
                              <w:eastAsianLayout w:id="636677381"/>
                            </w:rPr>
                            <w:t>.</w:t>
                          </w:r>
                        </w:p>
                      </w:txbxContent>
                    </v:textbox>
                  </v:shape>
                </v:group>
                <v:group id="グループ化 30" o:spid="_x0000_s1460" style="position:absolute;left:31067;top:16430;width:32512;height:6430" coordorigin="31067,16430" coordsize="32512,6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曲折矢印 10" o:spid="_x0000_s1461" style="position:absolute;left:32495;top:17495;width:3937;height:6794;rotation:90;visibility:visible;mso-wrap-style:square;v-text-anchor:middle" coordsize="393708,6794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RcUA&#10;AADcAAAADwAAAGRycy9kb3ducmV2LnhtbESPQWvCQBSE7wX/w/IEL0U3trRKdBWRCoWeqgE9PrPP&#10;JJh9L2RXk/bXdwuFHoeZ+YZZrntXqzu1vhI2MJ0koIhzsRUXBrLDbjwH5QOyxVqYDHyRh/Vq8LDE&#10;1ErHn3Tfh0JFCPsUDZQhNKnWPi/JoZ9IQxy9i7QOQ5RtoW2LXYS7Wj8lyat2WHFcKLGhbUn5dX9z&#10;BsSeiuy8fczeQoLf3eFDZsdnMWY07DcLUIH68B/+a79bA/OXKfyei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v5FxQAAANwAAAAPAAAAAAAAAAAAAAAAAJgCAABkcnMv&#10;ZG93bnJldi54bWxQSwUGAAAAAAQABAD1AAAAigMAAAAA&#10;" adj="-11796480,,5400" path="m,679457l,221461c,126332,77118,49214,172247,49214r123034,l295281,r98427,98427l295281,196854r,-49213l172247,147641v-40770,,-73820,33050,-73820,73820l98427,679457,,679457xe" fillcolor="white [3201]" strokecolor="black [3200]" strokeweight="2pt">
                    <v:stroke joinstyle="miter"/>
                    <v:formulas/>
                    <v:path arrowok="t" o:connecttype="custom" o:connectlocs="0,679457;0,221461;172247,49214;295281,49214;295281,0;393708,98427;295281,196854;295281,147641;172247,147641;98427,221461;98427,679457;0,679457" o:connectangles="0,0,0,0,0,0,0,0,0,0,0,0" textboxrect="0,0,393708,679457"/>
                    <v:textbox>
                      <w:txbxContent>
                        <w:p w:rsidR="00AA771C" w:rsidRDefault="00AA771C" w:rsidP="00AA771C">
                          <w:pPr>
                            <w:rPr>
                              <w:rFonts w:eastAsia="Times New Roman"/>
                            </w:rPr>
                          </w:pPr>
                        </w:p>
                      </w:txbxContent>
                    </v:textbox>
                  </v:shape>
                  <v:shape id="テキスト ボックス 14" o:spid="_x0000_s1462" type="#_x0000_t202" style="position:absolute;left:37861;top:16430;width:2571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wpsIA&#10;AADcAAAADwAAAGRycy9kb3ducmV2LnhtbESPQWvCQBSE74L/YXmCN90oWCR1FdEKHrzUpvdH9pkN&#10;Zt+G7KuJ/94tFHocZuYbZrMbfKMe1MU6sIHFPANFXAZbc2Wg+DrN1qCiIFtsApOBJ0XYbcejDeY2&#10;9PxJj6tUKkE45mjAibS51rF05DHOQ0ucvFvoPEqSXaVth32C+0Yvs+xNe6w5LThs6eCovF9/vAER&#10;u188iw8fz9/D5di7rFxhYcx0MuzfQQkN8h/+a5+tgfVqCb9n0hH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vCmwgAAANwAAAAPAAAAAAAAAAAAAAAAAJgCAABkcnMvZG93&#10;bnJldi54bWxQSwUGAAAAAAQABAD1AAAAhwMAAAAA&#10;" filled="f" stroked="f">
                    <v:textbox style="mso-fit-shape-to-text:t">
                      <w:txbxContent>
                        <w:p w:rsidR="00AA771C" w:rsidRDefault="00AA771C" w:rsidP="00AA771C">
                          <w:pPr>
                            <w:pStyle w:val="NormalWeb"/>
                            <w:spacing w:before="0" w:beforeAutospacing="0" w:after="0" w:afterAutospacing="0"/>
                            <w:textAlignment w:val="baseline"/>
                          </w:pPr>
                          <w:r>
                            <w:rPr>
                              <w:rFonts w:ascii="Calibri" w:eastAsia="MS PGothic" w:hAnsi="Calibri" w:cstheme="minorBidi"/>
                              <w:color w:val="000000" w:themeColor="text1"/>
                              <w:kern w:val="24"/>
                              <w:lang w:val="en-GB"/>
                              <w:eastAsianLayout w:id="636677376"/>
                            </w:rPr>
                            <w:t>Feedback to lower levels</w:t>
                          </w:r>
                        </w:p>
                      </w:txbxContent>
                    </v:textbox>
                  </v:shape>
                </v:group>
                <v:group id="グループ化 31" o:spid="_x0000_s1463" style="position:absolute;left:49657;top:25717;width:32496;height:6429" coordorigin="49657,25717" coordsize="32496,6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曲折矢印 11" o:spid="_x0000_s1464" style="position:absolute;left:51077;top:26789;width:3937;height:6778;rotation:90;visibility:visible;mso-wrap-style:square;v-text-anchor:middle" coordsize="393704,6778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lzcQA&#10;AADcAAAADwAAAGRycy9kb3ducmV2LnhtbESP3WoCMRSE7wu+QziCdzXrD6Jbo6igtiCitg9wujnu&#10;Lm5OliTq+vZNQfBymJlvmOm8MZW4kfOlZQW9bgKCOLO65FzBz/f6fQzCB2SNlWVS8CAP81nrbYqp&#10;tnc+0u0UchEh7FNUUIRQp1L6rCCDvmtr4uidrTMYonS51A7vEW4q2U+SkTRYclwosKZVQdnldDUK&#10;BvuDk9ff/dfKyKXe5dvNcchGqU67WXyACNSEV/jZ/tQKxsMJ/J+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Zc3EAAAA3AAAAA8AAAAAAAAAAAAAAAAAmAIAAGRycy9k&#10;b3ducmV2LnhtbFBLBQYAAAAABAAEAPUAAACJAwAAAAA=&#10;" adj="-11796480,,5400" path="m,677875l,221459c,126330,77117,49213,172246,49213r123032,l295278,r98426,98426l295278,196852r,-49213l172246,147639v-40770,,-73820,33050,-73820,73820l98426,677875,,677875xe" fillcolor="white [3201]" strokecolor="black [3200]" strokeweight="2pt">
                    <v:stroke joinstyle="miter"/>
                    <v:formulas/>
                    <v:path arrowok="t" o:connecttype="custom" o:connectlocs="0,677875;0,221459;172246,49213;295278,49213;295278,0;393704,98426;295278,196852;295278,147639;172246,147639;98426,221459;98426,677875;0,677875" o:connectangles="0,0,0,0,0,0,0,0,0,0,0,0" textboxrect="0,0,393704,677875"/>
                    <v:textbox>
                      <w:txbxContent>
                        <w:p w:rsidR="00AA771C" w:rsidRDefault="00AA771C" w:rsidP="00AA771C">
                          <w:pPr>
                            <w:rPr>
                              <w:rFonts w:eastAsia="Times New Roman"/>
                            </w:rPr>
                          </w:pPr>
                        </w:p>
                      </w:txbxContent>
                    </v:textbox>
                  </v:shape>
                  <v:shape id="テキスト ボックス 14" o:spid="_x0000_s1465" type="#_x0000_t202" style="position:absolute;left:56435;top:25717;width:2571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LSr4A&#10;AADcAAAADwAAAGRycy9kb3ducmV2LnhtbERPTYvCMBC9L/gfwgjeNFVwka5RRFfw4GW1ex+asSk2&#10;k9LM2vrvzUHY4+N9r7eDb9SDulgHNjCfZaCIy2BrrgwU1+N0BSoKssUmMBl4UoTtZvSxxtyGnn/o&#10;cZFKpRCOORpwIm2udSwdeYyz0BIn7hY6j5JgV2nbYZ/CfaMXWfapPdacGhy2tHdU3i9/3oCI3c2f&#10;xbePp9/hfOhdVi6xMGYyHnZfoIQG+Re/3SdrYLVM89OZdAT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2Yy0q+AAAA3AAAAA8AAAAAAAAAAAAAAAAAmAIAAGRycy9kb3ducmV2&#10;LnhtbFBLBQYAAAAABAAEAPUAAACDAwAAAAA=&#10;" filled="f" stroked="f">
                    <v:textbox style="mso-fit-shape-to-text:t">
                      <w:txbxContent>
                        <w:p w:rsidR="00AA771C" w:rsidRDefault="00AA771C" w:rsidP="00AA771C">
                          <w:pPr>
                            <w:pStyle w:val="NormalWeb"/>
                            <w:spacing w:before="0" w:beforeAutospacing="0" w:after="0" w:afterAutospacing="0"/>
                            <w:textAlignment w:val="baseline"/>
                          </w:pPr>
                          <w:r>
                            <w:rPr>
                              <w:rFonts w:ascii="Calibri" w:eastAsia="MS PGothic" w:hAnsi="Calibri" w:cstheme="minorBidi"/>
                              <w:color w:val="000000" w:themeColor="text1"/>
                              <w:kern w:val="24"/>
                              <w:lang w:val="en-GB"/>
                              <w:eastAsianLayout w:id="636677392"/>
                            </w:rPr>
                            <w:t>Feedback to lower levels</w:t>
                          </w:r>
                        </w:p>
                      </w:txbxContent>
                    </v:textbox>
                  </v:shape>
                </v:group>
                <v:group id="グループ化 32" o:spid="_x0000_s1466" style="position:absolute;left:68580;top:33575;width:20002;height:11430" coordorigin="68580,33575" coordsize="20002,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曲折矢印 12" o:spid="_x0000_s1467" style="position:absolute;left:70016;top:39648;width:3921;height:6794;rotation:90;visibility:visible;mso-wrap-style:square;v-text-anchor:middle" coordsize="392113,6794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8t/MYA&#10;AADcAAAADwAAAGRycy9kb3ducmV2LnhtbESPUWvCQBCE34X+h2MLfZF6aZFqo5dgC0LpU43+gCW3&#10;5qK5vZi7xtRf7xUEH4fZ+WZnmQ+2ET11vnas4GWSgCAuna65UrDbrp/nIHxA1tg4JgV/5CHPHkZL&#10;TLU784b6IlQiQtinqMCE0KZS+tKQRT9xLXH09q6zGKLsKqk7PEe4beRrkrxJizXHBoMtfRoqj8Wv&#10;jW9M7YcZb77rw+W9+tmtbX+aDVKpp8dhtQARaAj341v6SyuYT2fwPyYS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8t/MYAAADcAAAADwAAAAAAAAAAAAAAAACYAgAAZHJz&#10;L2Rvd25yZXYueG1sUEsFBgAAAAAEAAQA9QAAAIsDAAAAAA==&#10;" adj="-11796480,,5400" path="m,679456l,220564c,125820,76805,49015,171549,49015r122536,-1l294085,r98028,98028l294085,196057r,-49015l171549,147042v-40605,,-73521,32916,-73521,73521l98028,679456,,679456xe" fillcolor="white [3201]" strokecolor="black [3200]" strokeweight="2pt">
                    <v:stroke joinstyle="miter"/>
                    <v:formulas/>
                    <v:path arrowok="t" o:connecttype="custom" o:connectlocs="0,679456;0,220564;171549,49015;294085,49014;294085,0;392113,98028;294085,196057;294085,147042;171549,147042;98028,220563;98028,679456;0,679456" o:connectangles="0,0,0,0,0,0,0,0,0,0,0,0" textboxrect="0,0,392113,679456"/>
                    <v:textbox>
                      <w:txbxContent>
                        <w:p w:rsidR="00AA771C" w:rsidRDefault="00AA771C" w:rsidP="00AA771C">
                          <w:pPr>
                            <w:rPr>
                              <w:rFonts w:eastAsia="Times New Roman"/>
                            </w:rPr>
                          </w:pPr>
                        </w:p>
                      </w:txbxContent>
                    </v:textbox>
                  </v:shape>
                  <v:shape id="テキスト ボックス 14" o:spid="_x0000_s1468" type="#_x0000_t202" style="position:absolute;left:70723;top:33575;width:17859;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Rkb8A&#10;AADcAAAADwAAAGRycy9kb3ducmV2LnhtbERPTWvCQBC9F/wPywi91Y2iRaKriFbw4EWb3ofsmA1m&#10;Z0N2auK/7x4KHh/ve70dfKMe1MU6sIHpJANFXAZbc2Wg+D5+LEFFQbbYBCYDT4qw3Yze1pjb0POF&#10;HlepVArhmKMBJ9LmWsfSkcc4CS1x4m6h8ygJdpW2HfYp3Dd6lmWf2mPNqcFhS3tH5f366w2I2N30&#10;WXz5ePoZzofeZeUCC2Pex8NuBUpokJf4332yBpbztDa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N1GRvwAAANwAAAAPAAAAAAAAAAAAAAAAAJgCAABkcnMvZG93bnJl&#10;di54bWxQSwUGAAAAAAQABAD1AAAAhAMAAAAA&#10;" filled="f" stroked="f">
                    <v:textbox style="mso-fit-shape-to-text:t">
                      <w:txbxContent>
                        <w:p w:rsidR="00AA771C" w:rsidRDefault="00AA771C" w:rsidP="00AA771C">
                          <w:pPr>
                            <w:pStyle w:val="NormalWeb"/>
                            <w:spacing w:before="0" w:beforeAutospacing="0" w:after="0" w:afterAutospacing="0"/>
                            <w:textAlignment w:val="baseline"/>
                          </w:pPr>
                          <w:r>
                            <w:rPr>
                              <w:rFonts w:ascii="Calibri" w:eastAsia="MS PGothic" w:hAnsi="Calibri" w:cstheme="minorBidi"/>
                              <w:color w:val="000000" w:themeColor="text1"/>
                              <w:kern w:val="24"/>
                              <w:lang w:val="en-GB"/>
                              <w:eastAsianLayout w:id="636677391"/>
                            </w:rPr>
                            <w:t>Feedback to lower levels</w:t>
                          </w:r>
                        </w:p>
                      </w:txbxContent>
                    </v:textbox>
                  </v:shape>
                </v:group>
                <v:group id="グループ化 28" o:spid="_x0000_s1469" style="position:absolute;left:20716;top:35004;width:23575;height:15637" coordorigin="20716,35004" coordsize="23574,15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曲折矢印 16" o:spid="_x0000_s1470" style="position:absolute;left:36067;top:33576;width:3938;height:6794;rotation:-90;visibility:visible;mso-wrap-style:square;v-text-anchor:middle" coordsize="393792,679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PjMQA&#10;AADcAAAADwAAAGRycy9kb3ducmV2LnhtbESPT4vCMBTE7wt+h/AEb2uquEutRhHRpQcX/x48Pppn&#10;W2xeShO1fnsjLOxxmJnfMNN5aypxp8aVlhUM+hEI4szqknMFp+P6MwbhPLLGyjIpeJKD+azzMcVE&#10;2wfv6X7wuQgQdgkqKLyvEyldVpBB17c1cfAutjHog2xyqRt8BLip5DCKvqXBksNCgTUtC8quh5tR&#10;sCrT0WAvx9ef8/ZCu81v2tr4rFSv2y4mIDy1/j/81061gnj0Be8z4Qj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MT4zEAAAA3AAAAA8AAAAAAAAAAAAAAAAAmAIAAGRycy9k&#10;b3ducmV2LnhtbFBLBQYAAAAABAAEAPUAAACJAwAAAAA=&#10;" adj="-11796480,,5400" path="m,679444l,221508c,126358,77134,49224,172284,49224r123060,l295344,r98448,98448l295344,196896r,-49224l172284,147672v-40778,,-73836,33058,-73836,73836l98448,679444,,679444xe" fillcolor="white [3201]" strokecolor="black [3200]" strokeweight="2pt">
                    <v:stroke joinstyle="miter"/>
                    <v:formulas/>
                    <v:path arrowok="t" o:connecttype="custom" o:connectlocs="0,679444;0,221508;172284,49224;295344,49224;295344,0;393792,98448;295344,196896;295344,147672;172284,147672;98448,221508;98448,679444;0,679444" o:connectangles="0,0,0,0,0,0,0,0,0,0,0,0" textboxrect="0,0,393792,679444"/>
                    <v:textbox>
                      <w:txbxContent>
                        <w:p w:rsidR="00AA771C" w:rsidRDefault="00AA771C" w:rsidP="00AA771C">
                          <w:pPr>
                            <w:rPr>
                              <w:rFonts w:eastAsia="Times New Roman"/>
                            </w:rPr>
                          </w:pPr>
                        </w:p>
                      </w:txbxContent>
                    </v:textbox>
                  </v:shape>
                  <v:shape id="テキスト ボックス 13" o:spid="_x0000_s1471" type="#_x0000_t202" style="position:absolute;left:20716;top:39257;width:23575;height:1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geMIA&#10;AADcAAAADwAAAGRycy9kb3ducmV2LnhtbESPQWvCQBSE7wX/w/IK3urGYkVSVxGr4KEXNd4f2dds&#10;aPZtyD5N/PduoeBxmJlvmOV68I26URfrwAamkwwUcRlszZWB4rx/W4CKgmyxCUwG7hRhvRq9LDG3&#10;oecj3U5SqQThmKMBJ9LmWsfSkcc4CS1x8n5C51GS7CptO+wT3Df6Pcvm2mPNacFhS1tH5e/p6g2I&#10;2M30Xux8PFyG76/eZeUHFsaMX4fNJyihQZ7h//bBGljM5vB3Jh0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5GB4wgAAANwAAAAPAAAAAAAAAAAAAAAAAJgCAABkcnMvZG93&#10;bnJldi54bWxQSwUGAAAAAAQABAD1AAAAhwMAAAAA&#10;" filled="f" stroked="f">
                    <v:textbox style="mso-fit-shape-to-text:t">
                      <w:txbxContent>
                        <w:p w:rsidR="00AA771C" w:rsidRDefault="00AA771C" w:rsidP="00AA771C">
                          <w:pPr>
                            <w:pStyle w:val="NormalWeb"/>
                            <w:spacing w:before="0" w:beforeAutospacing="0" w:after="0" w:afterAutospacing="0"/>
                            <w:textAlignment w:val="baseline"/>
                          </w:pPr>
                          <w:r>
                            <w:rPr>
                              <w:rFonts w:ascii="Calibri" w:eastAsia="MS PGothic" w:hAnsi="Calibri" w:cstheme="minorBidi"/>
                              <w:color w:val="000000" w:themeColor="text1"/>
                              <w:kern w:val="24"/>
                              <w:sz w:val="32"/>
                              <w:szCs w:val="32"/>
                              <w:lang w:val="en-GB"/>
                              <w:eastAsianLayout w:id="636677386"/>
                            </w:rPr>
                            <w:t xml:space="preserve">Collect &amp; aggregate data and submit monthly report by </w:t>
                          </w:r>
                          <w:r>
                            <w:rPr>
                              <w:rFonts w:ascii="Calibri" w:eastAsia="MS PGothic" w:hAnsi="Calibri" w:cstheme="minorBidi"/>
                              <w:b/>
                              <w:bCs/>
                              <w:color w:val="000000" w:themeColor="text1"/>
                              <w:kern w:val="24"/>
                              <w:lang w:val="en-GB"/>
                              <w:eastAsianLayout w:id="636677387"/>
                            </w:rPr>
                            <w:t>14</w:t>
                          </w:r>
                          <w:r>
                            <w:rPr>
                              <w:rFonts w:ascii="Calibri" w:eastAsia="MS PGothic" w:hAnsi="Calibri" w:cstheme="minorBidi"/>
                              <w:b/>
                              <w:bCs/>
                              <w:color w:val="000000" w:themeColor="text1"/>
                              <w:kern w:val="24"/>
                              <w:position w:val="7"/>
                              <w:vertAlign w:val="superscript"/>
                              <w:lang w:val="en-GB"/>
                              <w:eastAsianLayout w:id="636677388"/>
                            </w:rPr>
                            <w:t>th</w:t>
                          </w:r>
                          <w:r>
                            <w:rPr>
                              <w:rFonts w:ascii="Calibri" w:eastAsia="MS PGothic" w:hAnsi="Calibri" w:cstheme="minorBidi"/>
                              <w:b/>
                              <w:bCs/>
                              <w:color w:val="000000" w:themeColor="text1"/>
                              <w:kern w:val="24"/>
                              <w:lang w:val="en-GB"/>
                              <w:eastAsianLayout w:id="636677389"/>
                            </w:rPr>
                            <w:t xml:space="preserve"> of the following month</w:t>
                          </w:r>
                          <w:r>
                            <w:rPr>
                              <w:rFonts w:ascii="Calibri" w:eastAsia="MS PGothic" w:hAnsi="Calibri" w:cstheme="minorBidi"/>
                              <w:color w:val="000000" w:themeColor="text1"/>
                              <w:kern w:val="24"/>
                              <w:lang w:val="en-GB"/>
                              <w:eastAsianLayout w:id="636677390"/>
                            </w:rPr>
                            <w:t>.</w:t>
                          </w:r>
                        </w:p>
                      </w:txbxContent>
                    </v:textbox>
                  </v:shape>
                </v:group>
                <v:group id="グループ化 27" o:spid="_x0000_s1472" style="position:absolute;left:40004;top:46085;width:23575;height:15986" coordorigin="40005,46085" coordsize="23574,15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曲折矢印 14" o:spid="_x0000_s1473" style="position:absolute;left:55371;top:44657;width:3922;height:6778;rotation:-90;visibility:visible;mso-wrap-style:square;v-text-anchor:middle" coordsize="392204,6778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3b+sQA&#10;AADcAAAADwAAAGRycy9kb3ducmV2LnhtbESP3YrCMBSE7xd8h3AWvFvTdUW0GkXERfFG/HmAQ3Ns&#10;qs1JbWKtb28WFrwcZuYbZjpvbSkaqn3hWMF3LwFBnDldcK7gdPz9GoHwAVlj6ZgUPMnDfNb5mGKq&#10;3YP31BxCLiKEfYoKTAhVKqXPDFn0PVcRR+/saoshyjqXusZHhNtS9pNkKC0WHBcMVrQ0lF0Pd6vg&#10;vDOb22J1a9bZZbXfNtvLc4xHpbqf7WICIlAb3uH/9kYrGA1+4O9MP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92/rEAAAA3AAAAA8AAAAAAAAAAAAAAAAAmAIAAGRycy9k&#10;b3ducmV2LnhtbFBLBQYAAAAABAAEAPUAAACJAwAAAAA=&#10;" adj="-11796480,,5400" path="m,677857l,220615c,125849,76823,49026,171589,49026r122564,l294153,r98051,98051l294153,196102r,-49025l171589,147077v-40614,,-73538,32924,-73538,73538l98051,677857,,677857xe" fillcolor="white [3201]" strokecolor="black [3200]" strokeweight="2pt">
                    <v:stroke joinstyle="miter"/>
                    <v:formulas/>
                    <v:path arrowok="t" o:connecttype="custom" o:connectlocs="0,677857;0,220615;171589,49026;294153,49026;294153,0;392204,98051;294153,196102;294153,147077;171589,147077;98051,220615;98051,677857;0,677857" o:connectangles="0,0,0,0,0,0,0,0,0,0,0,0" textboxrect="0,0,392204,677857"/>
                    <v:textbox>
                      <w:txbxContent>
                        <w:p w:rsidR="00AA771C" w:rsidRDefault="00AA771C" w:rsidP="00AA771C">
                          <w:pPr>
                            <w:rPr>
                              <w:rFonts w:eastAsia="Times New Roman"/>
                            </w:rPr>
                          </w:pPr>
                        </w:p>
                      </w:txbxContent>
                    </v:textbox>
                  </v:shape>
                  <v:shape id="テキスト ボックス 13" o:spid="_x0000_s1474" type="#_x0000_t202" style="position:absolute;left:40005;top:50687;width:23574;height:11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pblMMA&#10;AADcAAAADwAAAGRycy9kb3ducmV2LnhtbESPQWvCQBSE74L/YXmF3nRj0SLRNQTbggcvten9kX1m&#10;Q7NvQ/bVxH/fLRR6HGbmG2ZfTL5TNxpiG9jAapmBIq6DbbkxUH28LbagoiBb7AKTgTtFKA7z2R5z&#10;G0Z+p9tFGpUgHHM04ET6XOtYO/IYl6EnTt41DB4lyaHRdsAxwX2nn7LsWXtsOS047OnoqP66fHsD&#10;IrZc3atXH0+f0/lldFm9wcqYx4ep3IESmuQ//Nc+WQPb9Rp+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pblMMAAADcAAAADwAAAAAAAAAAAAAAAACYAgAAZHJzL2Rv&#10;d25yZXYueG1sUEsFBgAAAAAEAAQA9QAAAIgDAAAAAA==&#10;" filled="f" stroked="f">
                    <v:textbox style="mso-fit-shape-to-text:t">
                      <w:txbxContent>
                        <w:p w:rsidR="00AA771C" w:rsidRDefault="00AA771C" w:rsidP="00AA771C">
                          <w:pPr>
                            <w:pStyle w:val="NormalWeb"/>
                            <w:spacing w:before="0" w:beforeAutospacing="0" w:after="0" w:afterAutospacing="0"/>
                            <w:textAlignment w:val="baseline"/>
                          </w:pPr>
                          <w:r>
                            <w:rPr>
                              <w:rFonts w:ascii="Calibri" w:eastAsia="MS PGothic" w:hAnsi="Calibri" w:cstheme="minorBidi"/>
                              <w:color w:val="000000" w:themeColor="text1"/>
                              <w:kern w:val="24"/>
                              <w:sz w:val="32"/>
                              <w:szCs w:val="32"/>
                              <w:lang w:val="en-GB"/>
                              <w:eastAsianLayout w:id="636677381"/>
                            </w:rPr>
                            <w:t xml:space="preserve">Collect &amp; aggregate data and submit monthly report by </w:t>
                          </w:r>
                          <w:r>
                            <w:rPr>
                              <w:rFonts w:ascii="Calibri" w:eastAsia="MS PGothic" w:hAnsi="Calibri" w:cstheme="minorBidi"/>
                              <w:b/>
                              <w:bCs/>
                              <w:color w:val="000000" w:themeColor="text1"/>
                              <w:kern w:val="24"/>
                              <w:lang w:val="en-GB"/>
                              <w:eastAsianLayout w:id="636677382"/>
                            </w:rPr>
                            <w:t>7</w:t>
                          </w:r>
                          <w:r>
                            <w:rPr>
                              <w:rFonts w:ascii="Calibri" w:eastAsia="MS PGothic" w:hAnsi="Calibri" w:cstheme="minorBidi"/>
                              <w:b/>
                              <w:bCs/>
                              <w:color w:val="000000" w:themeColor="text1"/>
                              <w:kern w:val="24"/>
                              <w:position w:val="7"/>
                              <w:vertAlign w:val="superscript"/>
                              <w:lang w:val="en-GB"/>
                              <w:eastAsianLayout w:id="636677383"/>
                            </w:rPr>
                            <w:t>th</w:t>
                          </w:r>
                          <w:r>
                            <w:rPr>
                              <w:rFonts w:ascii="Calibri" w:eastAsia="MS PGothic" w:hAnsi="Calibri" w:cstheme="minorBidi"/>
                              <w:b/>
                              <w:bCs/>
                              <w:color w:val="000000" w:themeColor="text1"/>
                              <w:kern w:val="24"/>
                              <w:lang w:val="en-GB"/>
                              <w:eastAsianLayout w:id="636677384"/>
                            </w:rPr>
                            <w:t xml:space="preserve"> of the following month</w:t>
                          </w:r>
                          <w:r>
                            <w:rPr>
                              <w:rFonts w:ascii="Calibri" w:eastAsia="MS PGothic" w:hAnsi="Calibri" w:cstheme="minorBidi"/>
                              <w:color w:val="000000" w:themeColor="text1"/>
                              <w:kern w:val="24"/>
                              <w:lang w:val="en-GB"/>
                              <w:eastAsianLayout w:id="636677385"/>
                            </w:rPr>
                            <w:t>.</w:t>
                          </w:r>
                        </w:p>
                      </w:txbxContent>
                    </v:textbox>
                  </v:shape>
                </v:group>
                <v:shape id="テキスト ボックス 26" o:spid="_x0000_s1475" type="#_x0000_t202" style="position:absolute;left:4286;top:2857;width:82153;height: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9me8MA&#10;AADcAAAADwAAAGRycy9kb3ducmV2LnhtbESPQWvCQBSE74L/YXmF3nSj1CLRNQTbggcvten9kX1m&#10;Q7NvQ/bVxH/fLRR6HGbmG2ZfTL5TNxpiG9jAapmBIq6DbbkxUH28LbagoiBb7AKTgTtFKA7z2R5z&#10;G0Z+p9tFGpUgHHM04ET6XOtYO/IYl6EnTt41DB4lyaHRdsAxwX2n11n2rD22nBYc9nR0VH9dvr0B&#10;EVuu7tWrj6fP6fwyuqzeYGXM48NU7kAJTfIf/mufrIHt0xp+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9me8MAAADcAAAADwAAAAAAAAAAAAAAAACYAgAAZHJzL2Rv&#10;d25yZXYueG1sUEsFBgAAAAAEAAQA9QAAAIgDAAAAAA==&#10;" filled="f" stroked="f">
                  <v:textbox style="mso-fit-shape-to-text:t">
                    <w:txbxContent>
                      <w:p w:rsidR="00AA771C" w:rsidRDefault="00AA771C" w:rsidP="00AA771C">
                        <w:pPr>
                          <w:pStyle w:val="NormalWeb"/>
                          <w:spacing w:before="0" w:beforeAutospacing="0" w:after="0" w:afterAutospacing="0"/>
                          <w:textAlignment w:val="baseline"/>
                        </w:pPr>
                        <w:r>
                          <w:rPr>
                            <w:rFonts w:ascii="Calibri" w:eastAsia="MS PGothic" w:hAnsi="Calibri" w:cstheme="minorBidi"/>
                            <w:b/>
                            <w:bCs/>
                            <w:color w:val="000000" w:themeColor="text1"/>
                            <w:kern w:val="24"/>
                            <w:sz w:val="72"/>
                            <w:szCs w:val="72"/>
                            <w:lang w:val="en-GB"/>
                            <w:eastAsianLayout w:id="636677380"/>
                          </w:rPr>
                          <w:t>How is the information supposed to flow?</w:t>
                        </w:r>
                      </w:p>
                    </w:txbxContent>
                  </v:textbox>
                </v:shape>
                <w10:anchorlock/>
              </v:group>
            </w:pict>
          </mc:Fallback>
        </mc:AlternateContent>
      </w:r>
    </w:p>
    <w:p w:rsidR="0071027C" w:rsidRDefault="0071027C" w:rsidP="0071027C">
      <w:pPr>
        <w:pStyle w:val="Heading3"/>
        <w:spacing w:before="120" w:after="120" w:line="240" w:lineRule="auto"/>
        <w:jc w:val="both"/>
        <w:rPr>
          <w:rFonts w:ascii="Arial" w:hAnsi="Arial" w:cs="Arial"/>
        </w:rPr>
      </w:pPr>
      <w:bookmarkStart w:id="1058" w:name="_Toc358139916"/>
      <w:bookmarkStart w:id="1059" w:name="_Toc374015649"/>
    </w:p>
    <w:p w:rsidR="0071027C" w:rsidRPr="008E5752" w:rsidRDefault="0071027C" w:rsidP="0071027C">
      <w:pPr>
        <w:pStyle w:val="Heading3"/>
      </w:pPr>
      <w:bookmarkStart w:id="1060" w:name="_Toc382214173"/>
      <w:r w:rsidRPr="008E5752">
        <w:t>16.2.3 Data analysis and presentation</w:t>
      </w:r>
      <w:bookmarkEnd w:id="1058"/>
      <w:bookmarkEnd w:id="1059"/>
      <w:bookmarkEnd w:id="1060"/>
    </w:p>
    <w:p w:rsidR="0071027C" w:rsidRPr="008E5752" w:rsidRDefault="0071027C" w:rsidP="0071027C">
      <w:pPr>
        <w:spacing w:before="120" w:after="120" w:line="240" w:lineRule="auto"/>
        <w:jc w:val="both"/>
        <w:rPr>
          <w:rFonts w:ascii="Arial" w:hAnsi="Arial" w:cs="Arial"/>
        </w:rPr>
      </w:pPr>
      <w:r w:rsidRPr="008E5752">
        <w:rPr>
          <w:rFonts w:ascii="Arial" w:hAnsi="Arial" w:cs="Arial"/>
        </w:rPr>
        <w:t xml:space="preserve">Analysis of HIV/AIDS data is done at all levels, from the health facility to the national level. Presentation of HIV/AIDS data is done in the form of notes, tables, graphs, maps, and reports depending on the needs to be communicated and the intended audience. This information is used to assess the performance of the different levels in HIV/AIDS control. </w:t>
      </w:r>
    </w:p>
    <w:p w:rsidR="0071027C" w:rsidRPr="008E5752" w:rsidRDefault="0071027C" w:rsidP="0071027C">
      <w:pPr>
        <w:spacing w:before="120" w:after="120" w:line="240" w:lineRule="auto"/>
        <w:jc w:val="both"/>
        <w:rPr>
          <w:rFonts w:ascii="Arial" w:hAnsi="Arial" w:cs="Arial"/>
        </w:rPr>
      </w:pPr>
    </w:p>
    <w:p w:rsidR="0071027C" w:rsidRPr="008E5752" w:rsidRDefault="0071027C" w:rsidP="0071027C">
      <w:pPr>
        <w:pStyle w:val="Heading3"/>
      </w:pPr>
      <w:bookmarkStart w:id="1061" w:name="_Toc374015650"/>
      <w:bookmarkStart w:id="1062" w:name="_Toc382214174"/>
      <w:r w:rsidRPr="008E5752">
        <w:t>16.2.4 Data quality</w:t>
      </w:r>
      <w:bookmarkEnd w:id="1061"/>
      <w:bookmarkEnd w:id="1062"/>
    </w:p>
    <w:p w:rsidR="0071027C" w:rsidRPr="008E5752" w:rsidRDefault="0071027C" w:rsidP="0071027C">
      <w:pPr>
        <w:spacing w:before="120" w:after="120" w:line="240" w:lineRule="auto"/>
        <w:jc w:val="both"/>
        <w:rPr>
          <w:rFonts w:ascii="Arial" w:hAnsi="Arial" w:cs="Arial"/>
        </w:rPr>
      </w:pPr>
      <w:r w:rsidRPr="008E5752">
        <w:rPr>
          <w:rFonts w:ascii="Arial" w:hAnsi="Arial" w:cs="Arial"/>
          <w:lang w:val="en-ZA"/>
        </w:rPr>
        <w:t xml:space="preserve">High quality data are needed to inform, monitor, and manage HIV/AIDS programs. High quality data ensures program’s effectiveness. </w:t>
      </w:r>
      <w:r w:rsidRPr="008E5752">
        <w:rPr>
          <w:rFonts w:ascii="Arial" w:hAnsi="Arial" w:cs="Arial"/>
        </w:rPr>
        <w:t>Data are considered to be of high quality when they are accurate, comprehensive,</w:t>
      </w:r>
      <w:r w:rsidRPr="008E5752">
        <w:rPr>
          <w:rFonts w:ascii="Arial" w:hAnsi="Arial" w:cs="Arial"/>
          <w:b/>
          <w:i/>
        </w:rPr>
        <w:t xml:space="preserve"> </w:t>
      </w:r>
      <w:r w:rsidRPr="008E5752">
        <w:rPr>
          <w:rFonts w:ascii="Arial" w:hAnsi="Arial" w:cs="Arial"/>
        </w:rPr>
        <w:t xml:space="preserve">consistent, relevant, and timely. </w:t>
      </w:r>
      <w:r w:rsidRPr="008E5752">
        <w:rPr>
          <w:rFonts w:ascii="Arial" w:hAnsi="Arial" w:cs="Arial"/>
          <w:lang w:val="en-ZA"/>
        </w:rPr>
        <w:t>Data Quality Assurance (DQA) should be conducted routinely at all levels</w:t>
      </w:r>
      <w:r w:rsidRPr="008E5752">
        <w:rPr>
          <w:rFonts w:ascii="Arial" w:hAnsi="Arial" w:cs="Arial"/>
        </w:rPr>
        <w:t xml:space="preserve"> by using </w:t>
      </w:r>
      <w:r w:rsidRPr="008E5752">
        <w:rPr>
          <w:rFonts w:ascii="Arial" w:hAnsi="Arial" w:cs="Arial"/>
          <w:lang w:val="en-ZA"/>
        </w:rPr>
        <w:t xml:space="preserve">standardized DQA tools developed by NACP. </w:t>
      </w:r>
    </w:p>
    <w:p w:rsidR="0071027C" w:rsidRPr="008E5752" w:rsidRDefault="0071027C" w:rsidP="0071027C">
      <w:pPr>
        <w:pStyle w:val="Heading3"/>
      </w:pPr>
      <w:bookmarkStart w:id="1063" w:name="_Toc358139918"/>
      <w:bookmarkStart w:id="1064" w:name="_Toc374015651"/>
      <w:bookmarkStart w:id="1065" w:name="_Toc382214175"/>
      <w:r w:rsidRPr="008E5752">
        <w:t>16.2.5 Data utilization</w:t>
      </w:r>
      <w:bookmarkEnd w:id="1063"/>
      <w:bookmarkEnd w:id="1064"/>
      <w:bookmarkEnd w:id="1065"/>
    </w:p>
    <w:p w:rsidR="0071027C" w:rsidRPr="008E5752" w:rsidRDefault="0071027C" w:rsidP="0071027C">
      <w:pPr>
        <w:pStyle w:val="NormalWeb"/>
        <w:spacing w:before="120" w:beforeAutospacing="0" w:after="120" w:afterAutospacing="0"/>
        <w:jc w:val="both"/>
        <w:rPr>
          <w:rFonts w:ascii="Arial" w:hAnsi="Arial" w:cs="Arial"/>
          <w:sz w:val="22"/>
          <w:szCs w:val="22"/>
        </w:rPr>
      </w:pPr>
      <w:r w:rsidRPr="008E5752">
        <w:rPr>
          <w:rFonts w:ascii="Arial" w:hAnsi="Arial" w:cs="Arial"/>
          <w:sz w:val="22"/>
          <w:szCs w:val="22"/>
        </w:rPr>
        <w:t>Routinely collected HIV/AIDS data provides information on demographic characteristics of the disease (i.e., sex, age and geographical location), transmission category (mode of exposure), immune status and viral load. Furthermore, routine data allow the program to monitor disease progression and utilization of services. Reports can also be used for program evaluation, planning, and budgeting purposes. Data generated at all level should be analyzed and disseminated to relevant stakeholders for making evidence-based decisions for HIV/AIDS control. RACCs and DACCs should analyze, interpret, and facilitate utilization of data in their respective regions and districts.</w:t>
      </w:r>
    </w:p>
    <w:p w:rsidR="0071027C" w:rsidRDefault="0071027C" w:rsidP="0071027C">
      <w:pPr>
        <w:pStyle w:val="Heading2"/>
      </w:pPr>
      <w:bookmarkStart w:id="1066" w:name="_Toc374015652"/>
    </w:p>
    <w:p w:rsidR="0071027C" w:rsidRPr="008E5752" w:rsidRDefault="0071027C" w:rsidP="0071027C">
      <w:pPr>
        <w:pStyle w:val="Heading2"/>
      </w:pPr>
      <w:bookmarkStart w:id="1067" w:name="_Toc382214176"/>
      <w:r w:rsidRPr="008E5752">
        <w:t>16. 3 Roles and Responsibilities</w:t>
      </w:r>
      <w:bookmarkEnd w:id="1066"/>
      <w:bookmarkEnd w:id="1067"/>
      <w:r w:rsidRPr="008E5752">
        <w:t xml:space="preserve"> </w:t>
      </w:r>
    </w:p>
    <w:p w:rsidR="0071027C" w:rsidRPr="008E5752" w:rsidRDefault="0071027C" w:rsidP="0071027C">
      <w:pPr>
        <w:spacing w:before="120" w:after="120" w:line="240" w:lineRule="auto"/>
        <w:jc w:val="both"/>
        <w:rPr>
          <w:rFonts w:ascii="Arial" w:hAnsi="Arial" w:cs="Arial"/>
        </w:rPr>
      </w:pPr>
      <w:r w:rsidRPr="008E5752">
        <w:rPr>
          <w:rFonts w:ascii="Arial" w:hAnsi="Arial" w:cs="Arial"/>
        </w:rPr>
        <w:t>In Tanzania, HIV/AIDS M&amp;E activities are carried out at the national and decentralized levels. M&amp;E units for HIV at national level are based at Tanzania Commission for AIDS (TACAIDS) and at the Ministry of Health and Social Welfare (MOHSW). Furthermore, there are directorates or M&amp;E focal persons in all organizations that implement HIV activities and HMIS focal persons at decentralized levels. These officers at these various levels fulfill the following roles</w:t>
      </w:r>
      <w:r w:rsidRPr="008E5752">
        <w:rPr>
          <w:rStyle w:val="FootnoteReference"/>
          <w:rFonts w:ascii="Arial" w:hAnsi="Arial" w:cs="Arial"/>
        </w:rPr>
        <w:footnoteReference w:id="16"/>
      </w:r>
      <w:r w:rsidRPr="008E5752">
        <w:rPr>
          <w:rFonts w:ascii="Arial" w:hAnsi="Arial" w:cs="Arial"/>
        </w:rPr>
        <w:t>:</w:t>
      </w:r>
    </w:p>
    <w:p w:rsidR="0071027C" w:rsidRPr="008E5752" w:rsidRDefault="0071027C" w:rsidP="0071027C">
      <w:pPr>
        <w:pStyle w:val="Heading3"/>
      </w:pPr>
      <w:bookmarkStart w:id="1068" w:name="_Toc374015653"/>
      <w:bookmarkStart w:id="1069" w:name="_Toc382214177"/>
      <w:r w:rsidRPr="008E5752">
        <w:t>16.3.1 TACAIDS</w:t>
      </w:r>
      <w:bookmarkEnd w:id="1068"/>
      <w:bookmarkEnd w:id="1069"/>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Chair the M&amp;E Technical Working Group (TWG), and coordinate its work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Manage the M&amp;E system for HIV (i.e. provide technical oversight)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Coordinate M&amp;E plan costing and annual reviews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Play a key role in coordinating the planning, implementation and dissemination of findings of all surveys and surveillance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Advocate for and communicate about HIV M&amp;E in all sectors at decision making level to build strong M&amp;E partnerships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Develop and oversee M&amp;E capacity building strategy, accompanying activities and play a key role in mobilizing resources for the same </w:t>
      </w:r>
    </w:p>
    <w:p w:rsidR="0071027C" w:rsidRPr="008E5752" w:rsidRDefault="0071027C" w:rsidP="0071027C">
      <w:pPr>
        <w:spacing w:before="120" w:after="120" w:line="240" w:lineRule="auto"/>
        <w:jc w:val="both"/>
        <w:rPr>
          <w:rFonts w:ascii="Arial" w:hAnsi="Arial" w:cs="Arial"/>
        </w:rPr>
      </w:pPr>
    </w:p>
    <w:p w:rsidR="0071027C" w:rsidRPr="008E5752" w:rsidRDefault="0071027C" w:rsidP="0071027C">
      <w:pPr>
        <w:pStyle w:val="Heading3"/>
      </w:pPr>
      <w:bookmarkStart w:id="1070" w:name="_Toc374015654"/>
      <w:bookmarkStart w:id="1071" w:name="_Toc382214178"/>
      <w:r w:rsidRPr="008E5752">
        <w:t>16.3.2 National AIDS Control Programme (NACP)</w:t>
      </w:r>
      <w:bookmarkEnd w:id="1070"/>
      <w:bookmarkEnd w:id="1071"/>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Implement scheduled and/or agree activities in the annual M&amp;E work plan [roadmap];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Ensure availability of recording and reporting tools for HIV monitoring</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Coordinate supportive supervision and data quality audits of HIV monitoring data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Coordinate and act on supervision and data auditing report results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Create and manage a national CTC 2  database in line with national M&amp;E needs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Install HIV database at decentralized levels and oversee its operation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Train decentralized structures on CTC 2  database use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Trouble-shoot CTC 2 database problems with decentralized structures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Coordinate dissemination of output level data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Advocate for the use of output monitoring data.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Create information products (annual HIV report, etc.)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Oversee all data dissemination and feedback processes </w:t>
      </w:r>
    </w:p>
    <w:p w:rsidR="0071027C" w:rsidRPr="008E5752" w:rsidRDefault="0071027C" w:rsidP="0071027C">
      <w:pPr>
        <w:spacing w:before="120" w:after="120" w:line="240" w:lineRule="auto"/>
        <w:jc w:val="both"/>
        <w:rPr>
          <w:rFonts w:ascii="Arial" w:hAnsi="Arial" w:cs="Arial"/>
        </w:rPr>
      </w:pPr>
    </w:p>
    <w:p w:rsidR="0071027C" w:rsidRPr="008E5752" w:rsidRDefault="0071027C" w:rsidP="0071027C">
      <w:pPr>
        <w:pStyle w:val="Heading3"/>
      </w:pPr>
      <w:bookmarkStart w:id="1072" w:name="_Toc374015655"/>
      <w:bookmarkStart w:id="1073" w:name="_Toc382214179"/>
      <w:r w:rsidRPr="008E5752">
        <w:t>16.3.3 Regional/District levels</w:t>
      </w:r>
      <w:bookmarkEnd w:id="1072"/>
      <w:bookmarkEnd w:id="1073"/>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Coordinate HIV recording and reporting systems at regional/district level</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Manage HIV data export to NACP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Coordinate HIV M&amp;E capacity building (eg. training and mentorship)  at the regional/district level</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Coordinate HIV data quality audits at regional/district level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Liaise with stakeholders concerning implementation of program monitoring system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Manage program monitoring data dissemination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Support, in collaboration with the HIV Research Officer, the coordination of surveys at regional/district level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Advise on HIV M&amp;E issues at regional/district level</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Analyze and present HIV M&amp;E data as requested at regional/district level</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Disseminate HIV information products at regional/district level</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Promote HIV data use during decision making and planning of HIV interventions and use data for decision making at regional/district level</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Liaise with NACP on all HIV M&amp;E issues at regional/district level</w:t>
      </w:r>
    </w:p>
    <w:p w:rsidR="0071027C" w:rsidRPr="008E5752" w:rsidRDefault="0071027C" w:rsidP="0071027C">
      <w:pPr>
        <w:spacing w:before="120" w:after="120" w:line="240" w:lineRule="auto"/>
        <w:jc w:val="both"/>
        <w:rPr>
          <w:rFonts w:ascii="Arial" w:hAnsi="Arial" w:cs="Arial"/>
        </w:rPr>
      </w:pPr>
    </w:p>
    <w:p w:rsidR="0071027C" w:rsidRPr="008E5752" w:rsidRDefault="0071027C" w:rsidP="0071027C">
      <w:pPr>
        <w:pStyle w:val="Heading3"/>
      </w:pPr>
      <w:bookmarkStart w:id="1074" w:name="_Toc374015656"/>
      <w:bookmarkStart w:id="1075" w:name="_Toc382214180"/>
      <w:r w:rsidRPr="008E5752">
        <w:t>16.3.4 Health Facility level</w:t>
      </w:r>
      <w:bookmarkEnd w:id="1074"/>
      <w:bookmarkEnd w:id="1075"/>
      <w:r w:rsidRPr="008E5752">
        <w:t xml:space="preserve">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Ensure proper recording and reporting tools are used for HIV care and treatment services</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Ensure completeness of all reporting forms, registers and CTC2 database at facility level</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Ensure timely reporting as per agreed reporting deadline during reporting month/quarter</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Liaise with HMIS focal person or DACC at district level on all HIV M&amp;E issues at facility level</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Ensure quality of recorded and reported collected data </w:t>
      </w:r>
    </w:p>
    <w:p w:rsidR="0071027C" w:rsidRPr="008E5752" w:rsidRDefault="0071027C" w:rsidP="0071027C">
      <w:pPr>
        <w:pStyle w:val="Heading3"/>
        <w:spacing w:before="120" w:after="120" w:line="240" w:lineRule="auto"/>
        <w:jc w:val="both"/>
        <w:rPr>
          <w:rFonts w:ascii="Arial" w:hAnsi="Arial" w:cs="Arial"/>
        </w:rPr>
      </w:pPr>
    </w:p>
    <w:p w:rsidR="0071027C" w:rsidRPr="008E5752" w:rsidRDefault="0071027C" w:rsidP="0071027C">
      <w:pPr>
        <w:pStyle w:val="Heading3"/>
      </w:pPr>
      <w:bookmarkStart w:id="1076" w:name="_Toc374015657"/>
      <w:bookmarkStart w:id="1077" w:name="_Toc382214181"/>
      <w:r w:rsidRPr="008E5752">
        <w:t>16.3.5 HIV implementing partners</w:t>
      </w:r>
      <w:bookmarkEnd w:id="1076"/>
      <w:bookmarkEnd w:id="1077"/>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Ensure compliance with the national HIV program monitoring system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Support regional/district M&amp;E efforts for HIV implementation</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Keep daily records of implementation of HIV activities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Promote the use of program monitoring system data when planning HIV interventions. </w:t>
      </w:r>
    </w:p>
    <w:p w:rsidR="0071027C" w:rsidRPr="008E5752" w:rsidRDefault="0071027C" w:rsidP="0071027C">
      <w:pPr>
        <w:pStyle w:val="Heading2"/>
      </w:pPr>
      <w:bookmarkStart w:id="1078" w:name="_Toc374015658"/>
      <w:bookmarkStart w:id="1079" w:name="_Toc382214182"/>
      <w:r w:rsidRPr="008E5752">
        <w:t xml:space="preserve">16.4 </w:t>
      </w:r>
      <w:bookmarkStart w:id="1080" w:name="_Toc355905137"/>
      <w:bookmarkStart w:id="1081" w:name="_Toc358139920"/>
      <w:r w:rsidRPr="008E5752">
        <w:t>Supportive supervision</w:t>
      </w:r>
      <w:bookmarkEnd w:id="1078"/>
      <w:bookmarkEnd w:id="1079"/>
      <w:bookmarkEnd w:id="1080"/>
      <w:bookmarkEnd w:id="1081"/>
    </w:p>
    <w:p w:rsidR="0071027C" w:rsidRPr="008E5752" w:rsidRDefault="0071027C" w:rsidP="0071027C">
      <w:pPr>
        <w:spacing w:before="120" w:after="120" w:line="240" w:lineRule="auto"/>
        <w:jc w:val="both"/>
        <w:rPr>
          <w:rFonts w:ascii="Arial" w:hAnsi="Arial" w:cs="Arial"/>
        </w:rPr>
      </w:pPr>
      <w:r w:rsidRPr="008E5752">
        <w:rPr>
          <w:rFonts w:ascii="Arial" w:hAnsi="Arial" w:cs="Arial"/>
        </w:rPr>
        <w:t>The MOHSW supportive supervision guidelines describe supportive supervision as a “process which promotes quality outcomes by strengthening communication, identifying and solving problems, facilitating team work, and providing leadership and support to empower health care workers to monitor and improve their own performance.” The scope of supervision methods is expanded by incorporating self-assessment, peer assessment, and community input.</w:t>
      </w:r>
    </w:p>
    <w:p w:rsidR="0071027C" w:rsidRPr="008E5752" w:rsidRDefault="0071027C" w:rsidP="0071027C">
      <w:pPr>
        <w:spacing w:before="120" w:after="120" w:line="240" w:lineRule="auto"/>
        <w:jc w:val="both"/>
        <w:rPr>
          <w:rFonts w:ascii="Arial" w:hAnsi="Arial" w:cs="Arial"/>
        </w:rPr>
      </w:pPr>
      <w:r w:rsidRPr="008E5752">
        <w:rPr>
          <w:rFonts w:ascii="Arial" w:hAnsi="Arial" w:cs="Arial"/>
        </w:rPr>
        <w:t xml:space="preserve">Mentorship is described as a process conducted by a person or team (mentor[s]) for another person or groups (mentee[s]) in order to help that other person or group do a job more effectively. Mentoring can be done for all professions, but when applied in the clinical setting to improve delivery of health care, it is referred to as “clinical” mentoring. </w:t>
      </w:r>
    </w:p>
    <w:p w:rsidR="0071027C" w:rsidRPr="008E5752" w:rsidRDefault="0071027C" w:rsidP="0071027C">
      <w:pPr>
        <w:pStyle w:val="Heading3"/>
      </w:pPr>
      <w:bookmarkStart w:id="1082" w:name="_Toc358139921"/>
      <w:bookmarkStart w:id="1083" w:name="_Toc374015659"/>
      <w:bookmarkStart w:id="1084" w:name="_Toc382214183"/>
      <w:r w:rsidRPr="008E5752">
        <w:t>16.4.1</w:t>
      </w:r>
      <w:bookmarkEnd w:id="1082"/>
      <w:r w:rsidRPr="008E5752">
        <w:t xml:space="preserve"> </w:t>
      </w:r>
      <w:bookmarkStart w:id="1085" w:name="_Toc355905138"/>
      <w:bookmarkStart w:id="1086" w:name="_Toc358139922"/>
      <w:r w:rsidRPr="008E5752">
        <w:t>Purpose of supervision and mentorship in TB and leprosy care and control</w:t>
      </w:r>
      <w:bookmarkEnd w:id="1083"/>
      <w:bookmarkEnd w:id="1084"/>
      <w:bookmarkEnd w:id="1085"/>
      <w:bookmarkEnd w:id="1086"/>
    </w:p>
    <w:p w:rsidR="0071027C" w:rsidRPr="008E5752" w:rsidRDefault="0071027C" w:rsidP="0071027C">
      <w:pPr>
        <w:spacing w:before="120" w:after="120" w:line="240" w:lineRule="auto"/>
        <w:jc w:val="both"/>
        <w:rPr>
          <w:rFonts w:ascii="Arial" w:hAnsi="Arial" w:cs="Arial"/>
          <w:b/>
        </w:rPr>
      </w:pPr>
      <w:r w:rsidRPr="008E5752">
        <w:rPr>
          <w:rFonts w:ascii="Arial" w:hAnsi="Arial" w:cs="Arial"/>
        </w:rPr>
        <w:t>The purpose of supervision at the regional, district, and health facility levels is to:</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Provide leadership and guidance to staff through mentorship.</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Monitor implementation of planned activities against defined program goals and targets.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Monitor that all necessary tasks are properly performed.</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Ensure that resources including training and supplies are properly used and are available to staff to carry out their duties.</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Ensure accountability and responsibility.</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Ensure adherence to the set standards of HIV/AIDS care.</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Identify/Address barriers to service delivery to improve health services on a daily basis.</w:t>
      </w:r>
    </w:p>
    <w:p w:rsidR="0071027C" w:rsidRPr="008E5752" w:rsidRDefault="0071027C" w:rsidP="0071027C">
      <w:pPr>
        <w:pStyle w:val="Heading3"/>
      </w:pPr>
      <w:bookmarkStart w:id="1087" w:name="_Toc358139923"/>
      <w:bookmarkStart w:id="1088" w:name="_Toc374015660"/>
      <w:bookmarkStart w:id="1089" w:name="_Toc382214184"/>
      <w:r w:rsidRPr="008E5752">
        <w:t>16.4.2</w:t>
      </w:r>
      <w:bookmarkEnd w:id="1087"/>
      <w:r w:rsidRPr="008E5752">
        <w:t xml:space="preserve"> </w:t>
      </w:r>
      <w:bookmarkStart w:id="1090" w:name="_Toc355905139"/>
      <w:bookmarkStart w:id="1091" w:name="_Toc358139924"/>
      <w:r w:rsidRPr="008E5752">
        <w:t>Stages of supportive supervision and mentorship in HIV/AIDS control activities</w:t>
      </w:r>
      <w:bookmarkEnd w:id="1088"/>
      <w:bookmarkEnd w:id="1089"/>
      <w:bookmarkEnd w:id="1090"/>
      <w:bookmarkEnd w:id="1091"/>
    </w:p>
    <w:p w:rsidR="0071027C" w:rsidRPr="008E5752" w:rsidRDefault="0071027C" w:rsidP="0071027C">
      <w:pPr>
        <w:spacing w:before="120" w:after="120" w:line="240" w:lineRule="auto"/>
        <w:jc w:val="both"/>
        <w:rPr>
          <w:rFonts w:ascii="Arial" w:hAnsi="Arial" w:cs="Arial"/>
          <w:b/>
        </w:rPr>
      </w:pPr>
      <w:r w:rsidRPr="008E5752">
        <w:rPr>
          <w:rFonts w:ascii="Arial" w:hAnsi="Arial" w:cs="Arial"/>
        </w:rPr>
        <w:t>The following are the steps that NACP staff, Regional and Council Health Management Teams should follow when conducting supportive supervision and mentorship visits.</w:t>
      </w:r>
    </w:p>
    <w:p w:rsidR="0071027C" w:rsidRPr="008E5752" w:rsidRDefault="0071027C" w:rsidP="0071027C">
      <w:pPr>
        <w:spacing w:before="120" w:after="120" w:line="240" w:lineRule="auto"/>
        <w:jc w:val="both"/>
        <w:rPr>
          <w:rFonts w:ascii="Arial" w:hAnsi="Arial" w:cs="Arial"/>
          <w:b/>
          <w:i/>
        </w:rPr>
      </w:pPr>
      <w:r w:rsidRPr="008E5752">
        <w:rPr>
          <w:rFonts w:ascii="Arial" w:hAnsi="Arial" w:cs="Arial"/>
          <w:b/>
          <w:i/>
        </w:rPr>
        <w:t>Stage 1, before supervision</w:t>
      </w:r>
    </w:p>
    <w:p w:rsidR="0071027C" w:rsidRPr="008E5752" w:rsidRDefault="0071027C" w:rsidP="0071027C">
      <w:pPr>
        <w:spacing w:before="120" w:after="120" w:line="240" w:lineRule="auto"/>
        <w:jc w:val="both"/>
        <w:rPr>
          <w:rFonts w:ascii="Arial" w:hAnsi="Arial" w:cs="Arial"/>
        </w:rPr>
      </w:pPr>
      <w:r w:rsidRPr="008E5752">
        <w:rPr>
          <w:rFonts w:ascii="Arial" w:hAnsi="Arial" w:cs="Arial"/>
          <w:bCs/>
        </w:rPr>
        <w:t>Preparation for supervision</w:t>
      </w:r>
      <w:r w:rsidRPr="008E5752">
        <w:rPr>
          <w:rFonts w:ascii="Arial" w:hAnsi="Arial" w:cs="Arial"/>
        </w:rPr>
        <w:t>:</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Plan in advance to allow preparation and coordination of all partners and stakeholders.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Communicate with regional, district, and health facility authorities.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Review previous supervision reports.</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Identify priority areas for supervision or follow-up.</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Set supervision objectives.</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Prepare supervision schedule.</w:t>
      </w:r>
    </w:p>
    <w:p w:rsidR="0071027C" w:rsidRPr="008E5752" w:rsidRDefault="0071027C" w:rsidP="0071027C">
      <w:pPr>
        <w:spacing w:before="120" w:after="120" w:line="240" w:lineRule="auto"/>
        <w:jc w:val="both"/>
        <w:rPr>
          <w:rFonts w:ascii="Arial" w:hAnsi="Arial" w:cs="Arial"/>
        </w:rPr>
      </w:pPr>
    </w:p>
    <w:p w:rsidR="0071027C" w:rsidRPr="008E5752" w:rsidRDefault="0071027C" w:rsidP="0071027C">
      <w:pPr>
        <w:spacing w:before="120" w:after="120" w:line="240" w:lineRule="auto"/>
        <w:jc w:val="both"/>
        <w:rPr>
          <w:rFonts w:ascii="Arial" w:hAnsi="Arial" w:cs="Arial"/>
          <w:b/>
          <w:i/>
        </w:rPr>
      </w:pPr>
      <w:r w:rsidRPr="008E5752">
        <w:rPr>
          <w:rFonts w:ascii="Arial" w:hAnsi="Arial" w:cs="Arial"/>
          <w:b/>
          <w:i/>
        </w:rPr>
        <w:t>Stage 2, during supervision</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Establish rapport with staff.</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Review agreed action plan from previous supervision.</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Review objectives together with the supervisee.</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Demonstrate behavior that promotes cooperation and a warm climate (treat the problem as our problem, respect and value the staff, and do not judge or accuse).</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Use supervision tool/checklist to ensure that all key areas/sections are covered.</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Observe and document what the staff do and identify gaps.</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Provide constructive immediate feedback on identified gaps.</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Meet with the team for mentorship and set an action plan for identified gaps, including responsible persons</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Identify strengths, gaps, and areas for improvement.</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 xml:space="preserve">Supervisors and mentors meet together/share information and compile report for debriefing. </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Meet with community representatives where possible for feedback.</w:t>
      </w:r>
    </w:p>
    <w:p w:rsidR="0071027C" w:rsidRPr="008E5752" w:rsidRDefault="0071027C" w:rsidP="0071027C">
      <w:pPr>
        <w:spacing w:before="120" w:after="120" w:line="240" w:lineRule="auto"/>
        <w:jc w:val="both"/>
        <w:rPr>
          <w:rFonts w:ascii="Arial" w:hAnsi="Arial" w:cs="Arial"/>
        </w:rPr>
      </w:pPr>
    </w:p>
    <w:p w:rsidR="0071027C" w:rsidRPr="008E5752" w:rsidRDefault="0071027C" w:rsidP="0071027C">
      <w:pPr>
        <w:spacing w:before="120" w:after="120" w:line="240" w:lineRule="auto"/>
        <w:jc w:val="both"/>
        <w:rPr>
          <w:rFonts w:ascii="Arial" w:hAnsi="Arial" w:cs="Arial"/>
          <w:b/>
          <w:i/>
        </w:rPr>
      </w:pPr>
      <w:r w:rsidRPr="008E5752">
        <w:rPr>
          <w:rFonts w:ascii="Arial" w:hAnsi="Arial" w:cs="Arial"/>
          <w:b/>
          <w:i/>
        </w:rPr>
        <w:t>Stage 3, after supervision</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Provide verbal feedback to authority.</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Return detailed written feedback to the authority and copy to the supervisee.</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Disseminate supervision report to key stakeholders.</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Follow up what was agreed upon before the next visit.</w:t>
      </w:r>
    </w:p>
    <w:p w:rsidR="0071027C" w:rsidRPr="008E5752" w:rsidRDefault="0071027C" w:rsidP="00274941">
      <w:pPr>
        <w:widowControl/>
        <w:numPr>
          <w:ilvl w:val="0"/>
          <w:numId w:val="132"/>
        </w:numPr>
        <w:spacing w:after="0" w:line="240" w:lineRule="auto"/>
        <w:ind w:left="360"/>
        <w:jc w:val="both"/>
        <w:rPr>
          <w:rFonts w:ascii="Arial" w:hAnsi="Arial" w:cs="Arial"/>
        </w:rPr>
      </w:pPr>
      <w:r w:rsidRPr="008E5752">
        <w:rPr>
          <w:rFonts w:ascii="Arial" w:hAnsi="Arial" w:cs="Arial"/>
        </w:rPr>
        <w:t>Report back to management on the findings and plan of action for follow-up.</w:t>
      </w:r>
    </w:p>
    <w:p w:rsidR="0071027C" w:rsidRPr="008E5752" w:rsidRDefault="0071027C" w:rsidP="0071027C">
      <w:pPr>
        <w:pStyle w:val="Heading3"/>
      </w:pPr>
      <w:bookmarkStart w:id="1092" w:name="_Toc358139925"/>
      <w:bookmarkStart w:id="1093" w:name="_Toc374015661"/>
      <w:bookmarkStart w:id="1094" w:name="_Toc382214185"/>
      <w:r w:rsidRPr="008E5752">
        <w:t>16.4.3</w:t>
      </w:r>
      <w:bookmarkEnd w:id="1092"/>
      <w:r w:rsidRPr="008E5752">
        <w:t xml:space="preserve"> </w:t>
      </w:r>
      <w:bookmarkStart w:id="1095" w:name="_Toc355905140"/>
      <w:bookmarkStart w:id="1096" w:name="_Toc358139926"/>
      <w:r w:rsidRPr="008E5752">
        <w:t>Composition of supervision team</w:t>
      </w:r>
      <w:bookmarkEnd w:id="1093"/>
      <w:bookmarkEnd w:id="1094"/>
      <w:bookmarkEnd w:id="1095"/>
      <w:bookmarkEnd w:id="1096"/>
    </w:p>
    <w:p w:rsidR="0071027C" w:rsidRPr="008E5752" w:rsidRDefault="0071027C" w:rsidP="0071027C">
      <w:pPr>
        <w:spacing w:before="120" w:after="120" w:line="240" w:lineRule="auto"/>
        <w:jc w:val="both"/>
        <w:rPr>
          <w:rFonts w:ascii="Arial" w:hAnsi="Arial" w:cs="Arial"/>
        </w:rPr>
      </w:pPr>
      <w:r w:rsidRPr="008E5752">
        <w:rPr>
          <w:rFonts w:ascii="Arial" w:hAnsi="Arial" w:cs="Arial"/>
        </w:rPr>
        <w:t xml:space="preserve">The supervision team includes members from the MOHSW and partners supported by the regional and district teams. The NACP team is composed of the following officers: medical, laboratory, data management, logistics, drugs and other supplies, financial management and general administration. </w:t>
      </w:r>
    </w:p>
    <w:p w:rsidR="0071027C" w:rsidRPr="008E5752" w:rsidRDefault="0071027C" w:rsidP="0071027C">
      <w:pPr>
        <w:spacing w:before="120" w:after="120" w:line="240" w:lineRule="auto"/>
        <w:jc w:val="both"/>
        <w:rPr>
          <w:rFonts w:ascii="Arial" w:hAnsi="Arial" w:cs="Arial"/>
        </w:rPr>
      </w:pPr>
      <w:r w:rsidRPr="008E5752">
        <w:rPr>
          <w:rFonts w:ascii="Arial" w:hAnsi="Arial" w:cs="Arial"/>
        </w:rPr>
        <w:t>The regional supervision team comprises the RACC, Regional Laboratory Technician, RTLC, and regional pharmacist, while the district team comprises of DACC, District Laboratory Technician, DTLC, and district pharmacist.</w:t>
      </w:r>
    </w:p>
    <w:p w:rsidR="0071027C" w:rsidRPr="008E5752" w:rsidRDefault="0071027C" w:rsidP="0071027C">
      <w:pPr>
        <w:pStyle w:val="Heading3"/>
      </w:pPr>
      <w:bookmarkStart w:id="1097" w:name="_Toc358139927"/>
      <w:bookmarkStart w:id="1098" w:name="_Toc374015662"/>
      <w:bookmarkStart w:id="1099" w:name="_Toc382214186"/>
      <w:r w:rsidRPr="008E5752">
        <w:t>16.4.4</w:t>
      </w:r>
      <w:bookmarkEnd w:id="1097"/>
      <w:r w:rsidRPr="008E5752">
        <w:t xml:space="preserve"> </w:t>
      </w:r>
      <w:bookmarkStart w:id="1100" w:name="_Toc355905141"/>
      <w:bookmarkStart w:id="1101" w:name="_Toc358139928"/>
      <w:r w:rsidRPr="008E5752">
        <w:t>Frequency of supervision and mentorship visits</w:t>
      </w:r>
      <w:bookmarkEnd w:id="1098"/>
      <w:bookmarkEnd w:id="1099"/>
      <w:bookmarkEnd w:id="1100"/>
      <w:bookmarkEnd w:id="1101"/>
    </w:p>
    <w:p w:rsidR="0071027C" w:rsidRPr="008E5752" w:rsidRDefault="0071027C" w:rsidP="0071027C">
      <w:pPr>
        <w:spacing w:before="120" w:after="120" w:line="240" w:lineRule="auto"/>
        <w:jc w:val="both"/>
        <w:rPr>
          <w:rFonts w:ascii="Arial" w:hAnsi="Arial" w:cs="Arial"/>
          <w:b/>
        </w:rPr>
      </w:pPr>
      <w:r w:rsidRPr="008E5752">
        <w:rPr>
          <w:rFonts w:ascii="Arial" w:hAnsi="Arial" w:cs="Arial"/>
        </w:rPr>
        <w:t>Supervision is conducted using a cascade approach as shown below.</w:t>
      </w:r>
    </w:p>
    <w:p w:rsidR="0071027C" w:rsidRPr="008E5752" w:rsidRDefault="0071027C" w:rsidP="0071027C">
      <w:pPr>
        <w:spacing w:before="120" w:after="120" w:line="240" w:lineRule="auto"/>
        <w:jc w:val="both"/>
        <w:rPr>
          <w:rFonts w:ascii="Arial" w:hAnsi="Arial" w:cs="Arial"/>
        </w:rPr>
      </w:pPr>
      <w:r w:rsidRPr="008E5752">
        <w:rPr>
          <w:rFonts w:ascii="Arial" w:hAnsi="Arial" w:cs="Arial"/>
          <w:b/>
          <w:bCs/>
          <w:i/>
        </w:rPr>
        <w:t>Supervision of the region by national level:</w:t>
      </w:r>
      <w:r w:rsidRPr="008E5752">
        <w:rPr>
          <w:rFonts w:ascii="Arial" w:hAnsi="Arial" w:cs="Arial"/>
          <w:b/>
          <w:bCs/>
        </w:rPr>
        <w:t xml:space="preserve"> </w:t>
      </w:r>
      <w:r w:rsidRPr="008E5752">
        <w:rPr>
          <w:rFonts w:ascii="Arial" w:hAnsi="Arial" w:cs="Arial"/>
          <w:bCs/>
        </w:rPr>
        <w:t>The national level should visit each</w:t>
      </w:r>
      <w:r w:rsidRPr="008E5752">
        <w:rPr>
          <w:rFonts w:ascii="Arial" w:hAnsi="Arial" w:cs="Arial"/>
          <w:b/>
          <w:bCs/>
        </w:rPr>
        <w:t xml:space="preserve"> </w:t>
      </w:r>
      <w:r w:rsidRPr="008E5752">
        <w:rPr>
          <w:rFonts w:ascii="Arial" w:hAnsi="Arial" w:cs="Arial"/>
        </w:rPr>
        <w:t xml:space="preserve">region at least once per year. Regions with specific problems should be visited more frequently. Visits should be accompanied by the regional teams to the districts. </w:t>
      </w:r>
    </w:p>
    <w:p w:rsidR="0071027C" w:rsidRPr="008E5752" w:rsidRDefault="0071027C" w:rsidP="0071027C">
      <w:pPr>
        <w:spacing w:before="120" w:after="120" w:line="240" w:lineRule="auto"/>
        <w:jc w:val="both"/>
        <w:rPr>
          <w:rFonts w:ascii="Arial" w:hAnsi="Arial" w:cs="Arial"/>
        </w:rPr>
      </w:pPr>
      <w:r w:rsidRPr="008E5752">
        <w:rPr>
          <w:rFonts w:ascii="Arial" w:hAnsi="Arial" w:cs="Arial"/>
          <w:b/>
          <w:bCs/>
          <w:i/>
        </w:rPr>
        <w:t>Supervision of the district by the regional level:</w:t>
      </w:r>
      <w:r w:rsidRPr="008E5752">
        <w:rPr>
          <w:rFonts w:ascii="Arial" w:hAnsi="Arial" w:cs="Arial"/>
          <w:b/>
          <w:bCs/>
        </w:rPr>
        <w:t xml:space="preserve"> </w:t>
      </w:r>
      <w:r w:rsidRPr="008E5752">
        <w:rPr>
          <w:rFonts w:ascii="Arial" w:hAnsi="Arial" w:cs="Arial"/>
        </w:rPr>
        <w:t>The regional team should visit each district at least once per quarter. The district team should accompany the regional team to health facilities. Districts with specific problems should be visited more frequently.</w:t>
      </w:r>
    </w:p>
    <w:p w:rsidR="0071027C" w:rsidRPr="008E5752" w:rsidRDefault="0071027C" w:rsidP="008559EB">
      <w:pPr>
        <w:spacing w:before="120" w:after="120" w:line="240" w:lineRule="auto"/>
        <w:jc w:val="both"/>
      </w:pPr>
      <w:r w:rsidRPr="008E5752">
        <w:rPr>
          <w:rFonts w:ascii="Arial" w:hAnsi="Arial" w:cs="Arial"/>
          <w:b/>
          <w:i/>
        </w:rPr>
        <w:t>Supervision of health facilities by the district level:</w:t>
      </w:r>
      <w:r w:rsidRPr="008E5752">
        <w:rPr>
          <w:rFonts w:ascii="Arial" w:hAnsi="Arial" w:cs="Arial"/>
          <w:b/>
        </w:rPr>
        <w:t xml:space="preserve"> </w:t>
      </w:r>
      <w:r w:rsidRPr="008E5752">
        <w:rPr>
          <w:rFonts w:ascii="Arial" w:hAnsi="Arial" w:cs="Arial"/>
        </w:rPr>
        <w:t>The district team should visit each CTC at least once per quarter. Health facilities with specific problems should be visited more frequently.</w:t>
      </w:r>
      <w:bookmarkEnd w:id="1012"/>
    </w:p>
    <w:p w:rsidR="0071027C" w:rsidRPr="008E5752" w:rsidRDefault="0071027C" w:rsidP="0071027C">
      <w:pPr>
        <w:spacing w:before="120" w:after="120" w:line="240" w:lineRule="auto"/>
        <w:jc w:val="both"/>
        <w:rPr>
          <w:rFonts w:ascii="Arial" w:hAnsi="Arial" w:cs="Arial"/>
        </w:rPr>
      </w:pPr>
    </w:p>
    <w:p w:rsidR="0071027C" w:rsidRDefault="0071027C"/>
    <w:p w:rsidR="00FF2CD0" w:rsidRDefault="00FF2CD0"/>
    <w:p w:rsidR="00FF2CD0" w:rsidRDefault="00FF2CD0"/>
    <w:p w:rsidR="00FF2CD0" w:rsidRDefault="00FF2CD0"/>
    <w:p w:rsidR="00FF2CD0" w:rsidRDefault="00FF2CD0"/>
    <w:p w:rsidR="00FF2CD0" w:rsidRDefault="00FF2CD0"/>
    <w:p w:rsidR="00FF2CD0" w:rsidRDefault="00FF2CD0"/>
    <w:p w:rsidR="00FF2CD0" w:rsidRDefault="00FF2CD0"/>
    <w:p w:rsidR="00FF2CD0" w:rsidRDefault="00FF2CD0"/>
    <w:p w:rsidR="00FF2CD0" w:rsidRDefault="00FF2CD0"/>
    <w:p w:rsidR="00FF2CD0" w:rsidRDefault="00FF2CD0"/>
    <w:p w:rsidR="00FF2CD0" w:rsidRDefault="00FF2CD0"/>
    <w:p w:rsidR="00FF2CD0" w:rsidRDefault="00FF2CD0"/>
    <w:p w:rsidR="00FF2CD0" w:rsidRDefault="00FF2CD0"/>
    <w:p w:rsidR="00FF2CD0" w:rsidRDefault="00FF2CD0"/>
    <w:p w:rsidR="00FF2CD0" w:rsidRPr="00C203F3" w:rsidRDefault="00FF2CD0" w:rsidP="00FF2CD0">
      <w:pPr>
        <w:pStyle w:val="Heading1"/>
        <w:rPr>
          <w:rFonts w:ascii="Arial Narrow" w:eastAsia="Arial" w:hAnsi="Arial Narrow"/>
          <w:sz w:val="24"/>
          <w:szCs w:val="24"/>
        </w:rPr>
      </w:pPr>
      <w:bookmarkStart w:id="1102" w:name="_Toc378258346"/>
      <w:bookmarkStart w:id="1103" w:name="_Toc382214187"/>
      <w:r w:rsidRPr="00C203F3">
        <w:rPr>
          <w:rFonts w:ascii="Arial Narrow" w:eastAsia="Arial" w:hAnsi="Arial Narrow"/>
          <w:sz w:val="24"/>
          <w:szCs w:val="24"/>
        </w:rPr>
        <w:t>ANNEX</w:t>
      </w:r>
      <w:bookmarkEnd w:id="1102"/>
      <w:bookmarkEnd w:id="1103"/>
    </w:p>
    <w:p w:rsidR="00FF2CD0" w:rsidRPr="00C203F3" w:rsidRDefault="00FF2CD0" w:rsidP="00FF2CD0">
      <w:pPr>
        <w:pStyle w:val="Heading2"/>
        <w:rPr>
          <w:rFonts w:ascii="Arial Narrow" w:eastAsia="Arial" w:hAnsi="Arial Narrow"/>
          <w:sz w:val="24"/>
          <w:szCs w:val="24"/>
        </w:rPr>
      </w:pPr>
      <w:bookmarkStart w:id="1104" w:name="_Toc378258347"/>
      <w:bookmarkStart w:id="1105" w:name="_Toc382214188"/>
      <w:r w:rsidRPr="00C203F3">
        <w:rPr>
          <w:rFonts w:ascii="Arial Narrow" w:eastAsia="Arial" w:hAnsi="Arial Narrow"/>
          <w:sz w:val="24"/>
          <w:szCs w:val="24"/>
        </w:rPr>
        <w:t>ANNEX 1: WHO CLINICAL S</w:t>
      </w:r>
      <w:r w:rsidRPr="00C203F3">
        <w:rPr>
          <w:rFonts w:ascii="Arial Narrow" w:eastAsia="Arial" w:hAnsi="Arial Narrow"/>
          <w:spacing w:val="-20"/>
          <w:sz w:val="24"/>
          <w:szCs w:val="24"/>
        </w:rPr>
        <w:t>T</w:t>
      </w:r>
      <w:r w:rsidRPr="00C203F3">
        <w:rPr>
          <w:rFonts w:ascii="Arial Narrow" w:eastAsia="Arial" w:hAnsi="Arial Narrow"/>
          <w:sz w:val="24"/>
          <w:szCs w:val="24"/>
        </w:rPr>
        <w:t>AGING OF HIV DISEASE IN ADU</w:t>
      </w:r>
      <w:r w:rsidRPr="00C203F3">
        <w:rPr>
          <w:rFonts w:ascii="Arial Narrow" w:eastAsia="Arial" w:hAnsi="Arial Narrow"/>
          <w:spacing w:val="-19"/>
          <w:sz w:val="24"/>
          <w:szCs w:val="24"/>
        </w:rPr>
        <w:t>L</w:t>
      </w:r>
      <w:r w:rsidRPr="00C203F3">
        <w:rPr>
          <w:rFonts w:ascii="Arial Narrow" w:eastAsia="Arial" w:hAnsi="Arial Narrow"/>
          <w:sz w:val="24"/>
          <w:szCs w:val="24"/>
        </w:rPr>
        <w:t>TS AND ADOLESCENTS</w:t>
      </w:r>
      <w:bookmarkEnd w:id="1104"/>
      <w:bookmarkEnd w:id="1105"/>
    </w:p>
    <w:p w:rsidR="00FF2CD0" w:rsidRPr="00C203F3" w:rsidRDefault="00FF2CD0" w:rsidP="00FF2CD0">
      <w:pPr>
        <w:spacing w:before="42" w:after="0" w:line="286" w:lineRule="exact"/>
        <w:ind w:left="1554" w:right="2233"/>
        <w:rPr>
          <w:rFonts w:ascii="Arial Narrow" w:eastAsia="Arial" w:hAnsi="Arial Narrow" w:cs="Arial"/>
          <w:b/>
          <w:bCs/>
          <w:color w:val="00AEEF"/>
          <w:sz w:val="24"/>
          <w:szCs w:val="24"/>
        </w:rPr>
      </w:pPr>
    </w:p>
    <w:tbl>
      <w:tblPr>
        <w:tblW w:w="0" w:type="auto"/>
        <w:tblInd w:w="545" w:type="dxa"/>
        <w:tblLayout w:type="fixed"/>
        <w:tblCellMar>
          <w:left w:w="0" w:type="dxa"/>
          <w:right w:w="0" w:type="dxa"/>
        </w:tblCellMar>
        <w:tblLook w:val="01E0" w:firstRow="1" w:lastRow="1" w:firstColumn="1" w:lastColumn="1" w:noHBand="0" w:noVBand="0"/>
      </w:tblPr>
      <w:tblGrid>
        <w:gridCol w:w="7920"/>
      </w:tblGrid>
      <w:tr w:rsidR="00FF2CD0" w:rsidRPr="00C03FCA" w:rsidTr="00FF2CD0">
        <w:trPr>
          <w:trHeight w:hRule="exact" w:val="333"/>
        </w:trPr>
        <w:tc>
          <w:tcPr>
            <w:tcW w:w="7920" w:type="dxa"/>
            <w:tcBorders>
              <w:top w:val="single" w:sz="4" w:space="0" w:color="00AEEF"/>
              <w:left w:val="single" w:sz="4" w:space="0" w:color="00AEEF"/>
              <w:bottom w:val="single" w:sz="4" w:space="0" w:color="00AEEF"/>
              <w:right w:val="single" w:sz="4" w:space="0" w:color="00AEEF"/>
            </w:tcBorders>
            <w:shd w:val="clear" w:color="auto" w:fill="00AEEF"/>
          </w:tcPr>
          <w:p w:rsidR="00FF2CD0" w:rsidRPr="00C03FCA" w:rsidRDefault="00FF2CD0" w:rsidP="00FF2CD0">
            <w:pPr>
              <w:spacing w:before="13" w:after="0" w:line="240" w:lineRule="auto"/>
              <w:ind w:left="74" w:right="-20"/>
              <w:rPr>
                <w:rFonts w:ascii="Arial" w:eastAsia="Times New Roman" w:hAnsi="Arial" w:cs="Arial"/>
              </w:rPr>
            </w:pPr>
            <w:r w:rsidRPr="00C03FCA">
              <w:rPr>
                <w:rFonts w:ascii="Arial" w:eastAsia="Times New Roman" w:hAnsi="Arial" w:cs="Arial"/>
                <w:b/>
                <w:bCs/>
                <w:color w:val="FFFFFF"/>
              </w:rPr>
              <w:t>CLINICALS</w:t>
            </w:r>
            <w:r w:rsidRPr="00C03FCA">
              <w:rPr>
                <w:rFonts w:ascii="Arial" w:eastAsia="Times New Roman" w:hAnsi="Arial" w:cs="Arial"/>
                <w:b/>
                <w:bCs/>
                <w:color w:val="FFFFFF"/>
                <w:spacing w:val="-18"/>
              </w:rPr>
              <w:t>T</w:t>
            </w:r>
            <w:r w:rsidRPr="00C03FCA">
              <w:rPr>
                <w:rFonts w:ascii="Arial" w:eastAsia="Times New Roman" w:hAnsi="Arial" w:cs="Arial"/>
                <w:b/>
                <w:bCs/>
                <w:color w:val="FFFFFF"/>
              </w:rPr>
              <w:t>AGE 1</w:t>
            </w:r>
          </w:p>
        </w:tc>
      </w:tr>
      <w:tr w:rsidR="00FF2CD0" w:rsidRPr="00C03FCA" w:rsidTr="00FF2CD0">
        <w:trPr>
          <w:trHeight w:hRule="exact" w:val="709"/>
        </w:trPr>
        <w:tc>
          <w:tcPr>
            <w:tcW w:w="7920" w:type="dxa"/>
            <w:tcBorders>
              <w:top w:val="single" w:sz="4" w:space="0" w:color="00AEEF"/>
              <w:left w:val="single" w:sz="4" w:space="0" w:color="00AEEF"/>
              <w:bottom w:val="single" w:sz="4" w:space="0" w:color="00AEEF"/>
              <w:right w:val="single" w:sz="4" w:space="0" w:color="00AEEF"/>
            </w:tcBorders>
            <w:shd w:val="clear" w:color="auto" w:fill="E4F5FD"/>
          </w:tcPr>
          <w:p w:rsidR="00FF2CD0" w:rsidRPr="00C03FCA" w:rsidRDefault="00FF2CD0" w:rsidP="00FF2CD0">
            <w:pPr>
              <w:spacing w:before="21" w:after="0" w:line="240" w:lineRule="auto"/>
              <w:ind w:left="74" w:right="-20"/>
              <w:rPr>
                <w:rFonts w:ascii="Arial" w:eastAsia="Times New Roman" w:hAnsi="Arial" w:cs="Arial"/>
              </w:rPr>
            </w:pPr>
            <w:r w:rsidRPr="00C03FCA">
              <w:rPr>
                <w:rFonts w:ascii="Arial" w:eastAsia="Times New Roman" w:hAnsi="Arial" w:cs="Arial"/>
                <w:color w:val="231F20"/>
              </w:rPr>
              <w:t>Asymptomatic</w:t>
            </w:r>
          </w:p>
          <w:p w:rsidR="00FF2CD0" w:rsidRPr="00C03FCA" w:rsidRDefault="00FF2CD0" w:rsidP="00FF2CD0">
            <w:pPr>
              <w:spacing w:before="3" w:after="0" w:line="240" w:lineRule="auto"/>
              <w:ind w:left="74" w:right="-20"/>
              <w:rPr>
                <w:rFonts w:ascii="Arial" w:eastAsia="Times New Roman" w:hAnsi="Arial" w:cs="Arial"/>
              </w:rPr>
            </w:pPr>
            <w:r w:rsidRPr="00C03FCA">
              <w:rPr>
                <w:rFonts w:ascii="Arial" w:eastAsia="Times New Roman" w:hAnsi="Arial" w:cs="Arial"/>
                <w:color w:val="231F20"/>
              </w:rPr>
              <w:t>Persistent generalized lymphadenopathy</w:t>
            </w:r>
          </w:p>
        </w:tc>
      </w:tr>
      <w:tr w:rsidR="00FF2CD0" w:rsidRPr="00C03FCA" w:rsidTr="00FF2CD0">
        <w:trPr>
          <w:trHeight w:hRule="exact" w:val="333"/>
        </w:trPr>
        <w:tc>
          <w:tcPr>
            <w:tcW w:w="7920" w:type="dxa"/>
            <w:tcBorders>
              <w:top w:val="single" w:sz="4" w:space="0" w:color="00AEEF"/>
              <w:left w:val="single" w:sz="4" w:space="0" w:color="00AEEF"/>
              <w:bottom w:val="single" w:sz="4" w:space="0" w:color="00AEEF"/>
              <w:right w:val="single" w:sz="4" w:space="0" w:color="00AEEF"/>
            </w:tcBorders>
            <w:shd w:val="clear" w:color="auto" w:fill="00AEEF"/>
          </w:tcPr>
          <w:p w:rsidR="00FF2CD0" w:rsidRPr="00C03FCA" w:rsidRDefault="00FF2CD0" w:rsidP="00FF2CD0">
            <w:pPr>
              <w:spacing w:before="13" w:after="0" w:line="240" w:lineRule="auto"/>
              <w:ind w:left="74" w:right="-20"/>
              <w:rPr>
                <w:rFonts w:ascii="Arial" w:eastAsia="Times New Roman" w:hAnsi="Arial" w:cs="Arial"/>
              </w:rPr>
            </w:pPr>
            <w:r w:rsidRPr="00C03FCA">
              <w:rPr>
                <w:rFonts w:ascii="Arial" w:eastAsia="Times New Roman" w:hAnsi="Arial" w:cs="Arial"/>
                <w:b/>
                <w:bCs/>
                <w:color w:val="FFFFFF"/>
              </w:rPr>
              <w:t>CLINICALS</w:t>
            </w:r>
            <w:r w:rsidRPr="00C03FCA">
              <w:rPr>
                <w:rFonts w:ascii="Arial" w:eastAsia="Times New Roman" w:hAnsi="Arial" w:cs="Arial"/>
                <w:b/>
                <w:bCs/>
                <w:color w:val="FFFFFF"/>
                <w:spacing w:val="-18"/>
              </w:rPr>
              <w:t>T</w:t>
            </w:r>
            <w:r w:rsidRPr="00C03FCA">
              <w:rPr>
                <w:rFonts w:ascii="Arial" w:eastAsia="Times New Roman" w:hAnsi="Arial" w:cs="Arial"/>
                <w:b/>
                <w:bCs/>
                <w:color w:val="FFFFFF"/>
              </w:rPr>
              <w:t>AGE 2</w:t>
            </w:r>
          </w:p>
        </w:tc>
      </w:tr>
      <w:tr w:rsidR="00FF2CD0" w:rsidRPr="00C03FCA" w:rsidTr="00FF2CD0">
        <w:trPr>
          <w:trHeight w:hRule="exact" w:val="2974"/>
        </w:trPr>
        <w:tc>
          <w:tcPr>
            <w:tcW w:w="7920" w:type="dxa"/>
            <w:tcBorders>
              <w:top w:val="single" w:sz="4" w:space="0" w:color="00AEEF"/>
              <w:left w:val="single" w:sz="4" w:space="0" w:color="00AEEF"/>
              <w:bottom w:val="single" w:sz="4" w:space="0" w:color="00AEEF"/>
              <w:right w:val="single" w:sz="4" w:space="0" w:color="00AEEF"/>
            </w:tcBorders>
            <w:shd w:val="clear" w:color="auto" w:fill="E4F5FD"/>
          </w:tcPr>
          <w:p w:rsidR="00FF2CD0" w:rsidRPr="00C03FCA" w:rsidRDefault="00FF2CD0" w:rsidP="00FF2CD0">
            <w:pPr>
              <w:tabs>
                <w:tab w:val="left" w:pos="420"/>
              </w:tabs>
              <w:spacing w:before="21" w:after="0" w:line="242" w:lineRule="auto"/>
              <w:ind w:left="434" w:right="598" w:hanging="360"/>
              <w:rPr>
                <w:rFonts w:ascii="Arial" w:eastAsia="Times New Roman" w:hAnsi="Arial" w:cs="Arial"/>
              </w:rPr>
            </w:pPr>
            <w:r w:rsidRPr="00C03FCA">
              <w:rPr>
                <w:rFonts w:ascii="Arial" w:eastAsia="Times New Roman" w:hAnsi="Arial" w:cs="Arial"/>
                <w:color w:val="231F20"/>
              </w:rPr>
              <w:t>•</w:t>
            </w:r>
            <w:r w:rsidRPr="00C03FCA">
              <w:rPr>
                <w:rFonts w:ascii="Arial" w:eastAsia="Times New Roman" w:hAnsi="Arial" w:cs="Arial"/>
                <w:color w:val="231F20"/>
              </w:rPr>
              <w:tab/>
              <w:t>Moderate unexplained weight loss(&lt;10% of presumed or measured body weight)</w:t>
            </w:r>
          </w:p>
          <w:p w:rsidR="00FF2CD0" w:rsidRPr="00C03FCA" w:rsidRDefault="00FF2CD0" w:rsidP="00FF2CD0">
            <w:pPr>
              <w:tabs>
                <w:tab w:val="left" w:pos="420"/>
              </w:tabs>
              <w:spacing w:after="0" w:line="242" w:lineRule="auto"/>
              <w:ind w:left="434" w:right="49" w:hanging="360"/>
              <w:rPr>
                <w:rFonts w:ascii="Arial" w:eastAsia="Times New Roman" w:hAnsi="Arial" w:cs="Arial"/>
              </w:rPr>
            </w:pPr>
            <w:r w:rsidRPr="00C03FCA">
              <w:rPr>
                <w:rFonts w:ascii="Arial" w:eastAsia="Times New Roman" w:hAnsi="Arial" w:cs="Arial"/>
                <w:color w:val="231F20"/>
              </w:rPr>
              <w:t>•</w:t>
            </w:r>
            <w:r w:rsidRPr="00C03FCA">
              <w:rPr>
                <w:rFonts w:ascii="Arial" w:eastAsia="Times New Roman" w:hAnsi="Arial" w:cs="Arial"/>
                <w:color w:val="231F20"/>
              </w:rPr>
              <w:tab/>
              <w:t>Recurrent respiratory tract infections: sinusitis, tonsillitis, otitis media and pharyngitis)</w:t>
            </w:r>
          </w:p>
          <w:p w:rsidR="00FF2CD0" w:rsidRPr="00C03FCA" w:rsidRDefault="00FF2CD0" w:rsidP="00FF2CD0">
            <w:pPr>
              <w:tabs>
                <w:tab w:val="left" w:pos="420"/>
              </w:tabs>
              <w:spacing w:after="0" w:line="240" w:lineRule="auto"/>
              <w:ind w:left="74" w:right="-20"/>
              <w:rPr>
                <w:rFonts w:ascii="Arial" w:eastAsia="Times New Roman" w:hAnsi="Arial" w:cs="Arial"/>
              </w:rPr>
            </w:pPr>
            <w:r w:rsidRPr="00C03FCA">
              <w:rPr>
                <w:rFonts w:ascii="Arial" w:eastAsia="Times New Roman" w:hAnsi="Arial" w:cs="Arial"/>
                <w:color w:val="231F20"/>
              </w:rPr>
              <w:t>•</w:t>
            </w:r>
            <w:r w:rsidRPr="00C03FCA">
              <w:rPr>
                <w:rFonts w:ascii="Arial" w:eastAsia="Times New Roman" w:hAnsi="Arial" w:cs="Arial"/>
                <w:color w:val="231F20"/>
              </w:rPr>
              <w:tab/>
              <w:t>Herpes zoster</w:t>
            </w:r>
          </w:p>
          <w:p w:rsidR="00FF2CD0" w:rsidRPr="00C03FCA" w:rsidRDefault="00FF2CD0" w:rsidP="00FF2CD0">
            <w:pPr>
              <w:tabs>
                <w:tab w:val="left" w:pos="420"/>
              </w:tabs>
              <w:spacing w:before="3" w:after="0" w:line="240" w:lineRule="auto"/>
              <w:ind w:left="74" w:right="-20"/>
              <w:rPr>
                <w:rFonts w:ascii="Arial" w:eastAsia="Times New Roman" w:hAnsi="Arial" w:cs="Arial"/>
              </w:rPr>
            </w:pPr>
            <w:r w:rsidRPr="00C03FCA">
              <w:rPr>
                <w:rFonts w:ascii="Arial" w:eastAsia="Times New Roman" w:hAnsi="Arial" w:cs="Arial"/>
                <w:color w:val="231F20"/>
              </w:rPr>
              <w:t>•</w:t>
            </w:r>
            <w:r w:rsidRPr="00C03FCA">
              <w:rPr>
                <w:rFonts w:ascii="Arial" w:eastAsia="Times New Roman" w:hAnsi="Arial" w:cs="Arial"/>
                <w:color w:val="231F20"/>
              </w:rPr>
              <w:tab/>
              <w:t>Angular cheilitis</w:t>
            </w:r>
          </w:p>
          <w:p w:rsidR="00FF2CD0" w:rsidRPr="00C03FCA" w:rsidRDefault="00FF2CD0" w:rsidP="00FF2CD0">
            <w:pPr>
              <w:tabs>
                <w:tab w:val="left" w:pos="420"/>
              </w:tabs>
              <w:spacing w:before="3" w:after="0" w:line="242" w:lineRule="auto"/>
              <w:ind w:left="434" w:right="588" w:hanging="360"/>
              <w:rPr>
                <w:rFonts w:ascii="Arial" w:eastAsia="Times New Roman" w:hAnsi="Arial" w:cs="Arial"/>
              </w:rPr>
            </w:pPr>
            <w:r w:rsidRPr="00C03FCA">
              <w:rPr>
                <w:rFonts w:ascii="Arial" w:eastAsia="Times New Roman" w:hAnsi="Arial" w:cs="Arial"/>
                <w:color w:val="231F20"/>
              </w:rPr>
              <w:t>•</w:t>
            </w:r>
            <w:r w:rsidRPr="00C03FCA">
              <w:rPr>
                <w:rFonts w:ascii="Arial" w:eastAsia="Times New Roman" w:hAnsi="Arial" w:cs="Arial"/>
                <w:color w:val="231F20"/>
              </w:rPr>
              <w:tab/>
              <w:t>Recurrent oral ulceration (two or more episodes in lastv6 months)</w:t>
            </w:r>
          </w:p>
          <w:p w:rsidR="00FF2CD0" w:rsidRPr="00C03FCA" w:rsidRDefault="00FF2CD0" w:rsidP="00FF2CD0">
            <w:pPr>
              <w:tabs>
                <w:tab w:val="left" w:pos="420"/>
              </w:tabs>
              <w:spacing w:after="0" w:line="240" w:lineRule="auto"/>
              <w:ind w:left="74" w:right="-20"/>
              <w:rPr>
                <w:rFonts w:ascii="Arial" w:eastAsia="Times New Roman" w:hAnsi="Arial" w:cs="Arial"/>
              </w:rPr>
            </w:pPr>
            <w:r w:rsidRPr="00C03FCA">
              <w:rPr>
                <w:rFonts w:ascii="Arial" w:eastAsia="Times New Roman" w:hAnsi="Arial" w:cs="Arial"/>
                <w:color w:val="231F20"/>
              </w:rPr>
              <w:t>•</w:t>
            </w:r>
            <w:r w:rsidRPr="00C03FCA">
              <w:rPr>
                <w:rFonts w:ascii="Arial" w:eastAsia="Times New Roman" w:hAnsi="Arial" w:cs="Arial"/>
                <w:color w:val="231F20"/>
              </w:rPr>
              <w:tab/>
              <w:t>Papular pruritic eruptions</w:t>
            </w:r>
          </w:p>
          <w:p w:rsidR="00FF2CD0" w:rsidRPr="00C03FCA" w:rsidRDefault="00FF2CD0" w:rsidP="00FF2CD0">
            <w:pPr>
              <w:tabs>
                <w:tab w:val="left" w:pos="420"/>
              </w:tabs>
              <w:spacing w:before="3" w:after="0" w:line="240" w:lineRule="auto"/>
              <w:ind w:left="74" w:right="-20"/>
              <w:rPr>
                <w:rFonts w:ascii="Arial" w:eastAsia="Times New Roman" w:hAnsi="Arial" w:cs="Arial"/>
              </w:rPr>
            </w:pPr>
            <w:r w:rsidRPr="00C03FCA">
              <w:rPr>
                <w:rFonts w:ascii="Arial" w:eastAsia="Times New Roman" w:hAnsi="Arial" w:cs="Arial"/>
                <w:color w:val="231F20"/>
              </w:rPr>
              <w:t>•</w:t>
            </w:r>
            <w:r w:rsidRPr="00C03FCA">
              <w:rPr>
                <w:rFonts w:ascii="Arial" w:eastAsia="Times New Roman" w:hAnsi="Arial" w:cs="Arial"/>
                <w:color w:val="231F20"/>
              </w:rPr>
              <w:tab/>
              <w:t>Seborrhoeic dermatitis</w:t>
            </w:r>
          </w:p>
          <w:p w:rsidR="00FF2CD0" w:rsidRPr="00C03FCA" w:rsidRDefault="00FF2CD0" w:rsidP="00FF2CD0">
            <w:pPr>
              <w:tabs>
                <w:tab w:val="left" w:pos="420"/>
              </w:tabs>
              <w:spacing w:before="3" w:after="0" w:line="240" w:lineRule="auto"/>
              <w:ind w:left="74" w:right="-20"/>
              <w:rPr>
                <w:rFonts w:ascii="Arial" w:eastAsia="Times New Roman" w:hAnsi="Arial" w:cs="Arial"/>
              </w:rPr>
            </w:pPr>
            <w:r w:rsidRPr="00C03FCA">
              <w:rPr>
                <w:rFonts w:ascii="Arial" w:eastAsia="Times New Roman" w:hAnsi="Arial" w:cs="Arial"/>
                <w:color w:val="231F20"/>
              </w:rPr>
              <w:t>•</w:t>
            </w:r>
            <w:r w:rsidRPr="00C03FCA">
              <w:rPr>
                <w:rFonts w:ascii="Arial" w:eastAsia="Times New Roman" w:hAnsi="Arial" w:cs="Arial"/>
                <w:color w:val="231F20"/>
              </w:rPr>
              <w:tab/>
              <w:t>Fungal nail infections</w:t>
            </w:r>
          </w:p>
        </w:tc>
      </w:tr>
      <w:tr w:rsidR="00FF2CD0" w:rsidRPr="00C03FCA" w:rsidTr="00FF2CD0">
        <w:trPr>
          <w:trHeight w:hRule="exact" w:val="333"/>
        </w:trPr>
        <w:tc>
          <w:tcPr>
            <w:tcW w:w="7920" w:type="dxa"/>
            <w:tcBorders>
              <w:top w:val="single" w:sz="4" w:space="0" w:color="00AEEF"/>
              <w:left w:val="single" w:sz="4" w:space="0" w:color="00AEEF"/>
              <w:bottom w:val="single" w:sz="4" w:space="0" w:color="00AEEF"/>
              <w:right w:val="single" w:sz="4" w:space="0" w:color="00AEEF"/>
            </w:tcBorders>
            <w:shd w:val="clear" w:color="auto" w:fill="00AEEF"/>
          </w:tcPr>
          <w:p w:rsidR="00FF2CD0" w:rsidRPr="00C03FCA" w:rsidRDefault="00FF2CD0" w:rsidP="00FF2CD0">
            <w:pPr>
              <w:spacing w:before="13" w:after="0" w:line="240" w:lineRule="auto"/>
              <w:ind w:left="74" w:right="-20"/>
              <w:rPr>
                <w:rFonts w:ascii="Arial" w:eastAsia="Times New Roman" w:hAnsi="Arial" w:cs="Arial"/>
              </w:rPr>
            </w:pPr>
            <w:r w:rsidRPr="00C03FCA">
              <w:rPr>
                <w:rFonts w:ascii="Arial" w:eastAsia="Times New Roman" w:hAnsi="Arial" w:cs="Arial"/>
                <w:b/>
                <w:bCs/>
                <w:color w:val="FFFFFF"/>
              </w:rPr>
              <w:t>CLINICALS</w:t>
            </w:r>
            <w:r w:rsidRPr="00C03FCA">
              <w:rPr>
                <w:rFonts w:ascii="Arial" w:eastAsia="Times New Roman" w:hAnsi="Arial" w:cs="Arial"/>
                <w:b/>
                <w:bCs/>
                <w:color w:val="FFFFFF"/>
                <w:spacing w:val="-18"/>
              </w:rPr>
              <w:t>T</w:t>
            </w:r>
            <w:r w:rsidRPr="00C03FCA">
              <w:rPr>
                <w:rFonts w:ascii="Arial" w:eastAsia="Times New Roman" w:hAnsi="Arial" w:cs="Arial"/>
                <w:b/>
                <w:bCs/>
                <w:color w:val="FFFFFF"/>
              </w:rPr>
              <w:t>AGE 3</w:t>
            </w:r>
          </w:p>
        </w:tc>
      </w:tr>
      <w:tr w:rsidR="00FF2CD0" w:rsidRPr="00C03FCA" w:rsidTr="00FF2CD0">
        <w:trPr>
          <w:trHeight w:hRule="exact" w:val="4204"/>
        </w:trPr>
        <w:tc>
          <w:tcPr>
            <w:tcW w:w="7920" w:type="dxa"/>
            <w:tcBorders>
              <w:top w:val="single" w:sz="4" w:space="0" w:color="00AEEF"/>
              <w:left w:val="single" w:sz="4" w:space="0" w:color="00AEEF"/>
              <w:bottom w:val="single" w:sz="4" w:space="0" w:color="00AEEF"/>
              <w:right w:val="single" w:sz="4" w:space="0" w:color="00AEEF"/>
            </w:tcBorders>
            <w:shd w:val="clear" w:color="auto" w:fill="E4F5FD"/>
          </w:tcPr>
          <w:p w:rsidR="00FF2CD0" w:rsidRPr="00C03FCA" w:rsidRDefault="00FF2CD0" w:rsidP="00FF2CD0">
            <w:pPr>
              <w:tabs>
                <w:tab w:val="left" w:pos="420"/>
              </w:tabs>
              <w:spacing w:before="21" w:after="0" w:line="242" w:lineRule="auto"/>
              <w:ind w:left="434" w:right="122" w:hanging="360"/>
              <w:rPr>
                <w:rFonts w:ascii="Arial" w:eastAsia="Times New Roman" w:hAnsi="Arial" w:cs="Arial"/>
              </w:rPr>
            </w:pPr>
            <w:r w:rsidRPr="00C03FCA">
              <w:rPr>
                <w:rFonts w:ascii="Arial" w:eastAsia="Times New Roman" w:hAnsi="Arial" w:cs="Arial"/>
                <w:color w:val="231F20"/>
              </w:rPr>
              <w:t>•</w:t>
            </w:r>
            <w:r w:rsidRPr="00C03FCA">
              <w:rPr>
                <w:rFonts w:ascii="Arial" w:eastAsia="Times New Roman" w:hAnsi="Arial" w:cs="Arial"/>
                <w:color w:val="231F20"/>
              </w:rPr>
              <w:tab/>
              <w:t>Severe Unexplained severe weight loss (&gt;10% of presumed or measured body weight)</w:t>
            </w:r>
          </w:p>
          <w:p w:rsidR="00FF2CD0" w:rsidRPr="00C03FCA" w:rsidRDefault="00FF2CD0" w:rsidP="00FF2CD0">
            <w:pPr>
              <w:tabs>
                <w:tab w:val="left" w:pos="420"/>
              </w:tabs>
              <w:spacing w:after="0" w:line="240" w:lineRule="auto"/>
              <w:ind w:left="74" w:right="-20"/>
              <w:rPr>
                <w:rFonts w:ascii="Arial" w:eastAsia="Times New Roman" w:hAnsi="Arial" w:cs="Arial"/>
              </w:rPr>
            </w:pPr>
            <w:r w:rsidRPr="00C03FCA">
              <w:rPr>
                <w:rFonts w:ascii="Arial" w:eastAsia="Times New Roman" w:hAnsi="Arial" w:cs="Arial"/>
                <w:color w:val="231F20"/>
              </w:rPr>
              <w:t>•</w:t>
            </w:r>
            <w:r w:rsidRPr="00C03FCA">
              <w:rPr>
                <w:rFonts w:ascii="Arial" w:eastAsia="Times New Roman" w:hAnsi="Arial" w:cs="Arial"/>
                <w:color w:val="231F20"/>
              </w:rPr>
              <w:tab/>
              <w:t>Unexplained chronic diarrhoea for longer than one month</w:t>
            </w:r>
          </w:p>
          <w:p w:rsidR="00FF2CD0" w:rsidRPr="00C03FCA" w:rsidRDefault="00FF2CD0" w:rsidP="00FF2CD0">
            <w:pPr>
              <w:tabs>
                <w:tab w:val="left" w:pos="420"/>
              </w:tabs>
              <w:spacing w:before="3" w:after="0" w:line="242" w:lineRule="auto"/>
              <w:ind w:left="434" w:right="433" w:hanging="360"/>
              <w:rPr>
                <w:rFonts w:ascii="Arial" w:eastAsia="Times New Roman" w:hAnsi="Arial" w:cs="Arial"/>
              </w:rPr>
            </w:pPr>
            <w:r w:rsidRPr="00C03FCA">
              <w:rPr>
                <w:rFonts w:ascii="Arial" w:eastAsia="Times New Roman" w:hAnsi="Arial" w:cs="Arial"/>
                <w:color w:val="231F20"/>
              </w:rPr>
              <w:t>•</w:t>
            </w:r>
            <w:r w:rsidRPr="00C03FCA">
              <w:rPr>
                <w:rFonts w:ascii="Arial" w:eastAsia="Times New Roman" w:hAnsi="Arial" w:cs="Arial"/>
                <w:color w:val="231F20"/>
              </w:rPr>
              <w:tab/>
              <w:t>Unexplained persistent fever (above 37.6°C intermittent or constant, for longer than one month)</w:t>
            </w:r>
          </w:p>
          <w:p w:rsidR="00FF2CD0" w:rsidRPr="00C03FCA" w:rsidRDefault="00FF2CD0" w:rsidP="00FF2CD0">
            <w:pPr>
              <w:tabs>
                <w:tab w:val="left" w:pos="420"/>
              </w:tabs>
              <w:spacing w:after="0" w:line="240" w:lineRule="auto"/>
              <w:ind w:left="74" w:right="-20"/>
              <w:rPr>
                <w:rFonts w:ascii="Arial" w:eastAsia="Times New Roman" w:hAnsi="Arial" w:cs="Arial"/>
              </w:rPr>
            </w:pPr>
            <w:r w:rsidRPr="00C03FCA">
              <w:rPr>
                <w:rFonts w:ascii="Arial" w:eastAsia="Times New Roman" w:hAnsi="Arial" w:cs="Arial"/>
                <w:color w:val="231F20"/>
              </w:rPr>
              <w:t>•</w:t>
            </w:r>
            <w:r w:rsidRPr="00C03FCA">
              <w:rPr>
                <w:rFonts w:ascii="Arial" w:eastAsia="Times New Roman" w:hAnsi="Arial" w:cs="Arial"/>
                <w:color w:val="231F20"/>
              </w:rPr>
              <w:tab/>
              <w:t>Persistent oral candidiasis</w:t>
            </w:r>
          </w:p>
          <w:p w:rsidR="00FF2CD0" w:rsidRPr="00C03FCA" w:rsidRDefault="00FF2CD0" w:rsidP="00FF2CD0">
            <w:pPr>
              <w:tabs>
                <w:tab w:val="left" w:pos="420"/>
              </w:tabs>
              <w:spacing w:before="3" w:after="0" w:line="240" w:lineRule="auto"/>
              <w:ind w:left="74" w:right="-20"/>
              <w:rPr>
                <w:rFonts w:ascii="Arial" w:eastAsia="Times New Roman" w:hAnsi="Arial" w:cs="Arial"/>
              </w:rPr>
            </w:pPr>
            <w:r w:rsidRPr="00C03FCA">
              <w:rPr>
                <w:rFonts w:ascii="Arial" w:eastAsia="Times New Roman" w:hAnsi="Arial" w:cs="Arial"/>
                <w:color w:val="231F20"/>
              </w:rPr>
              <w:t>•</w:t>
            </w:r>
            <w:r w:rsidRPr="00C03FCA">
              <w:rPr>
                <w:rFonts w:ascii="Arial" w:eastAsia="Times New Roman" w:hAnsi="Arial" w:cs="Arial"/>
                <w:color w:val="231F20"/>
              </w:rPr>
              <w:tab/>
              <w:t>Oral hairy leukoplakia</w:t>
            </w:r>
          </w:p>
          <w:p w:rsidR="00FF2CD0" w:rsidRPr="00C03FCA" w:rsidRDefault="00FF2CD0" w:rsidP="00FF2CD0">
            <w:pPr>
              <w:tabs>
                <w:tab w:val="left" w:pos="420"/>
              </w:tabs>
              <w:spacing w:before="3" w:after="0" w:line="240" w:lineRule="auto"/>
              <w:ind w:left="74" w:right="-20"/>
              <w:rPr>
                <w:rFonts w:ascii="Arial" w:eastAsia="Times New Roman" w:hAnsi="Arial" w:cs="Arial"/>
              </w:rPr>
            </w:pPr>
            <w:r w:rsidRPr="00C03FCA">
              <w:rPr>
                <w:rFonts w:ascii="Arial" w:eastAsia="Times New Roman" w:hAnsi="Arial" w:cs="Arial"/>
                <w:color w:val="231F20"/>
              </w:rPr>
              <w:t>•</w:t>
            </w:r>
            <w:r w:rsidRPr="00C03FCA">
              <w:rPr>
                <w:rFonts w:ascii="Arial" w:eastAsia="Times New Roman" w:hAnsi="Arial" w:cs="Arial"/>
                <w:color w:val="231F20"/>
              </w:rPr>
              <w:tab/>
              <w:t>Pulmonary tuberculosis (current)</w:t>
            </w:r>
          </w:p>
          <w:p w:rsidR="00FF2CD0" w:rsidRPr="00C03FCA" w:rsidRDefault="00FF2CD0" w:rsidP="00FF2CD0">
            <w:pPr>
              <w:tabs>
                <w:tab w:val="left" w:pos="420"/>
              </w:tabs>
              <w:spacing w:before="3" w:after="0" w:line="242" w:lineRule="auto"/>
              <w:ind w:left="434" w:right="454" w:hanging="360"/>
              <w:rPr>
                <w:rFonts w:ascii="Arial" w:eastAsia="Times New Roman" w:hAnsi="Arial" w:cs="Arial"/>
              </w:rPr>
            </w:pPr>
            <w:r w:rsidRPr="00C03FCA">
              <w:rPr>
                <w:rFonts w:ascii="Arial" w:eastAsia="Times New Roman" w:hAnsi="Arial" w:cs="Arial"/>
                <w:color w:val="231F20"/>
              </w:rPr>
              <w:t>•</w:t>
            </w:r>
            <w:r w:rsidRPr="00C03FCA">
              <w:rPr>
                <w:rFonts w:ascii="Arial" w:eastAsia="Times New Roman" w:hAnsi="Arial" w:cs="Arial"/>
                <w:color w:val="231F20"/>
              </w:rPr>
              <w:tab/>
              <w:t>Severe bacterial infections (such as pneumonia, empyema, pyomyositis, bone or joint infection, meningitis or bacteraemia)</w:t>
            </w:r>
          </w:p>
          <w:p w:rsidR="00FF2CD0" w:rsidRPr="00C03FCA" w:rsidRDefault="00FF2CD0" w:rsidP="00FF2CD0">
            <w:pPr>
              <w:tabs>
                <w:tab w:val="left" w:pos="420"/>
              </w:tabs>
              <w:spacing w:after="0" w:line="242" w:lineRule="auto"/>
              <w:ind w:left="434" w:right="1027" w:hanging="360"/>
              <w:rPr>
                <w:rFonts w:ascii="Arial" w:eastAsia="Times New Roman" w:hAnsi="Arial" w:cs="Arial"/>
              </w:rPr>
            </w:pPr>
            <w:r w:rsidRPr="00C03FCA">
              <w:rPr>
                <w:rFonts w:ascii="Arial" w:eastAsia="Times New Roman" w:hAnsi="Arial" w:cs="Arial"/>
                <w:color w:val="231F20"/>
              </w:rPr>
              <w:t>•</w:t>
            </w:r>
            <w:r w:rsidRPr="00C03FCA">
              <w:rPr>
                <w:rFonts w:ascii="Arial" w:eastAsia="Times New Roman" w:hAnsi="Arial" w:cs="Arial"/>
                <w:color w:val="231F20"/>
              </w:rPr>
              <w:tab/>
              <w:t>Acute necrotizing ulcerative stomatitis, gingivitis or periodontitis</w:t>
            </w:r>
          </w:p>
          <w:p w:rsidR="00FF2CD0" w:rsidRPr="00C03FCA" w:rsidRDefault="00FF2CD0" w:rsidP="00FF2CD0">
            <w:pPr>
              <w:tabs>
                <w:tab w:val="left" w:pos="420"/>
              </w:tabs>
              <w:spacing w:after="0" w:line="242" w:lineRule="auto"/>
              <w:ind w:left="434" w:right="192" w:hanging="360"/>
              <w:rPr>
                <w:rFonts w:ascii="Arial" w:eastAsia="Times New Roman" w:hAnsi="Arial" w:cs="Arial"/>
              </w:rPr>
            </w:pPr>
            <w:r w:rsidRPr="00C03FCA">
              <w:rPr>
                <w:rFonts w:ascii="Arial" w:eastAsia="Times New Roman" w:hAnsi="Arial" w:cs="Arial"/>
                <w:color w:val="231F20"/>
              </w:rPr>
              <w:t>•</w:t>
            </w:r>
            <w:r w:rsidRPr="00C03FCA">
              <w:rPr>
                <w:rFonts w:ascii="Arial" w:eastAsia="Times New Roman" w:hAnsi="Arial" w:cs="Arial"/>
                <w:color w:val="231F20"/>
              </w:rPr>
              <w:tab/>
              <w:t>Unexplained anaemia (&lt;8 g/dl), neutropaenia (&lt;0.5 × 109 per litre) or chronic thrombocytopaenia (&lt;50 × 109 per litre)</w:t>
            </w:r>
          </w:p>
        </w:tc>
      </w:tr>
      <w:tr w:rsidR="00FF2CD0" w:rsidRPr="00C03FCA" w:rsidTr="00FF2CD0">
        <w:trPr>
          <w:trHeight w:hRule="exact" w:val="943"/>
        </w:trPr>
        <w:tc>
          <w:tcPr>
            <w:tcW w:w="7920" w:type="dxa"/>
            <w:tcBorders>
              <w:top w:val="single" w:sz="4" w:space="0" w:color="00AEEF"/>
              <w:left w:val="single" w:sz="4" w:space="0" w:color="00AEEF"/>
              <w:bottom w:val="single" w:sz="4" w:space="0" w:color="auto"/>
              <w:right w:val="single" w:sz="4" w:space="0" w:color="00AEEF"/>
            </w:tcBorders>
            <w:shd w:val="clear" w:color="auto" w:fill="00B0F0"/>
          </w:tcPr>
          <w:p w:rsidR="00FF2CD0" w:rsidRPr="00C03FCA" w:rsidRDefault="00FF2CD0" w:rsidP="00FF2CD0">
            <w:pPr>
              <w:spacing w:before="29" w:after="0" w:line="240" w:lineRule="auto"/>
              <w:ind w:right="-20"/>
              <w:rPr>
                <w:rFonts w:ascii="Arial" w:eastAsia="Times New Roman" w:hAnsi="Arial" w:cs="Arial"/>
              </w:rPr>
            </w:pPr>
            <w:r w:rsidRPr="00C03FCA">
              <w:rPr>
                <w:rFonts w:ascii="Arial" w:eastAsia="Times New Roman" w:hAnsi="Arial" w:cs="Arial"/>
                <w:b/>
                <w:bCs/>
                <w:color w:val="FFFFFF"/>
              </w:rPr>
              <w:t>CLINICAL S</w:t>
            </w:r>
            <w:r w:rsidRPr="00C03FCA">
              <w:rPr>
                <w:rFonts w:ascii="Arial" w:eastAsia="Times New Roman" w:hAnsi="Arial" w:cs="Arial"/>
                <w:b/>
                <w:bCs/>
                <w:color w:val="FFFFFF"/>
                <w:spacing w:val="-18"/>
              </w:rPr>
              <w:t>T</w:t>
            </w:r>
            <w:r w:rsidRPr="00C03FCA">
              <w:rPr>
                <w:rFonts w:ascii="Arial" w:eastAsia="Times New Roman" w:hAnsi="Arial" w:cs="Arial"/>
                <w:b/>
                <w:bCs/>
                <w:color w:val="FFFFFF"/>
              </w:rPr>
              <w:t>AGE  4</w:t>
            </w:r>
          </w:p>
          <w:p w:rsidR="00FF2CD0" w:rsidRPr="00C03FCA" w:rsidRDefault="00FF2CD0" w:rsidP="00FF2CD0">
            <w:pPr>
              <w:spacing w:before="3" w:after="0" w:line="140" w:lineRule="exact"/>
              <w:rPr>
                <w:rFonts w:ascii="Arial" w:hAnsi="Arial" w:cs="Arial"/>
              </w:rPr>
            </w:pPr>
          </w:p>
          <w:p w:rsidR="00FF2CD0" w:rsidRPr="00C03FCA" w:rsidRDefault="00FF2CD0" w:rsidP="00FF2CD0">
            <w:pPr>
              <w:tabs>
                <w:tab w:val="left" w:pos="420"/>
              </w:tabs>
              <w:spacing w:before="21" w:after="0" w:line="242" w:lineRule="auto"/>
              <w:ind w:left="434" w:right="122" w:hanging="360"/>
              <w:rPr>
                <w:rFonts w:ascii="Arial" w:eastAsia="Times New Roman" w:hAnsi="Arial" w:cs="Arial"/>
                <w:color w:val="231F20"/>
              </w:rPr>
            </w:pPr>
          </w:p>
        </w:tc>
      </w:tr>
      <w:tr w:rsidR="00FF2CD0" w:rsidRPr="00C03FCA" w:rsidTr="00FF2CD0">
        <w:trPr>
          <w:trHeight w:hRule="exact" w:val="6220"/>
        </w:trPr>
        <w:tc>
          <w:tcPr>
            <w:tcW w:w="7920" w:type="dxa"/>
            <w:tcBorders>
              <w:top w:val="single" w:sz="4" w:space="0" w:color="auto"/>
              <w:left w:val="single" w:sz="4" w:space="0" w:color="auto"/>
              <w:bottom w:val="single" w:sz="4" w:space="0" w:color="auto"/>
              <w:right w:val="single" w:sz="4" w:space="0" w:color="auto"/>
            </w:tcBorders>
            <w:shd w:val="clear" w:color="auto" w:fill="E4F5FD"/>
          </w:tcPr>
          <w:p w:rsidR="00FF2CD0" w:rsidRPr="00C03FCA" w:rsidRDefault="00FF2CD0" w:rsidP="00274941">
            <w:pPr>
              <w:pStyle w:val="ListParagraph"/>
              <w:numPr>
                <w:ilvl w:val="0"/>
                <w:numId w:val="133"/>
              </w:numPr>
              <w:tabs>
                <w:tab w:val="left" w:pos="1980"/>
              </w:tabs>
              <w:ind w:right="-20"/>
              <w:rPr>
                <w:rFonts w:ascii="Arial" w:hAnsi="Arial" w:cs="Arial"/>
                <w:sz w:val="22"/>
                <w:szCs w:val="22"/>
              </w:rPr>
            </w:pPr>
            <w:r w:rsidRPr="00C03FCA">
              <w:rPr>
                <w:rFonts w:ascii="Arial" w:hAnsi="Arial" w:cs="Arial"/>
                <w:color w:val="231F20"/>
                <w:sz w:val="22"/>
                <w:szCs w:val="22"/>
              </w:rPr>
              <w:t>HIVwasting syndrome Pneumocystis pneumonia</w:t>
            </w:r>
          </w:p>
          <w:p w:rsidR="00FF2CD0" w:rsidRPr="00C03FCA" w:rsidRDefault="00FF2CD0" w:rsidP="00274941">
            <w:pPr>
              <w:pStyle w:val="ListParagraph"/>
              <w:numPr>
                <w:ilvl w:val="0"/>
                <w:numId w:val="133"/>
              </w:numPr>
              <w:tabs>
                <w:tab w:val="left" w:pos="1980"/>
              </w:tabs>
              <w:spacing w:before="3" w:line="242" w:lineRule="auto"/>
              <w:ind w:right="1749"/>
              <w:rPr>
                <w:rFonts w:ascii="Arial" w:hAnsi="Arial" w:cs="Arial"/>
                <w:sz w:val="22"/>
                <w:szCs w:val="22"/>
              </w:rPr>
            </w:pPr>
            <w:r w:rsidRPr="00C03FCA">
              <w:rPr>
                <w:rFonts w:ascii="Arial" w:hAnsi="Arial" w:cs="Arial"/>
                <w:color w:val="231F20"/>
                <w:sz w:val="22"/>
                <w:szCs w:val="22"/>
              </w:rPr>
              <w:t>Recurrent bacterial pneumonia (this episode plus one or more episodes in last 6 months)</w:t>
            </w:r>
          </w:p>
          <w:p w:rsidR="00FF2CD0" w:rsidRPr="00C03FCA" w:rsidRDefault="00FF2CD0" w:rsidP="00274941">
            <w:pPr>
              <w:pStyle w:val="ListParagraph"/>
              <w:numPr>
                <w:ilvl w:val="0"/>
                <w:numId w:val="133"/>
              </w:numPr>
              <w:tabs>
                <w:tab w:val="left" w:pos="1980"/>
              </w:tabs>
              <w:spacing w:line="242" w:lineRule="auto"/>
              <w:ind w:right="2390"/>
              <w:rPr>
                <w:rFonts w:ascii="Arial" w:hAnsi="Arial" w:cs="Arial"/>
                <w:sz w:val="22"/>
                <w:szCs w:val="22"/>
              </w:rPr>
            </w:pPr>
            <w:r w:rsidRPr="00C03FCA">
              <w:rPr>
                <w:rFonts w:ascii="Arial" w:hAnsi="Arial" w:cs="Arial"/>
                <w:color w:val="231F20"/>
                <w:sz w:val="22"/>
                <w:szCs w:val="22"/>
              </w:rPr>
              <w:t>Chronic herpes simplex infection (orolabial, genital or anorectal</w:t>
            </w:r>
          </w:p>
          <w:p w:rsidR="00FF2CD0" w:rsidRPr="00C03FCA" w:rsidRDefault="00FF2CD0" w:rsidP="00274941">
            <w:pPr>
              <w:pStyle w:val="ListParagraph"/>
              <w:numPr>
                <w:ilvl w:val="0"/>
                <w:numId w:val="133"/>
              </w:numPr>
              <w:tabs>
                <w:tab w:val="left" w:pos="1980"/>
              </w:tabs>
              <w:spacing w:line="242" w:lineRule="auto"/>
              <w:ind w:right="1590"/>
              <w:rPr>
                <w:rFonts w:ascii="Arial" w:hAnsi="Arial" w:cs="Arial"/>
                <w:sz w:val="22"/>
                <w:szCs w:val="22"/>
              </w:rPr>
            </w:pPr>
            <w:r w:rsidRPr="00C03FCA">
              <w:rPr>
                <w:rFonts w:ascii="Arial" w:hAnsi="Arial" w:cs="Arial"/>
                <w:color w:val="231F20"/>
                <w:sz w:val="22"/>
                <w:szCs w:val="22"/>
              </w:rPr>
              <w:t>of more than one month</w:t>
            </w:r>
            <w:r w:rsidRPr="00C03FCA">
              <w:rPr>
                <w:rFonts w:ascii="Arial" w:hAnsi="Arial" w:cs="Arial"/>
                <w:color w:val="231F20"/>
                <w:spacing w:val="-12"/>
                <w:sz w:val="22"/>
                <w:szCs w:val="22"/>
              </w:rPr>
              <w:t>’</w:t>
            </w:r>
            <w:r w:rsidRPr="00C03FCA">
              <w:rPr>
                <w:rFonts w:ascii="Arial" w:hAnsi="Arial" w:cs="Arial"/>
                <w:color w:val="231F20"/>
                <w:sz w:val="22"/>
                <w:szCs w:val="22"/>
              </w:rPr>
              <w:t>s duration or visceral at any site or any duration)</w:t>
            </w:r>
          </w:p>
          <w:p w:rsidR="00FF2CD0" w:rsidRPr="00C03FCA" w:rsidRDefault="00FF2CD0" w:rsidP="00274941">
            <w:pPr>
              <w:pStyle w:val="ListParagraph"/>
              <w:numPr>
                <w:ilvl w:val="0"/>
                <w:numId w:val="133"/>
              </w:numPr>
              <w:tabs>
                <w:tab w:val="left" w:pos="1980"/>
              </w:tabs>
              <w:spacing w:line="242" w:lineRule="auto"/>
              <w:ind w:right="1712"/>
              <w:rPr>
                <w:rFonts w:ascii="Arial" w:hAnsi="Arial" w:cs="Arial"/>
                <w:sz w:val="22"/>
                <w:szCs w:val="22"/>
              </w:rPr>
            </w:pPr>
            <w:r w:rsidRPr="00C03FCA">
              <w:rPr>
                <w:rFonts w:ascii="Arial" w:hAnsi="Arial" w:cs="Arial"/>
                <w:color w:val="231F20"/>
                <w:sz w:val="22"/>
                <w:szCs w:val="22"/>
              </w:rPr>
              <w:t>Oesophageal candidiasis (or candidiasis of trachea, bronchi or lungs)</w:t>
            </w:r>
          </w:p>
          <w:p w:rsidR="00FF2CD0" w:rsidRPr="00C03FCA" w:rsidRDefault="00FF2CD0" w:rsidP="00274941">
            <w:pPr>
              <w:pStyle w:val="ListParagraph"/>
              <w:numPr>
                <w:ilvl w:val="0"/>
                <w:numId w:val="133"/>
              </w:numPr>
              <w:tabs>
                <w:tab w:val="left" w:pos="1980"/>
              </w:tabs>
              <w:ind w:right="-20"/>
              <w:rPr>
                <w:rFonts w:ascii="Arial" w:hAnsi="Arial" w:cs="Arial"/>
                <w:sz w:val="22"/>
                <w:szCs w:val="22"/>
              </w:rPr>
            </w:pPr>
            <w:r w:rsidRPr="00C03FCA">
              <w:rPr>
                <w:rFonts w:ascii="Arial" w:hAnsi="Arial" w:cs="Arial"/>
                <w:color w:val="231F20"/>
                <w:sz w:val="22"/>
                <w:szCs w:val="22"/>
              </w:rPr>
              <w:t>Extrapulmonary tuberculosis</w:t>
            </w:r>
          </w:p>
          <w:p w:rsidR="00FF2CD0" w:rsidRPr="00C03FCA" w:rsidRDefault="00FF2CD0" w:rsidP="00274941">
            <w:pPr>
              <w:pStyle w:val="ListParagraph"/>
              <w:numPr>
                <w:ilvl w:val="0"/>
                <w:numId w:val="133"/>
              </w:numPr>
              <w:tabs>
                <w:tab w:val="left" w:pos="1980"/>
              </w:tabs>
              <w:spacing w:before="3"/>
              <w:ind w:right="-20"/>
              <w:rPr>
                <w:rFonts w:ascii="Arial" w:hAnsi="Arial" w:cs="Arial"/>
                <w:sz w:val="22"/>
                <w:szCs w:val="22"/>
              </w:rPr>
            </w:pPr>
            <w:r w:rsidRPr="00C03FCA">
              <w:rPr>
                <w:rFonts w:ascii="Arial" w:hAnsi="Arial" w:cs="Arial"/>
                <w:color w:val="231F20"/>
                <w:sz w:val="22"/>
                <w:szCs w:val="22"/>
              </w:rPr>
              <w:t>Kaposi</w:t>
            </w:r>
            <w:r w:rsidRPr="00C03FCA">
              <w:rPr>
                <w:rFonts w:ascii="Arial" w:hAnsi="Arial" w:cs="Arial"/>
                <w:color w:val="231F20"/>
                <w:spacing w:val="-12"/>
                <w:sz w:val="22"/>
                <w:szCs w:val="22"/>
              </w:rPr>
              <w:t>’</w:t>
            </w:r>
            <w:r w:rsidRPr="00C03FCA">
              <w:rPr>
                <w:rFonts w:ascii="Arial" w:hAnsi="Arial" w:cs="Arial"/>
                <w:color w:val="231F20"/>
                <w:sz w:val="22"/>
                <w:szCs w:val="22"/>
              </w:rPr>
              <w:t>s sarcoma</w:t>
            </w:r>
          </w:p>
          <w:p w:rsidR="00FF2CD0" w:rsidRPr="00C03FCA" w:rsidRDefault="00FF2CD0" w:rsidP="00274941">
            <w:pPr>
              <w:pStyle w:val="ListParagraph"/>
              <w:numPr>
                <w:ilvl w:val="0"/>
                <w:numId w:val="133"/>
              </w:numPr>
              <w:tabs>
                <w:tab w:val="left" w:pos="1980"/>
              </w:tabs>
              <w:spacing w:before="3" w:line="242" w:lineRule="auto"/>
              <w:ind w:right="2200"/>
              <w:rPr>
                <w:rFonts w:ascii="Arial" w:hAnsi="Arial" w:cs="Arial"/>
                <w:sz w:val="22"/>
                <w:szCs w:val="22"/>
              </w:rPr>
            </w:pPr>
            <w:r w:rsidRPr="00C03FCA">
              <w:rPr>
                <w:rFonts w:ascii="Arial" w:hAnsi="Arial" w:cs="Arial"/>
                <w:color w:val="231F20"/>
                <w:sz w:val="22"/>
                <w:szCs w:val="22"/>
              </w:rPr>
              <w:t>Cytomegalovirus infection (retinitis or infection of other o</w:t>
            </w:r>
            <w:r w:rsidRPr="00C03FCA">
              <w:rPr>
                <w:rFonts w:ascii="Arial" w:hAnsi="Arial" w:cs="Arial"/>
                <w:color w:val="231F20"/>
                <w:spacing w:val="-4"/>
                <w:sz w:val="22"/>
                <w:szCs w:val="22"/>
              </w:rPr>
              <w:t>r</w:t>
            </w:r>
            <w:r w:rsidRPr="00C03FCA">
              <w:rPr>
                <w:rFonts w:ascii="Arial" w:hAnsi="Arial" w:cs="Arial"/>
                <w:color w:val="231F20"/>
                <w:sz w:val="22"/>
                <w:szCs w:val="22"/>
              </w:rPr>
              <w:t>gans excluding live</w:t>
            </w:r>
            <w:r w:rsidRPr="00C03FCA">
              <w:rPr>
                <w:rFonts w:ascii="Arial" w:hAnsi="Arial" w:cs="Arial"/>
                <w:color w:val="231F20"/>
                <w:spacing w:val="-9"/>
                <w:sz w:val="22"/>
                <w:szCs w:val="22"/>
              </w:rPr>
              <w:t>r</w:t>
            </w:r>
            <w:r w:rsidRPr="00C03FCA">
              <w:rPr>
                <w:rFonts w:ascii="Arial" w:hAnsi="Arial" w:cs="Arial"/>
                <w:color w:val="231F20"/>
                <w:sz w:val="22"/>
                <w:szCs w:val="22"/>
              </w:rPr>
              <w:t>, spleen and lymph nodes)</w:t>
            </w:r>
          </w:p>
          <w:p w:rsidR="00FF2CD0" w:rsidRPr="00C03FCA" w:rsidRDefault="00FF2CD0" w:rsidP="00274941">
            <w:pPr>
              <w:pStyle w:val="ListParagraph"/>
              <w:numPr>
                <w:ilvl w:val="0"/>
                <w:numId w:val="133"/>
              </w:numPr>
              <w:tabs>
                <w:tab w:val="left" w:pos="1980"/>
              </w:tabs>
              <w:ind w:right="-20"/>
              <w:rPr>
                <w:rFonts w:ascii="Arial" w:hAnsi="Arial" w:cs="Arial"/>
                <w:sz w:val="22"/>
                <w:szCs w:val="22"/>
              </w:rPr>
            </w:pPr>
            <w:r w:rsidRPr="00C03FCA">
              <w:rPr>
                <w:rFonts w:ascii="Arial" w:hAnsi="Arial" w:cs="Arial"/>
                <w:color w:val="231F20"/>
                <w:sz w:val="22"/>
                <w:szCs w:val="22"/>
              </w:rPr>
              <w:t>Central nervous system toxoplasmosis</w:t>
            </w:r>
          </w:p>
          <w:p w:rsidR="00FF2CD0" w:rsidRPr="00C03FCA" w:rsidRDefault="00FF2CD0" w:rsidP="00274941">
            <w:pPr>
              <w:pStyle w:val="ListParagraph"/>
              <w:numPr>
                <w:ilvl w:val="0"/>
                <w:numId w:val="133"/>
              </w:numPr>
              <w:tabs>
                <w:tab w:val="left" w:pos="1980"/>
              </w:tabs>
              <w:spacing w:before="3"/>
              <w:ind w:right="-20"/>
              <w:rPr>
                <w:rFonts w:ascii="Arial" w:hAnsi="Arial" w:cs="Arial"/>
                <w:sz w:val="22"/>
                <w:szCs w:val="22"/>
              </w:rPr>
            </w:pPr>
            <w:r w:rsidRPr="00C03FCA">
              <w:rPr>
                <w:rFonts w:ascii="Arial" w:hAnsi="Arial" w:cs="Arial"/>
                <w:color w:val="231F20"/>
                <w:sz w:val="22"/>
                <w:szCs w:val="22"/>
              </w:rPr>
              <w:t>HIVencephalopathy</w:t>
            </w:r>
          </w:p>
          <w:p w:rsidR="00FF2CD0" w:rsidRPr="00C03FCA" w:rsidRDefault="00FF2CD0" w:rsidP="00274941">
            <w:pPr>
              <w:pStyle w:val="ListParagraph"/>
              <w:numPr>
                <w:ilvl w:val="0"/>
                <w:numId w:val="133"/>
              </w:numPr>
              <w:tabs>
                <w:tab w:val="left" w:pos="1980"/>
              </w:tabs>
              <w:spacing w:before="3"/>
              <w:ind w:right="-20"/>
              <w:rPr>
                <w:rFonts w:ascii="Arial" w:hAnsi="Arial" w:cs="Arial"/>
                <w:sz w:val="22"/>
                <w:szCs w:val="22"/>
              </w:rPr>
            </w:pPr>
            <w:r w:rsidRPr="00C03FCA">
              <w:rPr>
                <w:rFonts w:ascii="Arial" w:hAnsi="Arial" w:cs="Arial"/>
                <w:color w:val="231F20"/>
                <w:sz w:val="22"/>
                <w:szCs w:val="22"/>
              </w:rPr>
              <w:t>Extrapulmonary cryptococcosis including meningitis</w:t>
            </w:r>
          </w:p>
          <w:p w:rsidR="00FF2CD0" w:rsidRPr="00C03FCA" w:rsidRDefault="00FF2CD0" w:rsidP="00274941">
            <w:pPr>
              <w:pStyle w:val="ListParagraph"/>
              <w:numPr>
                <w:ilvl w:val="0"/>
                <w:numId w:val="133"/>
              </w:numPr>
              <w:tabs>
                <w:tab w:val="left" w:pos="1980"/>
              </w:tabs>
              <w:spacing w:before="3"/>
              <w:ind w:right="-20"/>
              <w:rPr>
                <w:rFonts w:ascii="Arial" w:hAnsi="Arial" w:cs="Arial"/>
                <w:sz w:val="22"/>
                <w:szCs w:val="22"/>
              </w:rPr>
            </w:pPr>
            <w:r w:rsidRPr="00C03FCA">
              <w:rPr>
                <w:rFonts w:ascii="Arial" w:hAnsi="Arial" w:cs="Arial"/>
                <w:color w:val="231F20"/>
                <w:sz w:val="22"/>
                <w:szCs w:val="22"/>
              </w:rPr>
              <w:t>Disseminated non-tuberculous mycobacterial infection</w:t>
            </w:r>
          </w:p>
          <w:p w:rsidR="00FF2CD0" w:rsidRPr="00C03FCA" w:rsidRDefault="00FF2CD0" w:rsidP="00274941">
            <w:pPr>
              <w:pStyle w:val="ListParagraph"/>
              <w:numPr>
                <w:ilvl w:val="0"/>
                <w:numId w:val="133"/>
              </w:numPr>
              <w:tabs>
                <w:tab w:val="left" w:pos="1980"/>
              </w:tabs>
              <w:spacing w:before="3"/>
              <w:ind w:right="-20"/>
              <w:rPr>
                <w:rFonts w:ascii="Arial" w:hAnsi="Arial" w:cs="Arial"/>
                <w:sz w:val="22"/>
                <w:szCs w:val="22"/>
              </w:rPr>
            </w:pPr>
            <w:r w:rsidRPr="00C03FCA">
              <w:rPr>
                <w:rFonts w:ascii="Arial" w:hAnsi="Arial" w:cs="Arial"/>
                <w:color w:val="231F20"/>
                <w:sz w:val="22"/>
                <w:szCs w:val="22"/>
              </w:rPr>
              <w:t>Progressive multifocal leukoencephalopathy</w:t>
            </w:r>
          </w:p>
          <w:p w:rsidR="00FF2CD0" w:rsidRPr="00C03FCA" w:rsidRDefault="00FF2CD0" w:rsidP="00274941">
            <w:pPr>
              <w:pStyle w:val="ListParagraph"/>
              <w:numPr>
                <w:ilvl w:val="0"/>
                <w:numId w:val="133"/>
              </w:numPr>
              <w:tabs>
                <w:tab w:val="left" w:pos="1980"/>
              </w:tabs>
              <w:spacing w:before="3"/>
              <w:ind w:right="-20"/>
              <w:rPr>
                <w:rFonts w:ascii="Arial" w:hAnsi="Arial" w:cs="Arial"/>
                <w:sz w:val="22"/>
                <w:szCs w:val="22"/>
              </w:rPr>
            </w:pPr>
            <w:r w:rsidRPr="00C03FCA">
              <w:rPr>
                <w:rFonts w:ascii="Arial" w:hAnsi="Arial" w:cs="Arial"/>
                <w:color w:val="231F20"/>
                <w:sz w:val="22"/>
                <w:szCs w:val="22"/>
              </w:rPr>
              <w:t>Cryptosporidiosis (with diarrhoe lasting more than 1 month)</w:t>
            </w:r>
          </w:p>
          <w:p w:rsidR="00FF2CD0" w:rsidRPr="00C03FCA" w:rsidRDefault="00FF2CD0" w:rsidP="00274941">
            <w:pPr>
              <w:pStyle w:val="ListParagraph"/>
              <w:numPr>
                <w:ilvl w:val="0"/>
                <w:numId w:val="133"/>
              </w:numPr>
              <w:tabs>
                <w:tab w:val="left" w:pos="1980"/>
              </w:tabs>
              <w:spacing w:before="3"/>
              <w:ind w:right="-20"/>
              <w:rPr>
                <w:rFonts w:ascii="Arial" w:hAnsi="Arial" w:cs="Arial"/>
                <w:sz w:val="22"/>
                <w:szCs w:val="22"/>
              </w:rPr>
            </w:pPr>
            <w:r w:rsidRPr="00C03FCA">
              <w:rPr>
                <w:rFonts w:ascii="Arial" w:hAnsi="Arial" w:cs="Arial"/>
                <w:color w:val="231F20"/>
                <w:sz w:val="22"/>
                <w:szCs w:val="22"/>
              </w:rPr>
              <w:t>Chronic isosporiasis</w:t>
            </w:r>
          </w:p>
          <w:p w:rsidR="00FF2CD0" w:rsidRPr="00C03FCA" w:rsidRDefault="00FF2CD0" w:rsidP="00274941">
            <w:pPr>
              <w:pStyle w:val="ListParagraph"/>
              <w:numPr>
                <w:ilvl w:val="0"/>
                <w:numId w:val="133"/>
              </w:numPr>
              <w:tabs>
                <w:tab w:val="left" w:pos="1980"/>
              </w:tabs>
              <w:spacing w:before="3"/>
              <w:ind w:right="-20"/>
              <w:rPr>
                <w:rFonts w:ascii="Arial" w:hAnsi="Arial" w:cs="Arial"/>
                <w:sz w:val="22"/>
                <w:szCs w:val="22"/>
              </w:rPr>
            </w:pPr>
            <w:r w:rsidRPr="00C03FCA">
              <w:rPr>
                <w:rFonts w:ascii="Arial" w:hAnsi="Arial" w:cs="Arial"/>
                <w:color w:val="231F20"/>
                <w:sz w:val="22"/>
                <w:szCs w:val="22"/>
              </w:rPr>
              <w:t>Disseminated mycosis (coccidiomycosis or histoplasmosis)</w:t>
            </w:r>
          </w:p>
          <w:p w:rsidR="00FF2CD0" w:rsidRPr="00C03FCA" w:rsidRDefault="00FF2CD0" w:rsidP="00274941">
            <w:pPr>
              <w:pStyle w:val="ListParagraph"/>
              <w:numPr>
                <w:ilvl w:val="0"/>
                <w:numId w:val="133"/>
              </w:numPr>
              <w:tabs>
                <w:tab w:val="left" w:pos="1980"/>
              </w:tabs>
              <w:spacing w:before="3"/>
              <w:ind w:right="-20"/>
              <w:rPr>
                <w:rFonts w:ascii="Arial" w:hAnsi="Arial" w:cs="Arial"/>
                <w:sz w:val="22"/>
                <w:szCs w:val="22"/>
              </w:rPr>
            </w:pPr>
            <w:r w:rsidRPr="00C03FCA">
              <w:rPr>
                <w:rFonts w:ascii="Arial" w:hAnsi="Arial" w:cs="Arial"/>
                <w:color w:val="231F20"/>
                <w:sz w:val="22"/>
                <w:szCs w:val="22"/>
              </w:rPr>
              <w:t>Recurrent septicemia (including non-typhoidal Salmonella )</w:t>
            </w:r>
          </w:p>
          <w:p w:rsidR="00FF2CD0" w:rsidRPr="00C03FCA" w:rsidRDefault="00FF2CD0" w:rsidP="00274941">
            <w:pPr>
              <w:pStyle w:val="ListParagraph"/>
              <w:numPr>
                <w:ilvl w:val="0"/>
                <w:numId w:val="133"/>
              </w:numPr>
              <w:tabs>
                <w:tab w:val="left" w:pos="1980"/>
              </w:tabs>
              <w:spacing w:before="3"/>
              <w:ind w:right="-20"/>
              <w:rPr>
                <w:rFonts w:ascii="Arial" w:hAnsi="Arial" w:cs="Arial"/>
                <w:sz w:val="22"/>
                <w:szCs w:val="22"/>
              </w:rPr>
            </w:pPr>
            <w:r w:rsidRPr="00C03FCA">
              <w:rPr>
                <w:rFonts w:ascii="Arial" w:hAnsi="Arial" w:cs="Arial"/>
                <w:color w:val="231F20"/>
                <w:spacing w:val="-12"/>
                <w:sz w:val="22"/>
                <w:szCs w:val="22"/>
              </w:rPr>
              <w:t>L</w:t>
            </w:r>
            <w:r w:rsidRPr="00C03FCA">
              <w:rPr>
                <w:rFonts w:ascii="Arial" w:hAnsi="Arial" w:cs="Arial"/>
                <w:color w:val="231F20"/>
                <w:sz w:val="22"/>
                <w:szCs w:val="22"/>
              </w:rPr>
              <w:t>ymphoma (cerebral or B-cell non-Hodgkin) or other solid</w:t>
            </w:r>
          </w:p>
          <w:p w:rsidR="00FF2CD0" w:rsidRPr="00C03FCA" w:rsidRDefault="00FF2CD0" w:rsidP="00274941">
            <w:pPr>
              <w:pStyle w:val="ListParagraph"/>
              <w:numPr>
                <w:ilvl w:val="0"/>
                <w:numId w:val="133"/>
              </w:numPr>
              <w:tabs>
                <w:tab w:val="left" w:pos="1980"/>
              </w:tabs>
              <w:spacing w:before="3"/>
              <w:ind w:right="-20"/>
              <w:rPr>
                <w:rFonts w:ascii="Arial" w:hAnsi="Arial" w:cs="Arial"/>
                <w:sz w:val="22"/>
                <w:szCs w:val="22"/>
              </w:rPr>
            </w:pPr>
            <w:r w:rsidRPr="00C03FCA">
              <w:rPr>
                <w:rFonts w:ascii="Arial" w:hAnsi="Arial" w:cs="Arial"/>
                <w:color w:val="231F20"/>
                <w:sz w:val="22"/>
                <w:szCs w:val="22"/>
              </w:rPr>
              <w:t>HI</w:t>
            </w:r>
            <w:r w:rsidRPr="00C03FCA">
              <w:rPr>
                <w:rFonts w:ascii="Arial" w:hAnsi="Arial" w:cs="Arial"/>
                <w:color w:val="231F20"/>
                <w:spacing w:val="-20"/>
                <w:sz w:val="22"/>
                <w:szCs w:val="22"/>
              </w:rPr>
              <w:t>V</w:t>
            </w:r>
            <w:r w:rsidRPr="00C03FCA">
              <w:rPr>
                <w:rFonts w:ascii="Arial" w:hAnsi="Arial" w:cs="Arial"/>
                <w:color w:val="231F20"/>
                <w:sz w:val="22"/>
                <w:szCs w:val="22"/>
              </w:rPr>
              <w:t xml:space="preserve">-associated tumours </w:t>
            </w:r>
          </w:p>
        </w:tc>
      </w:tr>
    </w:tbl>
    <w:p w:rsidR="00FF2CD0" w:rsidRPr="00C203F3" w:rsidRDefault="00FF2CD0" w:rsidP="00FF2CD0">
      <w:pPr>
        <w:spacing w:before="42" w:after="0" w:line="286" w:lineRule="exact"/>
        <w:ind w:left="1554" w:right="2233"/>
        <w:rPr>
          <w:rFonts w:ascii="Arial Narrow" w:eastAsia="Arial" w:hAnsi="Arial Narrow" w:cs="Arial"/>
          <w:sz w:val="24"/>
          <w:szCs w:val="24"/>
        </w:rPr>
      </w:pPr>
    </w:p>
    <w:p w:rsidR="00FF2CD0" w:rsidRPr="00C03FCA" w:rsidRDefault="00FF2CD0" w:rsidP="00274941">
      <w:pPr>
        <w:pStyle w:val="ListParagraph"/>
        <w:numPr>
          <w:ilvl w:val="0"/>
          <w:numId w:val="134"/>
        </w:numPr>
        <w:spacing w:before="120" w:after="120" w:line="276" w:lineRule="auto"/>
        <w:ind w:right="1498"/>
        <w:contextualSpacing w:val="0"/>
        <w:jc w:val="both"/>
        <w:rPr>
          <w:rFonts w:ascii="Arial" w:hAnsi="Arial" w:cs="Arial"/>
          <w:sz w:val="22"/>
          <w:szCs w:val="22"/>
        </w:rPr>
      </w:pPr>
      <w:r w:rsidRPr="00C03FCA">
        <w:rPr>
          <w:rFonts w:ascii="Arial" w:hAnsi="Arial" w:cs="Arial"/>
          <w:color w:val="231F20"/>
          <w:spacing w:val="-6"/>
          <w:sz w:val="22"/>
          <w:szCs w:val="22"/>
        </w:rPr>
        <w:t>Assessmen</w:t>
      </w:r>
      <w:r w:rsidRPr="00C03FCA">
        <w:rPr>
          <w:rFonts w:ascii="Arial" w:hAnsi="Arial" w:cs="Arial"/>
          <w:color w:val="231F20"/>
          <w:sz w:val="22"/>
          <w:szCs w:val="22"/>
        </w:rPr>
        <w:t xml:space="preserve">t </w:t>
      </w:r>
      <w:r w:rsidRPr="00C03FCA">
        <w:rPr>
          <w:rFonts w:ascii="Arial" w:hAnsi="Arial" w:cs="Arial"/>
          <w:color w:val="231F20"/>
          <w:spacing w:val="-6"/>
          <w:sz w:val="22"/>
          <w:szCs w:val="22"/>
        </w:rPr>
        <w:t>o</w:t>
      </w:r>
      <w:r w:rsidRPr="00C03FCA">
        <w:rPr>
          <w:rFonts w:ascii="Arial" w:hAnsi="Arial" w:cs="Arial"/>
          <w:color w:val="231F20"/>
          <w:sz w:val="22"/>
          <w:szCs w:val="22"/>
        </w:rPr>
        <w:t xml:space="preserve">f </w:t>
      </w:r>
      <w:r w:rsidRPr="00C03FCA">
        <w:rPr>
          <w:rFonts w:ascii="Arial" w:hAnsi="Arial" w:cs="Arial"/>
          <w:color w:val="231F20"/>
          <w:spacing w:val="-6"/>
          <w:sz w:val="22"/>
          <w:szCs w:val="22"/>
        </w:rPr>
        <w:t>bod</w:t>
      </w:r>
      <w:r w:rsidRPr="00C03FCA">
        <w:rPr>
          <w:rFonts w:ascii="Arial" w:hAnsi="Arial" w:cs="Arial"/>
          <w:color w:val="231F20"/>
          <w:sz w:val="22"/>
          <w:szCs w:val="22"/>
        </w:rPr>
        <w:t xml:space="preserve">y </w:t>
      </w:r>
      <w:r w:rsidRPr="00C03FCA">
        <w:rPr>
          <w:rFonts w:ascii="Arial" w:hAnsi="Arial" w:cs="Arial"/>
          <w:color w:val="231F20"/>
          <w:spacing w:val="-6"/>
          <w:sz w:val="22"/>
          <w:szCs w:val="22"/>
        </w:rPr>
        <w:t>weigh</w:t>
      </w:r>
      <w:r w:rsidRPr="00C03FCA">
        <w:rPr>
          <w:rFonts w:ascii="Arial" w:hAnsi="Arial" w:cs="Arial"/>
          <w:color w:val="231F20"/>
          <w:sz w:val="22"/>
          <w:szCs w:val="22"/>
        </w:rPr>
        <w:t xml:space="preserve">t </w:t>
      </w:r>
      <w:r w:rsidRPr="00C03FCA">
        <w:rPr>
          <w:rFonts w:ascii="Arial" w:hAnsi="Arial" w:cs="Arial"/>
          <w:color w:val="231F20"/>
          <w:spacing w:val="-6"/>
          <w:sz w:val="22"/>
          <w:szCs w:val="22"/>
        </w:rPr>
        <w:t>i</w:t>
      </w:r>
      <w:r w:rsidRPr="00C03FCA">
        <w:rPr>
          <w:rFonts w:ascii="Arial" w:hAnsi="Arial" w:cs="Arial"/>
          <w:color w:val="231F20"/>
          <w:sz w:val="22"/>
          <w:szCs w:val="22"/>
        </w:rPr>
        <w:t xml:space="preserve">n </w:t>
      </w:r>
      <w:r w:rsidRPr="00C03FCA">
        <w:rPr>
          <w:rFonts w:ascii="Arial" w:hAnsi="Arial" w:cs="Arial"/>
          <w:color w:val="231F20"/>
          <w:spacing w:val="-6"/>
          <w:sz w:val="22"/>
          <w:szCs w:val="22"/>
        </w:rPr>
        <w:t>pregnan</w:t>
      </w:r>
      <w:r w:rsidRPr="00C03FCA">
        <w:rPr>
          <w:rFonts w:ascii="Arial" w:hAnsi="Arial" w:cs="Arial"/>
          <w:color w:val="231F20"/>
          <w:sz w:val="22"/>
          <w:szCs w:val="22"/>
        </w:rPr>
        <w:t xml:space="preserve">t </w:t>
      </w:r>
      <w:r w:rsidRPr="00C03FCA">
        <w:rPr>
          <w:rFonts w:ascii="Arial" w:hAnsi="Arial" w:cs="Arial"/>
          <w:color w:val="231F20"/>
          <w:spacing w:val="-6"/>
          <w:sz w:val="22"/>
          <w:szCs w:val="22"/>
        </w:rPr>
        <w:t>woma</w:t>
      </w:r>
      <w:r w:rsidRPr="00C03FCA">
        <w:rPr>
          <w:rFonts w:ascii="Arial" w:hAnsi="Arial" w:cs="Arial"/>
          <w:color w:val="231F20"/>
          <w:sz w:val="22"/>
          <w:szCs w:val="22"/>
        </w:rPr>
        <w:t xml:space="preserve">n </w:t>
      </w:r>
      <w:r w:rsidRPr="00C03FCA">
        <w:rPr>
          <w:rFonts w:ascii="Arial" w:hAnsi="Arial" w:cs="Arial"/>
          <w:color w:val="231F20"/>
          <w:spacing w:val="-6"/>
          <w:sz w:val="22"/>
          <w:szCs w:val="22"/>
        </w:rPr>
        <w:t>need</w:t>
      </w:r>
      <w:r w:rsidRPr="00C03FCA">
        <w:rPr>
          <w:rFonts w:ascii="Arial" w:hAnsi="Arial" w:cs="Arial"/>
          <w:color w:val="231F20"/>
          <w:sz w:val="22"/>
          <w:szCs w:val="22"/>
        </w:rPr>
        <w:t xml:space="preserve">s </w:t>
      </w:r>
      <w:r w:rsidRPr="00C03FCA">
        <w:rPr>
          <w:rFonts w:ascii="Arial" w:hAnsi="Arial" w:cs="Arial"/>
          <w:color w:val="231F20"/>
          <w:spacing w:val="-6"/>
          <w:sz w:val="22"/>
          <w:szCs w:val="22"/>
        </w:rPr>
        <w:t>t</w:t>
      </w:r>
      <w:r w:rsidRPr="00C03FCA">
        <w:rPr>
          <w:rFonts w:ascii="Arial" w:hAnsi="Arial" w:cs="Arial"/>
          <w:color w:val="231F20"/>
          <w:sz w:val="22"/>
          <w:szCs w:val="22"/>
        </w:rPr>
        <w:t xml:space="preserve">o </w:t>
      </w:r>
      <w:r w:rsidRPr="00C03FCA">
        <w:rPr>
          <w:rFonts w:ascii="Arial" w:hAnsi="Arial" w:cs="Arial"/>
          <w:color w:val="231F20"/>
          <w:spacing w:val="-6"/>
          <w:sz w:val="22"/>
          <w:szCs w:val="22"/>
        </w:rPr>
        <w:t>conside</w:t>
      </w:r>
      <w:r w:rsidRPr="00C03FCA">
        <w:rPr>
          <w:rFonts w:ascii="Arial" w:hAnsi="Arial" w:cs="Arial"/>
          <w:color w:val="231F20"/>
          <w:sz w:val="22"/>
          <w:szCs w:val="22"/>
        </w:rPr>
        <w:t xml:space="preserve">r </w:t>
      </w:r>
      <w:r w:rsidRPr="00C03FCA">
        <w:rPr>
          <w:rFonts w:ascii="Arial" w:hAnsi="Arial" w:cs="Arial"/>
          <w:color w:val="231F20"/>
          <w:spacing w:val="-6"/>
          <w:sz w:val="22"/>
          <w:szCs w:val="22"/>
        </w:rPr>
        <w:t>th</w:t>
      </w:r>
      <w:r w:rsidRPr="00C03FCA">
        <w:rPr>
          <w:rFonts w:ascii="Arial" w:hAnsi="Arial" w:cs="Arial"/>
          <w:color w:val="231F20"/>
          <w:sz w:val="22"/>
          <w:szCs w:val="22"/>
        </w:rPr>
        <w:t xml:space="preserve">e </w:t>
      </w:r>
      <w:r w:rsidRPr="00C03FCA">
        <w:rPr>
          <w:rFonts w:ascii="Arial" w:hAnsi="Arial" w:cs="Arial"/>
          <w:color w:val="231F20"/>
          <w:spacing w:val="-6"/>
          <w:sz w:val="22"/>
          <w:szCs w:val="22"/>
        </w:rPr>
        <w:t>expecte</w:t>
      </w:r>
      <w:r w:rsidRPr="00C03FCA">
        <w:rPr>
          <w:rFonts w:ascii="Arial" w:hAnsi="Arial" w:cs="Arial"/>
          <w:color w:val="231F20"/>
          <w:sz w:val="22"/>
          <w:szCs w:val="22"/>
        </w:rPr>
        <w:t xml:space="preserve">d </w:t>
      </w:r>
      <w:r w:rsidRPr="00C03FCA">
        <w:rPr>
          <w:rFonts w:ascii="Arial" w:hAnsi="Arial" w:cs="Arial"/>
          <w:color w:val="231F20"/>
          <w:spacing w:val="-6"/>
          <w:sz w:val="22"/>
          <w:szCs w:val="22"/>
        </w:rPr>
        <w:t>weigh</w:t>
      </w:r>
      <w:r w:rsidRPr="00C03FCA">
        <w:rPr>
          <w:rFonts w:ascii="Arial" w:hAnsi="Arial" w:cs="Arial"/>
          <w:color w:val="231F20"/>
          <w:sz w:val="22"/>
          <w:szCs w:val="22"/>
        </w:rPr>
        <w:t xml:space="preserve">t </w:t>
      </w:r>
      <w:r w:rsidRPr="00C03FCA">
        <w:rPr>
          <w:rFonts w:ascii="Arial" w:hAnsi="Arial" w:cs="Arial"/>
          <w:color w:val="231F20"/>
          <w:spacing w:val="-6"/>
          <w:sz w:val="22"/>
          <w:szCs w:val="22"/>
        </w:rPr>
        <w:t>gai</w:t>
      </w:r>
      <w:r w:rsidRPr="00C03FCA">
        <w:rPr>
          <w:rFonts w:ascii="Arial" w:hAnsi="Arial" w:cs="Arial"/>
          <w:color w:val="231F20"/>
          <w:sz w:val="22"/>
          <w:szCs w:val="22"/>
        </w:rPr>
        <w:t xml:space="preserve">n </w:t>
      </w:r>
      <w:r w:rsidRPr="00C03FCA">
        <w:rPr>
          <w:rFonts w:ascii="Arial" w:hAnsi="Arial" w:cs="Arial"/>
          <w:color w:val="231F20"/>
          <w:spacing w:val="-6"/>
          <w:sz w:val="22"/>
          <w:szCs w:val="22"/>
        </w:rPr>
        <w:t>o</w:t>
      </w:r>
      <w:r w:rsidRPr="00C03FCA">
        <w:rPr>
          <w:rFonts w:ascii="Arial" w:hAnsi="Arial" w:cs="Arial"/>
          <w:color w:val="231F20"/>
          <w:sz w:val="22"/>
          <w:szCs w:val="22"/>
        </w:rPr>
        <w:t xml:space="preserve">f </w:t>
      </w:r>
      <w:r w:rsidRPr="00C03FCA">
        <w:rPr>
          <w:rFonts w:ascii="Arial" w:hAnsi="Arial" w:cs="Arial"/>
          <w:color w:val="231F20"/>
          <w:spacing w:val="-6"/>
          <w:sz w:val="22"/>
          <w:szCs w:val="22"/>
        </w:rPr>
        <w:t>pregnanc</w:t>
      </w:r>
      <w:r w:rsidRPr="00C03FCA">
        <w:rPr>
          <w:rFonts w:ascii="Arial" w:hAnsi="Arial" w:cs="Arial"/>
          <w:color w:val="231F20"/>
          <w:spacing w:val="-20"/>
          <w:sz w:val="22"/>
          <w:szCs w:val="22"/>
        </w:rPr>
        <w:t>y</w:t>
      </w:r>
      <w:r w:rsidRPr="00C03FCA">
        <w:rPr>
          <w:rFonts w:ascii="Arial" w:hAnsi="Arial" w:cs="Arial"/>
          <w:color w:val="231F20"/>
          <w:sz w:val="22"/>
          <w:szCs w:val="22"/>
        </w:rPr>
        <w:t>.</w:t>
      </w:r>
    </w:p>
    <w:p w:rsidR="00FF2CD0" w:rsidRPr="00C03FCA" w:rsidRDefault="00FF2CD0" w:rsidP="00274941">
      <w:pPr>
        <w:pStyle w:val="ListParagraph"/>
        <w:numPr>
          <w:ilvl w:val="0"/>
          <w:numId w:val="134"/>
        </w:numPr>
        <w:spacing w:before="120" w:after="120" w:line="276" w:lineRule="auto"/>
        <w:ind w:right="1498"/>
        <w:contextualSpacing w:val="0"/>
        <w:jc w:val="both"/>
        <w:rPr>
          <w:rFonts w:ascii="Arial" w:hAnsi="Arial" w:cs="Arial"/>
          <w:color w:val="231F20"/>
          <w:sz w:val="22"/>
          <w:szCs w:val="22"/>
        </w:rPr>
      </w:pPr>
      <w:r w:rsidRPr="00C03FCA">
        <w:rPr>
          <w:rFonts w:ascii="Arial" w:hAnsi="Arial" w:cs="Arial"/>
          <w:color w:val="231F20"/>
          <w:spacing w:val="-6"/>
          <w:sz w:val="22"/>
          <w:szCs w:val="22"/>
        </w:rPr>
        <w:t>Unexplaine</w:t>
      </w:r>
      <w:r w:rsidRPr="00C03FCA">
        <w:rPr>
          <w:rFonts w:ascii="Arial" w:hAnsi="Arial" w:cs="Arial"/>
          <w:color w:val="231F20"/>
          <w:sz w:val="22"/>
          <w:szCs w:val="22"/>
        </w:rPr>
        <w:t xml:space="preserve">d </w:t>
      </w:r>
      <w:r w:rsidRPr="00C03FCA">
        <w:rPr>
          <w:rFonts w:ascii="Arial" w:hAnsi="Arial" w:cs="Arial"/>
          <w:color w:val="231F20"/>
          <w:spacing w:val="-6"/>
          <w:sz w:val="22"/>
          <w:szCs w:val="22"/>
        </w:rPr>
        <w:t>refer</w:t>
      </w:r>
      <w:r w:rsidRPr="00C03FCA">
        <w:rPr>
          <w:rFonts w:ascii="Arial" w:hAnsi="Arial" w:cs="Arial"/>
          <w:color w:val="231F20"/>
          <w:sz w:val="22"/>
          <w:szCs w:val="22"/>
        </w:rPr>
        <w:t xml:space="preserve">s </w:t>
      </w:r>
      <w:r w:rsidRPr="00C03FCA">
        <w:rPr>
          <w:rFonts w:ascii="Arial" w:hAnsi="Arial" w:cs="Arial"/>
          <w:color w:val="231F20"/>
          <w:spacing w:val="-6"/>
          <w:sz w:val="22"/>
          <w:szCs w:val="22"/>
        </w:rPr>
        <w:t>t</w:t>
      </w:r>
      <w:r w:rsidRPr="00C03FCA">
        <w:rPr>
          <w:rFonts w:ascii="Arial" w:hAnsi="Arial" w:cs="Arial"/>
          <w:color w:val="231F20"/>
          <w:sz w:val="22"/>
          <w:szCs w:val="22"/>
        </w:rPr>
        <w:t xml:space="preserve">o </w:t>
      </w:r>
      <w:r w:rsidRPr="00C03FCA">
        <w:rPr>
          <w:rFonts w:ascii="Arial" w:hAnsi="Arial" w:cs="Arial"/>
          <w:color w:val="231F20"/>
          <w:spacing w:val="-6"/>
          <w:sz w:val="22"/>
          <w:szCs w:val="22"/>
        </w:rPr>
        <w:t>wher</w:t>
      </w:r>
      <w:r w:rsidRPr="00C03FCA">
        <w:rPr>
          <w:rFonts w:ascii="Arial" w:hAnsi="Arial" w:cs="Arial"/>
          <w:color w:val="231F20"/>
          <w:sz w:val="22"/>
          <w:szCs w:val="22"/>
        </w:rPr>
        <w:t xml:space="preserve">e </w:t>
      </w:r>
      <w:r w:rsidRPr="00C03FCA">
        <w:rPr>
          <w:rFonts w:ascii="Arial" w:hAnsi="Arial" w:cs="Arial"/>
          <w:color w:val="231F20"/>
          <w:spacing w:val="-6"/>
          <w:sz w:val="22"/>
          <w:szCs w:val="22"/>
        </w:rPr>
        <w:t>th</w:t>
      </w:r>
      <w:r w:rsidRPr="00C03FCA">
        <w:rPr>
          <w:rFonts w:ascii="Arial" w:hAnsi="Arial" w:cs="Arial"/>
          <w:color w:val="231F20"/>
          <w:sz w:val="22"/>
          <w:szCs w:val="22"/>
        </w:rPr>
        <w:t xml:space="preserve">e </w:t>
      </w:r>
      <w:r w:rsidRPr="00C03FCA">
        <w:rPr>
          <w:rFonts w:ascii="Arial" w:hAnsi="Arial" w:cs="Arial"/>
          <w:color w:val="231F20"/>
          <w:spacing w:val="-6"/>
          <w:sz w:val="22"/>
          <w:szCs w:val="22"/>
        </w:rPr>
        <w:t>conditio</w:t>
      </w:r>
      <w:r w:rsidRPr="00C03FCA">
        <w:rPr>
          <w:rFonts w:ascii="Arial" w:hAnsi="Arial" w:cs="Arial"/>
          <w:color w:val="231F20"/>
          <w:sz w:val="22"/>
          <w:szCs w:val="22"/>
        </w:rPr>
        <w:t xml:space="preserve">n </w:t>
      </w:r>
      <w:r w:rsidRPr="00C03FCA">
        <w:rPr>
          <w:rFonts w:ascii="Arial" w:hAnsi="Arial" w:cs="Arial"/>
          <w:color w:val="231F20"/>
          <w:spacing w:val="-6"/>
          <w:sz w:val="22"/>
          <w:szCs w:val="22"/>
        </w:rPr>
        <w:t>i</w:t>
      </w:r>
      <w:r w:rsidRPr="00C03FCA">
        <w:rPr>
          <w:rFonts w:ascii="Arial" w:hAnsi="Arial" w:cs="Arial"/>
          <w:color w:val="231F20"/>
          <w:sz w:val="22"/>
          <w:szCs w:val="22"/>
        </w:rPr>
        <w:t xml:space="preserve">s </w:t>
      </w:r>
      <w:r w:rsidRPr="00C03FCA">
        <w:rPr>
          <w:rFonts w:ascii="Arial" w:hAnsi="Arial" w:cs="Arial"/>
          <w:color w:val="231F20"/>
          <w:spacing w:val="-6"/>
          <w:sz w:val="22"/>
          <w:szCs w:val="22"/>
        </w:rPr>
        <w:t>no</w:t>
      </w:r>
      <w:r w:rsidRPr="00C03FCA">
        <w:rPr>
          <w:rFonts w:ascii="Arial" w:hAnsi="Arial" w:cs="Arial"/>
          <w:color w:val="231F20"/>
          <w:sz w:val="22"/>
          <w:szCs w:val="22"/>
        </w:rPr>
        <w:t xml:space="preserve">t </w:t>
      </w:r>
      <w:r w:rsidRPr="00C03FCA">
        <w:rPr>
          <w:rFonts w:ascii="Arial" w:hAnsi="Arial" w:cs="Arial"/>
          <w:color w:val="231F20"/>
          <w:spacing w:val="-6"/>
          <w:sz w:val="22"/>
          <w:szCs w:val="22"/>
        </w:rPr>
        <w:t>explaine</w:t>
      </w:r>
      <w:r w:rsidRPr="00C03FCA">
        <w:rPr>
          <w:rFonts w:ascii="Arial" w:hAnsi="Arial" w:cs="Arial"/>
          <w:color w:val="231F20"/>
          <w:sz w:val="22"/>
          <w:szCs w:val="22"/>
        </w:rPr>
        <w:t xml:space="preserve">d </w:t>
      </w:r>
      <w:r w:rsidRPr="00C03FCA">
        <w:rPr>
          <w:rFonts w:ascii="Arial" w:hAnsi="Arial" w:cs="Arial"/>
          <w:color w:val="231F20"/>
          <w:spacing w:val="-6"/>
          <w:sz w:val="22"/>
          <w:szCs w:val="22"/>
        </w:rPr>
        <w:t>b</w:t>
      </w:r>
      <w:r w:rsidRPr="00C03FCA">
        <w:rPr>
          <w:rFonts w:ascii="Arial" w:hAnsi="Arial" w:cs="Arial"/>
          <w:color w:val="231F20"/>
          <w:sz w:val="22"/>
          <w:szCs w:val="22"/>
        </w:rPr>
        <w:t xml:space="preserve">y </w:t>
      </w:r>
      <w:r w:rsidRPr="00C03FCA">
        <w:rPr>
          <w:rFonts w:ascii="Arial" w:hAnsi="Arial" w:cs="Arial"/>
          <w:color w:val="231F20"/>
          <w:spacing w:val="-6"/>
          <w:sz w:val="22"/>
          <w:szCs w:val="22"/>
        </w:rPr>
        <w:t>othe</w:t>
      </w:r>
      <w:r w:rsidRPr="00C03FCA">
        <w:rPr>
          <w:rFonts w:ascii="Arial" w:hAnsi="Arial" w:cs="Arial"/>
          <w:color w:val="231F20"/>
          <w:sz w:val="22"/>
          <w:szCs w:val="22"/>
        </w:rPr>
        <w:t xml:space="preserve">r </w:t>
      </w:r>
      <w:r w:rsidRPr="00C03FCA">
        <w:rPr>
          <w:rFonts w:ascii="Arial" w:hAnsi="Arial" w:cs="Arial"/>
          <w:color w:val="231F20"/>
          <w:spacing w:val="-6"/>
          <w:sz w:val="22"/>
          <w:szCs w:val="22"/>
        </w:rPr>
        <w:t>causes</w:t>
      </w:r>
      <w:r w:rsidRPr="00C03FCA">
        <w:rPr>
          <w:rFonts w:ascii="Arial" w:hAnsi="Arial" w:cs="Arial"/>
          <w:color w:val="231F20"/>
          <w:sz w:val="22"/>
          <w:szCs w:val="22"/>
        </w:rPr>
        <w:t xml:space="preserve">. </w:t>
      </w:r>
    </w:p>
    <w:p w:rsidR="00FF2CD0" w:rsidRPr="00C03FCA" w:rsidRDefault="00FF2CD0" w:rsidP="00274941">
      <w:pPr>
        <w:pStyle w:val="ListParagraph"/>
        <w:numPr>
          <w:ilvl w:val="0"/>
          <w:numId w:val="134"/>
        </w:numPr>
        <w:spacing w:before="120" w:after="120" w:line="276" w:lineRule="auto"/>
        <w:ind w:right="1498"/>
        <w:contextualSpacing w:val="0"/>
        <w:jc w:val="both"/>
        <w:rPr>
          <w:rFonts w:ascii="Arial" w:hAnsi="Arial" w:cs="Arial"/>
          <w:sz w:val="22"/>
          <w:szCs w:val="22"/>
        </w:rPr>
      </w:pPr>
      <w:r w:rsidRPr="00C03FCA">
        <w:rPr>
          <w:rFonts w:ascii="Arial" w:hAnsi="Arial" w:cs="Arial"/>
          <w:color w:val="231F20"/>
          <w:spacing w:val="-6"/>
          <w:sz w:val="22"/>
          <w:szCs w:val="22"/>
        </w:rPr>
        <w:t>Som</w:t>
      </w:r>
      <w:r w:rsidRPr="00C03FCA">
        <w:rPr>
          <w:rFonts w:ascii="Arial" w:hAnsi="Arial" w:cs="Arial"/>
          <w:color w:val="231F20"/>
          <w:sz w:val="22"/>
          <w:szCs w:val="22"/>
        </w:rPr>
        <w:t xml:space="preserve">e </w:t>
      </w:r>
      <w:r w:rsidRPr="00C03FCA">
        <w:rPr>
          <w:rFonts w:ascii="Arial" w:hAnsi="Arial" w:cs="Arial"/>
          <w:color w:val="231F20"/>
          <w:spacing w:val="-6"/>
          <w:sz w:val="22"/>
          <w:szCs w:val="22"/>
        </w:rPr>
        <w:t>additiona</w:t>
      </w:r>
      <w:r w:rsidRPr="00C03FCA">
        <w:rPr>
          <w:rFonts w:ascii="Arial" w:hAnsi="Arial" w:cs="Arial"/>
          <w:color w:val="231F20"/>
          <w:sz w:val="22"/>
          <w:szCs w:val="22"/>
        </w:rPr>
        <w:t xml:space="preserve">l </w:t>
      </w:r>
      <w:r w:rsidRPr="00C03FCA">
        <w:rPr>
          <w:rFonts w:ascii="Arial" w:hAnsi="Arial" w:cs="Arial"/>
          <w:color w:val="231F20"/>
          <w:spacing w:val="-6"/>
          <w:sz w:val="22"/>
          <w:szCs w:val="22"/>
        </w:rPr>
        <w:t>speci</w:t>
      </w:r>
      <w:r w:rsidRPr="00C03FCA">
        <w:rPr>
          <w:rFonts w:ascii="Arial" w:hAnsi="Arial" w:cs="Arial"/>
          <w:color w:val="231F20"/>
          <w:sz w:val="22"/>
          <w:szCs w:val="22"/>
        </w:rPr>
        <w:t>f</w:t>
      </w:r>
      <w:r w:rsidRPr="00C03FCA">
        <w:rPr>
          <w:rFonts w:ascii="Arial" w:hAnsi="Arial" w:cs="Arial"/>
          <w:color w:val="231F20"/>
          <w:spacing w:val="-6"/>
          <w:sz w:val="22"/>
          <w:szCs w:val="22"/>
        </w:rPr>
        <w:t>i</w:t>
      </w:r>
      <w:r w:rsidRPr="00C03FCA">
        <w:rPr>
          <w:rFonts w:ascii="Arial" w:hAnsi="Arial" w:cs="Arial"/>
          <w:color w:val="231F20"/>
          <w:sz w:val="22"/>
          <w:szCs w:val="22"/>
        </w:rPr>
        <w:t xml:space="preserve">c </w:t>
      </w:r>
      <w:r w:rsidRPr="00C03FCA">
        <w:rPr>
          <w:rFonts w:ascii="Arial" w:hAnsi="Arial" w:cs="Arial"/>
          <w:color w:val="231F20"/>
          <w:spacing w:val="-6"/>
          <w:sz w:val="22"/>
          <w:szCs w:val="22"/>
        </w:rPr>
        <w:t>condition</w:t>
      </w:r>
      <w:r w:rsidRPr="00C03FCA">
        <w:rPr>
          <w:rFonts w:ascii="Arial" w:hAnsi="Arial" w:cs="Arial"/>
          <w:color w:val="231F20"/>
          <w:sz w:val="22"/>
          <w:szCs w:val="22"/>
        </w:rPr>
        <w:t xml:space="preserve">s </w:t>
      </w:r>
      <w:r w:rsidRPr="00C03FCA">
        <w:rPr>
          <w:rFonts w:ascii="Arial" w:hAnsi="Arial" w:cs="Arial"/>
          <w:color w:val="231F20"/>
          <w:spacing w:val="-6"/>
          <w:sz w:val="22"/>
          <w:szCs w:val="22"/>
        </w:rPr>
        <w:t>ca</w:t>
      </w:r>
      <w:r w:rsidRPr="00C03FCA">
        <w:rPr>
          <w:rFonts w:ascii="Arial" w:hAnsi="Arial" w:cs="Arial"/>
          <w:color w:val="231F20"/>
          <w:sz w:val="22"/>
          <w:szCs w:val="22"/>
        </w:rPr>
        <w:t xml:space="preserve">n </w:t>
      </w:r>
      <w:r w:rsidRPr="00C03FCA">
        <w:rPr>
          <w:rFonts w:ascii="Arial" w:hAnsi="Arial" w:cs="Arial"/>
          <w:color w:val="231F20"/>
          <w:spacing w:val="-6"/>
          <w:sz w:val="22"/>
          <w:szCs w:val="22"/>
        </w:rPr>
        <w:t>als</w:t>
      </w:r>
      <w:r w:rsidRPr="00C03FCA">
        <w:rPr>
          <w:rFonts w:ascii="Arial" w:hAnsi="Arial" w:cs="Arial"/>
          <w:color w:val="231F20"/>
          <w:sz w:val="22"/>
          <w:szCs w:val="22"/>
        </w:rPr>
        <w:t xml:space="preserve">o </w:t>
      </w:r>
      <w:r w:rsidRPr="00C03FCA">
        <w:rPr>
          <w:rFonts w:ascii="Arial" w:hAnsi="Arial" w:cs="Arial"/>
          <w:color w:val="231F20"/>
          <w:spacing w:val="-6"/>
          <w:sz w:val="22"/>
          <w:szCs w:val="22"/>
        </w:rPr>
        <w:t>b</w:t>
      </w:r>
      <w:r w:rsidRPr="00C03FCA">
        <w:rPr>
          <w:rFonts w:ascii="Arial" w:hAnsi="Arial" w:cs="Arial"/>
          <w:color w:val="231F20"/>
          <w:sz w:val="22"/>
          <w:szCs w:val="22"/>
        </w:rPr>
        <w:t xml:space="preserve">e </w:t>
      </w:r>
      <w:r w:rsidRPr="00C03FCA">
        <w:rPr>
          <w:rFonts w:ascii="Arial" w:hAnsi="Arial" w:cs="Arial"/>
          <w:color w:val="231F20"/>
          <w:spacing w:val="-6"/>
          <w:sz w:val="22"/>
          <w:szCs w:val="22"/>
        </w:rPr>
        <w:t>include</w:t>
      </w:r>
      <w:r w:rsidRPr="00C03FCA">
        <w:rPr>
          <w:rFonts w:ascii="Arial" w:hAnsi="Arial" w:cs="Arial"/>
          <w:color w:val="231F20"/>
          <w:sz w:val="22"/>
          <w:szCs w:val="22"/>
        </w:rPr>
        <w:t xml:space="preserve">d </w:t>
      </w:r>
      <w:r w:rsidRPr="00C03FCA">
        <w:rPr>
          <w:rFonts w:ascii="Arial" w:hAnsi="Arial" w:cs="Arial"/>
          <w:color w:val="231F20"/>
          <w:spacing w:val="-6"/>
          <w:sz w:val="22"/>
          <w:szCs w:val="22"/>
        </w:rPr>
        <w:t>i</w:t>
      </w:r>
      <w:r w:rsidRPr="00C03FCA">
        <w:rPr>
          <w:rFonts w:ascii="Arial" w:hAnsi="Arial" w:cs="Arial"/>
          <w:color w:val="231F20"/>
          <w:sz w:val="22"/>
          <w:szCs w:val="22"/>
        </w:rPr>
        <w:t xml:space="preserve">n </w:t>
      </w:r>
      <w:r w:rsidRPr="00C03FCA">
        <w:rPr>
          <w:rFonts w:ascii="Arial" w:hAnsi="Arial" w:cs="Arial"/>
          <w:color w:val="231F20"/>
          <w:spacing w:val="-6"/>
          <w:sz w:val="22"/>
          <w:szCs w:val="22"/>
        </w:rPr>
        <w:t>regiona</w:t>
      </w:r>
      <w:r w:rsidRPr="00C03FCA">
        <w:rPr>
          <w:rFonts w:ascii="Arial" w:hAnsi="Arial" w:cs="Arial"/>
          <w:color w:val="231F20"/>
          <w:sz w:val="22"/>
          <w:szCs w:val="22"/>
        </w:rPr>
        <w:t xml:space="preserve">l </w:t>
      </w:r>
      <w:r w:rsidRPr="00C03FCA">
        <w:rPr>
          <w:rFonts w:ascii="Arial" w:hAnsi="Arial" w:cs="Arial"/>
          <w:color w:val="231F20"/>
          <w:spacing w:val="-6"/>
          <w:sz w:val="22"/>
          <w:szCs w:val="22"/>
        </w:rPr>
        <w:t>classi</w:t>
      </w:r>
      <w:r w:rsidRPr="00C03FCA">
        <w:rPr>
          <w:rFonts w:ascii="Arial" w:hAnsi="Arial" w:cs="Arial"/>
          <w:color w:val="231F20"/>
          <w:sz w:val="22"/>
          <w:szCs w:val="22"/>
        </w:rPr>
        <w:t>f</w:t>
      </w:r>
      <w:r w:rsidRPr="00C03FCA">
        <w:rPr>
          <w:rFonts w:ascii="Arial" w:hAnsi="Arial" w:cs="Arial"/>
          <w:color w:val="231F20"/>
          <w:spacing w:val="-6"/>
          <w:sz w:val="22"/>
          <w:szCs w:val="22"/>
        </w:rPr>
        <w:t>ication</w:t>
      </w:r>
      <w:r w:rsidRPr="00C03FCA">
        <w:rPr>
          <w:rFonts w:ascii="Arial" w:hAnsi="Arial" w:cs="Arial"/>
          <w:color w:val="231F20"/>
          <w:sz w:val="22"/>
          <w:szCs w:val="22"/>
        </w:rPr>
        <w:t xml:space="preserve">s </w:t>
      </w:r>
      <w:r w:rsidRPr="00C03FCA">
        <w:rPr>
          <w:rFonts w:ascii="Arial" w:hAnsi="Arial" w:cs="Arial"/>
          <w:color w:val="231F20"/>
          <w:spacing w:val="-6"/>
          <w:sz w:val="22"/>
          <w:szCs w:val="22"/>
        </w:rPr>
        <w:t>(suc</w:t>
      </w:r>
      <w:r w:rsidRPr="00C03FCA">
        <w:rPr>
          <w:rFonts w:ascii="Arial" w:hAnsi="Arial" w:cs="Arial"/>
          <w:color w:val="231F20"/>
          <w:sz w:val="22"/>
          <w:szCs w:val="22"/>
        </w:rPr>
        <w:t xml:space="preserve">h </w:t>
      </w:r>
      <w:r w:rsidRPr="00C03FCA">
        <w:rPr>
          <w:rFonts w:ascii="Arial" w:hAnsi="Arial" w:cs="Arial"/>
          <w:color w:val="231F20"/>
          <w:spacing w:val="-6"/>
          <w:sz w:val="22"/>
          <w:szCs w:val="22"/>
        </w:rPr>
        <w:t>a</w:t>
      </w:r>
      <w:r w:rsidRPr="00C03FCA">
        <w:rPr>
          <w:rFonts w:ascii="Arial" w:hAnsi="Arial" w:cs="Arial"/>
          <w:color w:val="231F20"/>
          <w:sz w:val="22"/>
          <w:szCs w:val="22"/>
        </w:rPr>
        <w:t xml:space="preserve">s </w:t>
      </w:r>
      <w:r w:rsidRPr="00C03FCA">
        <w:rPr>
          <w:rFonts w:ascii="Arial" w:hAnsi="Arial" w:cs="Arial"/>
          <w:color w:val="231F20"/>
          <w:spacing w:val="-6"/>
          <w:sz w:val="22"/>
          <w:szCs w:val="22"/>
        </w:rPr>
        <w:t>reactivatio</w:t>
      </w:r>
      <w:r w:rsidRPr="00C03FCA">
        <w:rPr>
          <w:rFonts w:ascii="Arial" w:hAnsi="Arial" w:cs="Arial"/>
          <w:color w:val="231F20"/>
          <w:sz w:val="22"/>
          <w:szCs w:val="22"/>
        </w:rPr>
        <w:t xml:space="preserve">n </w:t>
      </w:r>
      <w:r w:rsidRPr="00C03FCA">
        <w:rPr>
          <w:rFonts w:ascii="Arial" w:hAnsi="Arial" w:cs="Arial"/>
          <w:color w:val="231F20"/>
          <w:spacing w:val="-6"/>
          <w:sz w:val="22"/>
          <w:szCs w:val="22"/>
        </w:rPr>
        <w:t>o</w:t>
      </w:r>
      <w:r w:rsidRPr="00C03FCA">
        <w:rPr>
          <w:rFonts w:ascii="Arial" w:hAnsi="Arial" w:cs="Arial"/>
          <w:color w:val="231F20"/>
          <w:sz w:val="22"/>
          <w:szCs w:val="22"/>
        </w:rPr>
        <w:t xml:space="preserve">f </w:t>
      </w:r>
      <w:r w:rsidRPr="00C03FCA">
        <w:rPr>
          <w:rFonts w:ascii="Arial" w:hAnsi="Arial" w:cs="Arial"/>
          <w:color w:val="231F20"/>
          <w:spacing w:val="-6"/>
          <w:sz w:val="22"/>
          <w:szCs w:val="22"/>
        </w:rPr>
        <w:t>America</w:t>
      </w:r>
      <w:r w:rsidRPr="00C03FCA">
        <w:rPr>
          <w:rFonts w:ascii="Arial" w:hAnsi="Arial" w:cs="Arial"/>
          <w:color w:val="231F20"/>
          <w:sz w:val="22"/>
          <w:szCs w:val="22"/>
        </w:rPr>
        <w:t xml:space="preserve">n </w:t>
      </w:r>
      <w:r w:rsidRPr="00C03FCA">
        <w:rPr>
          <w:rFonts w:ascii="Arial" w:hAnsi="Arial" w:cs="Arial"/>
          <w:color w:val="231F20"/>
          <w:spacing w:val="-6"/>
          <w:sz w:val="22"/>
          <w:szCs w:val="22"/>
        </w:rPr>
        <w:t>trypanosomiasi</w:t>
      </w:r>
      <w:r w:rsidRPr="00C03FCA">
        <w:rPr>
          <w:rFonts w:ascii="Arial" w:hAnsi="Arial" w:cs="Arial"/>
          <w:color w:val="231F20"/>
          <w:sz w:val="22"/>
          <w:szCs w:val="22"/>
        </w:rPr>
        <w:t xml:space="preserve">s </w:t>
      </w:r>
      <w:r w:rsidRPr="00C03FCA">
        <w:rPr>
          <w:rFonts w:ascii="Arial" w:hAnsi="Arial" w:cs="Arial"/>
          <w:color w:val="231F20"/>
          <w:spacing w:val="-6"/>
          <w:sz w:val="22"/>
          <w:szCs w:val="22"/>
        </w:rPr>
        <w:t>[meningoencephaliti</w:t>
      </w:r>
      <w:r w:rsidRPr="00C03FCA">
        <w:rPr>
          <w:rFonts w:ascii="Arial" w:hAnsi="Arial" w:cs="Arial"/>
          <w:color w:val="231F20"/>
          <w:sz w:val="22"/>
          <w:szCs w:val="22"/>
        </w:rPr>
        <w:t xml:space="preserve">s </w:t>
      </w:r>
      <w:r w:rsidRPr="00C03FCA">
        <w:rPr>
          <w:rFonts w:ascii="Arial" w:hAnsi="Arial" w:cs="Arial"/>
          <w:color w:val="231F20"/>
          <w:spacing w:val="-6"/>
          <w:sz w:val="22"/>
          <w:szCs w:val="22"/>
        </w:rPr>
        <w:t>and/o</w:t>
      </w:r>
      <w:r w:rsidRPr="00C03FCA">
        <w:rPr>
          <w:rFonts w:ascii="Arial" w:hAnsi="Arial" w:cs="Arial"/>
          <w:color w:val="231F20"/>
          <w:sz w:val="22"/>
          <w:szCs w:val="22"/>
        </w:rPr>
        <w:t xml:space="preserve">r </w:t>
      </w:r>
      <w:r w:rsidRPr="00C03FCA">
        <w:rPr>
          <w:rFonts w:ascii="Arial" w:hAnsi="Arial" w:cs="Arial"/>
          <w:color w:val="231F20"/>
          <w:spacing w:val="-6"/>
          <w:sz w:val="22"/>
          <w:szCs w:val="22"/>
        </w:rPr>
        <w:t>myocarditis]</w:t>
      </w:r>
      <w:r w:rsidRPr="00C03FCA">
        <w:rPr>
          <w:rFonts w:ascii="Arial" w:hAnsi="Arial" w:cs="Arial"/>
          <w:color w:val="231F20"/>
          <w:sz w:val="22"/>
          <w:szCs w:val="22"/>
        </w:rPr>
        <w:t xml:space="preserve">) </w:t>
      </w:r>
      <w:r w:rsidRPr="00C03FCA">
        <w:rPr>
          <w:rFonts w:ascii="Arial" w:hAnsi="Arial" w:cs="Arial"/>
          <w:color w:val="231F20"/>
          <w:spacing w:val="-6"/>
          <w:sz w:val="22"/>
          <w:szCs w:val="22"/>
        </w:rPr>
        <w:t>i</w:t>
      </w:r>
      <w:r w:rsidRPr="00C03FCA">
        <w:rPr>
          <w:rFonts w:ascii="Arial" w:hAnsi="Arial" w:cs="Arial"/>
          <w:color w:val="231F20"/>
          <w:sz w:val="22"/>
          <w:szCs w:val="22"/>
        </w:rPr>
        <w:t xml:space="preserve">n </w:t>
      </w:r>
      <w:r w:rsidRPr="00C03FCA">
        <w:rPr>
          <w:rFonts w:ascii="Arial" w:hAnsi="Arial" w:cs="Arial"/>
          <w:color w:val="231F20"/>
          <w:spacing w:val="-6"/>
          <w:sz w:val="22"/>
          <w:szCs w:val="22"/>
        </w:rPr>
        <w:t>th</w:t>
      </w:r>
      <w:r w:rsidRPr="00C03FCA">
        <w:rPr>
          <w:rFonts w:ascii="Arial" w:hAnsi="Arial" w:cs="Arial"/>
          <w:color w:val="231F20"/>
          <w:sz w:val="22"/>
          <w:szCs w:val="22"/>
        </w:rPr>
        <w:t xml:space="preserve">e </w:t>
      </w:r>
      <w:r w:rsidRPr="00C03FCA">
        <w:rPr>
          <w:rFonts w:ascii="Arial" w:hAnsi="Arial" w:cs="Arial"/>
          <w:color w:val="231F20"/>
          <w:spacing w:val="-6"/>
          <w:sz w:val="22"/>
          <w:szCs w:val="22"/>
        </w:rPr>
        <w:t>WH</w:t>
      </w:r>
      <w:r w:rsidRPr="00C03FCA">
        <w:rPr>
          <w:rFonts w:ascii="Arial" w:hAnsi="Arial" w:cs="Arial"/>
          <w:color w:val="231F20"/>
          <w:sz w:val="22"/>
          <w:szCs w:val="22"/>
        </w:rPr>
        <w:t xml:space="preserve">O </w:t>
      </w:r>
      <w:r w:rsidRPr="00C03FCA">
        <w:rPr>
          <w:rFonts w:ascii="Arial" w:hAnsi="Arial" w:cs="Arial"/>
          <w:color w:val="231F20"/>
          <w:spacing w:val="-6"/>
          <w:sz w:val="22"/>
          <w:szCs w:val="22"/>
        </w:rPr>
        <w:t>Regio</w:t>
      </w:r>
      <w:r w:rsidRPr="00C03FCA">
        <w:rPr>
          <w:rFonts w:ascii="Arial" w:hAnsi="Arial" w:cs="Arial"/>
          <w:color w:val="231F20"/>
          <w:sz w:val="22"/>
          <w:szCs w:val="22"/>
        </w:rPr>
        <w:t xml:space="preserve">n </w:t>
      </w:r>
      <w:r w:rsidRPr="00C03FCA">
        <w:rPr>
          <w:rFonts w:ascii="Arial" w:hAnsi="Arial" w:cs="Arial"/>
          <w:color w:val="231F20"/>
          <w:spacing w:val="-6"/>
          <w:sz w:val="22"/>
          <w:szCs w:val="22"/>
        </w:rPr>
        <w:t>o</w:t>
      </w:r>
      <w:r w:rsidRPr="00C03FCA">
        <w:rPr>
          <w:rFonts w:ascii="Arial" w:hAnsi="Arial" w:cs="Arial"/>
          <w:color w:val="231F20"/>
          <w:sz w:val="22"/>
          <w:szCs w:val="22"/>
        </w:rPr>
        <w:t xml:space="preserve">f </w:t>
      </w:r>
      <w:r w:rsidRPr="00C03FCA">
        <w:rPr>
          <w:rFonts w:ascii="Arial" w:hAnsi="Arial" w:cs="Arial"/>
          <w:color w:val="231F20"/>
          <w:spacing w:val="-6"/>
          <w:sz w:val="22"/>
          <w:szCs w:val="22"/>
        </w:rPr>
        <w:t>th</w:t>
      </w:r>
      <w:r w:rsidRPr="00C03FCA">
        <w:rPr>
          <w:rFonts w:ascii="Arial" w:hAnsi="Arial" w:cs="Arial"/>
          <w:color w:val="231F20"/>
          <w:sz w:val="22"/>
          <w:szCs w:val="22"/>
        </w:rPr>
        <w:t xml:space="preserve">e </w:t>
      </w:r>
      <w:r w:rsidRPr="00C03FCA">
        <w:rPr>
          <w:rFonts w:ascii="Arial" w:hAnsi="Arial" w:cs="Arial"/>
          <w:color w:val="231F20"/>
          <w:spacing w:val="-6"/>
          <w:sz w:val="22"/>
          <w:szCs w:val="22"/>
        </w:rPr>
        <w:t>America</w:t>
      </w:r>
      <w:r w:rsidRPr="00C03FCA">
        <w:rPr>
          <w:rFonts w:ascii="Arial" w:hAnsi="Arial" w:cs="Arial"/>
          <w:color w:val="231F20"/>
          <w:sz w:val="22"/>
          <w:szCs w:val="22"/>
        </w:rPr>
        <w:t xml:space="preserve">s </w:t>
      </w:r>
      <w:r w:rsidRPr="00C03FCA">
        <w:rPr>
          <w:rFonts w:ascii="Arial" w:hAnsi="Arial" w:cs="Arial"/>
          <w:color w:val="231F20"/>
          <w:spacing w:val="-6"/>
          <w:sz w:val="22"/>
          <w:szCs w:val="22"/>
        </w:rPr>
        <w:t>an</w:t>
      </w:r>
      <w:r w:rsidRPr="00C03FCA">
        <w:rPr>
          <w:rFonts w:ascii="Arial" w:hAnsi="Arial" w:cs="Arial"/>
          <w:color w:val="231F20"/>
          <w:sz w:val="22"/>
          <w:szCs w:val="22"/>
        </w:rPr>
        <w:t xml:space="preserve">d </w:t>
      </w:r>
      <w:r w:rsidRPr="00C03FCA">
        <w:rPr>
          <w:rFonts w:ascii="Arial" w:hAnsi="Arial" w:cs="Arial"/>
          <w:color w:val="231F20"/>
          <w:spacing w:val="-6"/>
          <w:sz w:val="22"/>
          <w:szCs w:val="22"/>
        </w:rPr>
        <w:t>disseminate</w:t>
      </w:r>
      <w:r w:rsidRPr="00C03FCA">
        <w:rPr>
          <w:rFonts w:ascii="Arial" w:hAnsi="Arial" w:cs="Arial"/>
          <w:color w:val="231F20"/>
          <w:sz w:val="22"/>
          <w:szCs w:val="22"/>
        </w:rPr>
        <w:t xml:space="preserve">d </w:t>
      </w:r>
      <w:r w:rsidRPr="00C03FCA">
        <w:rPr>
          <w:rFonts w:ascii="Arial" w:hAnsi="Arial" w:cs="Arial"/>
          <w:color w:val="231F20"/>
          <w:spacing w:val="-6"/>
          <w:sz w:val="22"/>
          <w:szCs w:val="22"/>
        </w:rPr>
        <w:t>penicilliosi</w:t>
      </w:r>
      <w:r w:rsidRPr="00C03FCA">
        <w:rPr>
          <w:rFonts w:ascii="Arial" w:hAnsi="Arial" w:cs="Arial"/>
          <w:color w:val="231F20"/>
          <w:sz w:val="22"/>
          <w:szCs w:val="22"/>
        </w:rPr>
        <w:t xml:space="preserve">s </w:t>
      </w:r>
      <w:r w:rsidRPr="00C03FCA">
        <w:rPr>
          <w:rFonts w:ascii="Arial" w:hAnsi="Arial" w:cs="Arial"/>
          <w:color w:val="231F20"/>
          <w:spacing w:val="-6"/>
          <w:sz w:val="22"/>
          <w:szCs w:val="22"/>
        </w:rPr>
        <w:t>i</w:t>
      </w:r>
      <w:r w:rsidRPr="00C03FCA">
        <w:rPr>
          <w:rFonts w:ascii="Arial" w:hAnsi="Arial" w:cs="Arial"/>
          <w:color w:val="231F20"/>
          <w:sz w:val="22"/>
          <w:szCs w:val="22"/>
        </w:rPr>
        <w:t xml:space="preserve">n </w:t>
      </w:r>
      <w:r w:rsidRPr="00C03FCA">
        <w:rPr>
          <w:rFonts w:ascii="Arial" w:hAnsi="Arial" w:cs="Arial"/>
          <w:color w:val="231F20"/>
          <w:spacing w:val="-6"/>
          <w:sz w:val="22"/>
          <w:szCs w:val="22"/>
        </w:rPr>
        <w:t>Asia)</w:t>
      </w:r>
      <w:r w:rsidRPr="00C03FCA">
        <w:rPr>
          <w:rFonts w:ascii="Arial" w:hAnsi="Arial" w:cs="Arial"/>
          <w:color w:val="231F20"/>
          <w:sz w:val="22"/>
          <w:szCs w:val="22"/>
        </w:rPr>
        <w:t>.</w:t>
      </w:r>
      <w:r w:rsidRPr="00C03FCA">
        <w:rPr>
          <w:rFonts w:ascii="Arial" w:hAnsi="Arial" w:cs="Arial"/>
          <w:color w:val="231F20"/>
          <w:sz w:val="22"/>
          <w:szCs w:val="22"/>
        </w:rPr>
        <w:tab/>
      </w:r>
    </w:p>
    <w:p w:rsidR="00FF2CD0" w:rsidRPr="00C03FCA" w:rsidRDefault="00FF2CD0" w:rsidP="00FF2CD0">
      <w:pPr>
        <w:spacing w:before="9" w:after="0" w:line="170" w:lineRule="exact"/>
        <w:jc w:val="both"/>
        <w:rPr>
          <w:rFonts w:ascii="Arial" w:hAnsi="Arial" w:cs="Arial"/>
        </w:rPr>
      </w:pPr>
    </w:p>
    <w:p w:rsidR="00FF2CD0" w:rsidRPr="00C03FCA" w:rsidRDefault="00FF2CD0" w:rsidP="00FF2CD0">
      <w:pPr>
        <w:spacing w:after="0" w:line="240" w:lineRule="auto"/>
        <w:ind w:left="360" w:right="-20"/>
        <w:jc w:val="both"/>
        <w:rPr>
          <w:rFonts w:ascii="Arial" w:eastAsia="Times New Roman" w:hAnsi="Arial" w:cs="Arial"/>
        </w:rPr>
      </w:pPr>
      <w:r w:rsidRPr="00C03FCA">
        <w:rPr>
          <w:rFonts w:ascii="Arial" w:eastAsia="Times New Roman" w:hAnsi="Arial" w:cs="Arial"/>
          <w:color w:val="231F20"/>
          <w:spacing w:val="-6"/>
        </w:rPr>
        <w:t>Source</w:t>
      </w:r>
      <w:r w:rsidRPr="00C03FCA">
        <w:rPr>
          <w:rFonts w:ascii="Arial" w:eastAsia="Times New Roman" w:hAnsi="Arial" w:cs="Arial"/>
          <w:color w:val="231F20"/>
        </w:rPr>
        <w:t xml:space="preserve">: </w:t>
      </w:r>
      <w:r w:rsidRPr="00C03FCA">
        <w:rPr>
          <w:rFonts w:ascii="Arial" w:eastAsia="Times New Roman" w:hAnsi="Arial" w:cs="Arial"/>
          <w:color w:val="231F20"/>
          <w:spacing w:val="-6"/>
        </w:rPr>
        <w:t>Revise</w:t>
      </w:r>
      <w:r w:rsidRPr="00C03FCA">
        <w:rPr>
          <w:rFonts w:ascii="Arial" w:eastAsia="Times New Roman" w:hAnsi="Arial" w:cs="Arial"/>
          <w:color w:val="231F20"/>
        </w:rPr>
        <w:t xml:space="preserve">d </w:t>
      </w:r>
      <w:r w:rsidRPr="00C03FCA">
        <w:rPr>
          <w:rFonts w:ascii="Arial" w:eastAsia="Times New Roman" w:hAnsi="Arial" w:cs="Arial"/>
          <w:color w:val="231F20"/>
          <w:spacing w:val="-6"/>
        </w:rPr>
        <w:t>WH</w:t>
      </w:r>
      <w:r w:rsidRPr="00C03FCA">
        <w:rPr>
          <w:rFonts w:ascii="Arial" w:eastAsia="Times New Roman" w:hAnsi="Arial" w:cs="Arial"/>
          <w:color w:val="231F20"/>
        </w:rPr>
        <w:t>O</w:t>
      </w:r>
      <w:r w:rsidRPr="00C03FCA">
        <w:rPr>
          <w:rFonts w:ascii="Arial" w:eastAsia="Times New Roman" w:hAnsi="Arial" w:cs="Arial"/>
          <w:color w:val="231F20"/>
          <w:spacing w:val="-6"/>
        </w:rPr>
        <w:t>200</w:t>
      </w:r>
      <w:r w:rsidRPr="00C03FCA">
        <w:rPr>
          <w:rFonts w:ascii="Arial" w:eastAsia="Times New Roman" w:hAnsi="Arial" w:cs="Arial"/>
          <w:color w:val="231F20"/>
        </w:rPr>
        <w:t xml:space="preserve">7 </w:t>
      </w:r>
      <w:r w:rsidRPr="00C03FCA">
        <w:rPr>
          <w:rFonts w:ascii="Arial" w:eastAsia="Times New Roman" w:hAnsi="Arial" w:cs="Arial"/>
          <w:color w:val="231F20"/>
          <w:spacing w:val="-6"/>
        </w:rPr>
        <w:t>Cas</w:t>
      </w:r>
      <w:r w:rsidRPr="00C03FCA">
        <w:rPr>
          <w:rFonts w:ascii="Arial" w:eastAsia="Times New Roman" w:hAnsi="Arial" w:cs="Arial"/>
          <w:color w:val="231F20"/>
        </w:rPr>
        <w:t xml:space="preserve">e </w:t>
      </w:r>
      <w:r w:rsidRPr="00C03FCA">
        <w:rPr>
          <w:rFonts w:ascii="Arial" w:eastAsia="Times New Roman" w:hAnsi="Arial" w:cs="Arial"/>
          <w:color w:val="231F20"/>
          <w:spacing w:val="-6"/>
        </w:rPr>
        <w:t>De</w:t>
      </w:r>
      <w:r w:rsidRPr="00C03FCA">
        <w:rPr>
          <w:rFonts w:ascii="Arial" w:eastAsia="Times New Roman" w:hAnsi="Arial" w:cs="Arial"/>
          <w:color w:val="231F20"/>
        </w:rPr>
        <w:t>f</w:t>
      </w:r>
      <w:r w:rsidRPr="00C03FCA">
        <w:rPr>
          <w:rFonts w:ascii="Arial" w:eastAsia="Times New Roman" w:hAnsi="Arial" w:cs="Arial"/>
          <w:color w:val="231F20"/>
          <w:spacing w:val="-6"/>
        </w:rPr>
        <w:t>inition</w:t>
      </w:r>
      <w:r w:rsidRPr="00C03FCA">
        <w:rPr>
          <w:rFonts w:ascii="Arial" w:eastAsia="Times New Roman" w:hAnsi="Arial" w:cs="Arial"/>
          <w:color w:val="231F20"/>
        </w:rPr>
        <w:t xml:space="preserve">s </w:t>
      </w:r>
      <w:r w:rsidRPr="00C03FCA">
        <w:rPr>
          <w:rFonts w:ascii="Arial" w:eastAsia="Times New Roman" w:hAnsi="Arial" w:cs="Arial"/>
          <w:color w:val="231F20"/>
          <w:spacing w:val="-6"/>
        </w:rPr>
        <w:t>o</w:t>
      </w:r>
      <w:r w:rsidRPr="00C03FCA">
        <w:rPr>
          <w:rFonts w:ascii="Arial" w:eastAsia="Times New Roman" w:hAnsi="Arial" w:cs="Arial"/>
          <w:color w:val="231F20"/>
        </w:rPr>
        <w:t xml:space="preserve">f </w:t>
      </w:r>
      <w:r w:rsidRPr="00C03FCA">
        <w:rPr>
          <w:rFonts w:ascii="Arial" w:eastAsia="Times New Roman" w:hAnsi="Arial" w:cs="Arial"/>
          <w:color w:val="231F20"/>
          <w:spacing w:val="-6"/>
        </w:rPr>
        <w:t>HI</w:t>
      </w:r>
      <w:r w:rsidRPr="00C03FCA">
        <w:rPr>
          <w:rFonts w:ascii="Arial" w:eastAsia="Times New Roman" w:hAnsi="Arial" w:cs="Arial"/>
          <w:color w:val="231F20"/>
        </w:rPr>
        <w:t xml:space="preserve">V </w:t>
      </w:r>
      <w:r w:rsidRPr="00C03FCA">
        <w:rPr>
          <w:rFonts w:ascii="Arial" w:eastAsia="Times New Roman" w:hAnsi="Arial" w:cs="Arial"/>
          <w:color w:val="231F20"/>
          <w:spacing w:val="-6"/>
        </w:rPr>
        <w:t>fo</w:t>
      </w:r>
      <w:r w:rsidRPr="00C03FCA">
        <w:rPr>
          <w:rFonts w:ascii="Arial" w:eastAsia="Times New Roman" w:hAnsi="Arial" w:cs="Arial"/>
          <w:color w:val="231F20"/>
        </w:rPr>
        <w:t xml:space="preserve">r </w:t>
      </w:r>
      <w:r w:rsidRPr="00C03FCA">
        <w:rPr>
          <w:rFonts w:ascii="Arial" w:eastAsia="Times New Roman" w:hAnsi="Arial" w:cs="Arial"/>
          <w:color w:val="231F20"/>
          <w:spacing w:val="-6"/>
        </w:rPr>
        <w:t>Surveillanc</w:t>
      </w:r>
      <w:r w:rsidRPr="00C03FCA">
        <w:rPr>
          <w:rFonts w:ascii="Arial" w:eastAsia="Times New Roman" w:hAnsi="Arial" w:cs="Arial"/>
          <w:color w:val="231F20"/>
        </w:rPr>
        <w:t xml:space="preserve">e </w:t>
      </w:r>
      <w:r w:rsidRPr="00C03FCA">
        <w:rPr>
          <w:rFonts w:ascii="Arial" w:eastAsia="Times New Roman" w:hAnsi="Arial" w:cs="Arial"/>
          <w:color w:val="231F20"/>
          <w:spacing w:val="-6"/>
        </w:rPr>
        <w:t>an</w:t>
      </w:r>
      <w:r w:rsidRPr="00C03FCA">
        <w:rPr>
          <w:rFonts w:ascii="Arial" w:eastAsia="Times New Roman" w:hAnsi="Arial" w:cs="Arial"/>
          <w:color w:val="231F20"/>
        </w:rPr>
        <w:t xml:space="preserve">d </w:t>
      </w:r>
      <w:r w:rsidRPr="00C03FCA">
        <w:rPr>
          <w:rFonts w:ascii="Arial" w:eastAsia="Times New Roman" w:hAnsi="Arial" w:cs="Arial"/>
          <w:color w:val="231F20"/>
          <w:spacing w:val="-6"/>
        </w:rPr>
        <w:t>Revise</w:t>
      </w:r>
      <w:r w:rsidRPr="00C03FCA">
        <w:rPr>
          <w:rFonts w:ascii="Arial" w:eastAsia="Times New Roman" w:hAnsi="Arial" w:cs="Arial"/>
          <w:color w:val="231F20"/>
        </w:rPr>
        <w:t xml:space="preserve">d </w:t>
      </w:r>
      <w:r w:rsidRPr="00C03FCA">
        <w:rPr>
          <w:rFonts w:ascii="Arial" w:eastAsia="Times New Roman" w:hAnsi="Arial" w:cs="Arial"/>
          <w:color w:val="231F20"/>
          <w:spacing w:val="-6"/>
        </w:rPr>
        <w:t>Clinica</w:t>
      </w:r>
      <w:r w:rsidRPr="00C03FCA">
        <w:rPr>
          <w:rFonts w:ascii="Arial" w:eastAsia="Times New Roman" w:hAnsi="Arial" w:cs="Arial"/>
          <w:color w:val="231F20"/>
        </w:rPr>
        <w:t xml:space="preserve">l </w:t>
      </w:r>
      <w:r w:rsidRPr="00C03FCA">
        <w:rPr>
          <w:rFonts w:ascii="Arial" w:eastAsia="Times New Roman" w:hAnsi="Arial" w:cs="Arial"/>
          <w:color w:val="231F20"/>
          <w:spacing w:val="-6"/>
        </w:rPr>
        <w:t>Stagin</w:t>
      </w:r>
      <w:r w:rsidRPr="00C03FCA">
        <w:rPr>
          <w:rFonts w:ascii="Arial" w:eastAsia="Times New Roman" w:hAnsi="Arial" w:cs="Arial"/>
          <w:color w:val="231F20"/>
        </w:rPr>
        <w:t xml:space="preserve">g </w:t>
      </w:r>
      <w:r w:rsidRPr="00C03FCA">
        <w:rPr>
          <w:rFonts w:ascii="Arial" w:eastAsia="Times New Roman" w:hAnsi="Arial" w:cs="Arial"/>
          <w:color w:val="231F20"/>
          <w:spacing w:val="-6"/>
        </w:rPr>
        <w:t>availabl</w:t>
      </w:r>
      <w:r w:rsidRPr="00C03FCA">
        <w:rPr>
          <w:rFonts w:ascii="Arial" w:eastAsia="Times New Roman" w:hAnsi="Arial" w:cs="Arial"/>
          <w:color w:val="231F20"/>
        </w:rPr>
        <w:t xml:space="preserve">e </w:t>
      </w:r>
      <w:r w:rsidRPr="00C03FCA">
        <w:rPr>
          <w:rFonts w:ascii="Arial" w:eastAsia="Times New Roman" w:hAnsi="Arial" w:cs="Arial"/>
          <w:color w:val="231F20"/>
          <w:spacing w:val="-6"/>
        </w:rPr>
        <w:t>o</w:t>
      </w:r>
      <w:r w:rsidRPr="00C03FCA">
        <w:rPr>
          <w:rFonts w:ascii="Arial" w:eastAsia="Times New Roman" w:hAnsi="Arial" w:cs="Arial"/>
          <w:color w:val="231F20"/>
        </w:rPr>
        <w:t>n</w:t>
      </w:r>
      <w:r w:rsidRPr="00C03FCA">
        <w:rPr>
          <w:rFonts w:ascii="Arial" w:eastAsia="Times New Roman" w:hAnsi="Arial" w:cs="Arial"/>
          <w:color w:val="231F20"/>
          <w:spacing w:val="-6"/>
        </w:rPr>
        <w:t>lin</w:t>
      </w:r>
      <w:r w:rsidRPr="00C03FCA">
        <w:rPr>
          <w:rFonts w:ascii="Arial" w:eastAsia="Times New Roman" w:hAnsi="Arial" w:cs="Arial"/>
          <w:color w:val="231F20"/>
        </w:rPr>
        <w:t xml:space="preserve">e </w:t>
      </w:r>
      <w:hyperlink r:id="rId21">
        <w:r w:rsidRPr="00C03FCA">
          <w:rPr>
            <w:rFonts w:ascii="Arial" w:eastAsia="Times New Roman" w:hAnsi="Arial" w:cs="Arial"/>
            <w:color w:val="231F20"/>
            <w:spacing w:val="-6"/>
          </w:rPr>
          <w:t>http://ww</w:t>
        </w:r>
        <w:r w:rsidRPr="00C03FCA">
          <w:rPr>
            <w:rFonts w:ascii="Arial" w:eastAsia="Times New Roman" w:hAnsi="Arial" w:cs="Arial"/>
            <w:color w:val="231F20"/>
            <w:spacing w:val="-20"/>
          </w:rPr>
          <w:t>w</w:t>
        </w:r>
        <w:r w:rsidRPr="00C03FCA">
          <w:rPr>
            <w:rFonts w:ascii="Arial" w:eastAsia="Times New Roman" w:hAnsi="Arial" w:cs="Arial"/>
            <w:color w:val="231F20"/>
            <w:spacing w:val="-6"/>
          </w:rPr>
          <w:t>.who.int/hiv/pub</w:t>
        </w:r>
        <w:r w:rsidRPr="00C03FCA">
          <w:rPr>
            <w:rFonts w:ascii="Arial" w:eastAsia="Times New Roman" w:hAnsi="Arial" w:cs="Arial"/>
            <w:color w:val="231F20"/>
          </w:rPr>
          <w:t>/</w:t>
        </w:r>
      </w:hyperlink>
    </w:p>
    <w:p w:rsidR="00FF2CD0" w:rsidRPr="00C203F3" w:rsidRDefault="00FF2CD0" w:rsidP="00FF2CD0">
      <w:pPr>
        <w:spacing w:before="6" w:after="0" w:line="160" w:lineRule="exact"/>
        <w:rPr>
          <w:rFonts w:ascii="Arial Narrow" w:hAnsi="Arial Narrow"/>
          <w:sz w:val="24"/>
          <w:szCs w:val="24"/>
        </w:rPr>
      </w:pPr>
    </w:p>
    <w:p w:rsidR="00FF2CD0" w:rsidRDefault="00FF2CD0" w:rsidP="00FF2CD0">
      <w:pPr>
        <w:spacing w:before="42" w:after="0" w:line="286" w:lineRule="exact"/>
        <w:ind w:left="1554" w:right="2233"/>
        <w:rPr>
          <w:rFonts w:ascii="Arial Narrow" w:eastAsia="Arial" w:hAnsi="Arial Narrow" w:cs="Arial"/>
          <w:sz w:val="24"/>
          <w:szCs w:val="24"/>
        </w:rPr>
      </w:pPr>
    </w:p>
    <w:p w:rsidR="00FF2CD0" w:rsidRDefault="00FF2CD0" w:rsidP="00FF2CD0">
      <w:pPr>
        <w:spacing w:before="42" w:after="0" w:line="286" w:lineRule="exact"/>
        <w:ind w:left="1554" w:right="2233"/>
        <w:rPr>
          <w:rFonts w:ascii="Arial Narrow" w:eastAsia="Arial" w:hAnsi="Arial Narrow" w:cs="Arial"/>
          <w:sz w:val="24"/>
          <w:szCs w:val="24"/>
        </w:rPr>
      </w:pPr>
    </w:p>
    <w:p w:rsidR="00FF2CD0" w:rsidRDefault="00FF2CD0" w:rsidP="00FF2CD0">
      <w:pPr>
        <w:spacing w:before="42" w:after="0" w:line="286" w:lineRule="exact"/>
        <w:ind w:left="1554" w:right="2233"/>
        <w:rPr>
          <w:rFonts w:ascii="Arial Narrow" w:eastAsia="Arial" w:hAnsi="Arial Narrow" w:cs="Arial"/>
          <w:sz w:val="24"/>
          <w:szCs w:val="24"/>
        </w:rPr>
      </w:pPr>
    </w:p>
    <w:p w:rsidR="00FF2CD0" w:rsidRDefault="00FF2CD0" w:rsidP="00FF2CD0">
      <w:pPr>
        <w:spacing w:before="42" w:after="0" w:line="286" w:lineRule="exact"/>
        <w:ind w:left="1554" w:right="2233"/>
        <w:rPr>
          <w:rFonts w:ascii="Arial Narrow" w:eastAsia="Arial" w:hAnsi="Arial Narrow" w:cs="Arial"/>
          <w:sz w:val="24"/>
          <w:szCs w:val="24"/>
        </w:rPr>
      </w:pPr>
    </w:p>
    <w:p w:rsidR="00FF2CD0" w:rsidRPr="00C203F3" w:rsidRDefault="00FF2CD0" w:rsidP="00FF2CD0">
      <w:pPr>
        <w:spacing w:before="42" w:after="0" w:line="286" w:lineRule="exact"/>
        <w:ind w:left="1554" w:right="2233"/>
        <w:rPr>
          <w:rFonts w:ascii="Arial Narrow" w:eastAsia="Arial" w:hAnsi="Arial Narrow" w:cs="Arial"/>
          <w:sz w:val="24"/>
          <w:szCs w:val="24"/>
        </w:rPr>
      </w:pPr>
    </w:p>
    <w:p w:rsidR="00FF2CD0" w:rsidRPr="00C203F3" w:rsidRDefault="00FF2CD0" w:rsidP="00FF2CD0">
      <w:pPr>
        <w:pStyle w:val="Heading2"/>
        <w:rPr>
          <w:rFonts w:ascii="Arial Narrow" w:eastAsia="Arial" w:hAnsi="Arial Narrow"/>
          <w:sz w:val="24"/>
          <w:szCs w:val="24"/>
        </w:rPr>
      </w:pPr>
      <w:bookmarkStart w:id="1106" w:name="_Toc378258348"/>
      <w:bookmarkStart w:id="1107" w:name="_Toc382214189"/>
      <w:r w:rsidRPr="00C203F3">
        <w:rPr>
          <w:rFonts w:ascii="Arial Narrow" w:eastAsia="Arial" w:hAnsi="Arial Narrow"/>
          <w:sz w:val="24"/>
          <w:szCs w:val="24"/>
        </w:rPr>
        <w:t>ANNEX 2: WHO CLINICAL S</w:t>
      </w:r>
      <w:r w:rsidRPr="00C203F3">
        <w:rPr>
          <w:rFonts w:ascii="Arial Narrow" w:eastAsia="Arial" w:hAnsi="Arial Narrow"/>
          <w:spacing w:val="-20"/>
          <w:sz w:val="24"/>
          <w:szCs w:val="24"/>
        </w:rPr>
        <w:t>T</w:t>
      </w:r>
      <w:r w:rsidRPr="00C203F3">
        <w:rPr>
          <w:rFonts w:ascii="Arial Narrow" w:eastAsia="Arial" w:hAnsi="Arial Narrow"/>
          <w:sz w:val="24"/>
          <w:szCs w:val="24"/>
        </w:rPr>
        <w:t>AGING OF HIV/ AIDS FOR CHILDREN WITH CONFIRMED HIV INFECTION</w:t>
      </w:r>
      <w:bookmarkEnd w:id="1106"/>
      <w:bookmarkEnd w:id="1107"/>
    </w:p>
    <w:p w:rsidR="00FF2CD0" w:rsidRPr="00C203F3" w:rsidRDefault="00FF2CD0" w:rsidP="00FF2CD0">
      <w:pPr>
        <w:pStyle w:val="Heading2"/>
        <w:rPr>
          <w:rFonts w:ascii="Arial Narrow" w:eastAsia="Arial" w:hAnsi="Arial Narrow"/>
          <w:sz w:val="24"/>
          <w:szCs w:val="24"/>
        </w:rPr>
      </w:pPr>
    </w:p>
    <w:tbl>
      <w:tblPr>
        <w:tblW w:w="0" w:type="auto"/>
        <w:tblInd w:w="995" w:type="dxa"/>
        <w:tblLayout w:type="fixed"/>
        <w:tblCellMar>
          <w:left w:w="0" w:type="dxa"/>
          <w:right w:w="0" w:type="dxa"/>
        </w:tblCellMar>
        <w:tblLook w:val="01E0" w:firstRow="1" w:lastRow="1" w:firstColumn="1" w:lastColumn="1" w:noHBand="0" w:noVBand="0"/>
      </w:tblPr>
      <w:tblGrid>
        <w:gridCol w:w="6666"/>
      </w:tblGrid>
      <w:tr w:rsidR="00FF2CD0" w:rsidRPr="00C03FCA" w:rsidTr="00FF2CD0">
        <w:trPr>
          <w:trHeight w:hRule="exact" w:val="262"/>
        </w:trPr>
        <w:tc>
          <w:tcPr>
            <w:tcW w:w="6666" w:type="dxa"/>
            <w:tcBorders>
              <w:top w:val="single" w:sz="4" w:space="0" w:color="00AEEF"/>
              <w:left w:val="single" w:sz="4" w:space="0" w:color="00AEEF"/>
              <w:bottom w:val="single" w:sz="4" w:space="0" w:color="231F20"/>
              <w:right w:val="single" w:sz="4" w:space="0" w:color="00AEEF"/>
            </w:tcBorders>
            <w:shd w:val="clear" w:color="auto" w:fill="00AEEF"/>
          </w:tcPr>
          <w:p w:rsidR="00FF2CD0" w:rsidRPr="00C03FCA" w:rsidRDefault="00FF2CD0" w:rsidP="00FF2CD0">
            <w:pPr>
              <w:spacing w:after="0" w:line="248" w:lineRule="exact"/>
              <w:ind w:left="52" w:right="-20"/>
              <w:rPr>
                <w:rFonts w:ascii="Arial" w:eastAsia="Times New Roman" w:hAnsi="Arial" w:cs="Arial"/>
              </w:rPr>
            </w:pPr>
            <w:r w:rsidRPr="00C03FCA">
              <w:rPr>
                <w:rFonts w:ascii="Arial" w:eastAsia="Times New Roman" w:hAnsi="Arial" w:cs="Arial"/>
                <w:b/>
                <w:bCs/>
                <w:color w:val="FFFFFF"/>
              </w:rPr>
              <w:t>S</w:t>
            </w:r>
            <w:r w:rsidRPr="00C03FCA">
              <w:rPr>
                <w:rFonts w:ascii="Arial" w:eastAsia="Times New Roman" w:hAnsi="Arial" w:cs="Arial"/>
                <w:b/>
                <w:bCs/>
                <w:color w:val="FFFFFF"/>
                <w:spacing w:val="-16"/>
              </w:rPr>
              <w:t>T</w:t>
            </w:r>
            <w:r w:rsidRPr="00C03FCA">
              <w:rPr>
                <w:rFonts w:ascii="Arial" w:eastAsia="Times New Roman" w:hAnsi="Arial" w:cs="Arial"/>
                <w:b/>
                <w:bCs/>
                <w:color w:val="FFFFFF"/>
              </w:rPr>
              <w:t>AGE 1</w:t>
            </w:r>
          </w:p>
        </w:tc>
      </w:tr>
      <w:tr w:rsidR="00FF2CD0" w:rsidRPr="00C03FCA" w:rsidTr="00FF2CD0">
        <w:trPr>
          <w:trHeight w:hRule="exact" w:val="621"/>
        </w:trPr>
        <w:tc>
          <w:tcPr>
            <w:tcW w:w="6666" w:type="dxa"/>
            <w:tcBorders>
              <w:top w:val="single" w:sz="4" w:space="0" w:color="231F20"/>
              <w:left w:val="single" w:sz="4" w:space="0" w:color="00AEEF"/>
              <w:bottom w:val="single" w:sz="4" w:space="0" w:color="231F20"/>
              <w:right w:val="single" w:sz="4" w:space="0" w:color="00AEEF"/>
            </w:tcBorders>
            <w:shd w:val="clear" w:color="auto" w:fill="E4F5FD"/>
          </w:tcPr>
          <w:p w:rsidR="00FF2CD0" w:rsidRPr="00C03FCA" w:rsidRDefault="00FF2CD0" w:rsidP="00274941">
            <w:pPr>
              <w:pStyle w:val="ListParagraph"/>
              <w:numPr>
                <w:ilvl w:val="0"/>
                <w:numId w:val="133"/>
              </w:numPr>
              <w:tabs>
                <w:tab w:val="left" w:pos="400"/>
              </w:tabs>
              <w:spacing w:line="252" w:lineRule="exact"/>
              <w:ind w:right="-20"/>
              <w:rPr>
                <w:rFonts w:ascii="Arial" w:hAnsi="Arial" w:cs="Arial"/>
                <w:sz w:val="22"/>
                <w:szCs w:val="22"/>
              </w:rPr>
            </w:pPr>
            <w:r w:rsidRPr="00C03FCA">
              <w:rPr>
                <w:rFonts w:ascii="Arial" w:hAnsi="Arial" w:cs="Arial"/>
                <w:color w:val="231F20"/>
                <w:sz w:val="22"/>
                <w:szCs w:val="22"/>
              </w:rPr>
              <w:t>Asymptomatic</w:t>
            </w:r>
          </w:p>
          <w:p w:rsidR="00FF2CD0" w:rsidRPr="00C03FCA" w:rsidRDefault="00FF2CD0" w:rsidP="00274941">
            <w:pPr>
              <w:pStyle w:val="ListParagraph"/>
              <w:numPr>
                <w:ilvl w:val="0"/>
                <w:numId w:val="136"/>
              </w:numPr>
              <w:tabs>
                <w:tab w:val="left" w:pos="400"/>
              </w:tabs>
              <w:spacing w:before="3"/>
              <w:ind w:right="-20"/>
              <w:rPr>
                <w:rFonts w:ascii="Arial" w:hAnsi="Arial" w:cs="Arial"/>
                <w:sz w:val="22"/>
                <w:szCs w:val="22"/>
              </w:rPr>
            </w:pPr>
            <w:r w:rsidRPr="00C03FCA">
              <w:rPr>
                <w:rFonts w:ascii="Arial" w:hAnsi="Arial" w:cs="Arial"/>
                <w:color w:val="231F20"/>
                <w:sz w:val="22"/>
                <w:szCs w:val="22"/>
              </w:rPr>
              <w:t>Persistent generalized lymphadenopathy</w:t>
            </w:r>
          </w:p>
        </w:tc>
      </w:tr>
      <w:tr w:rsidR="00FF2CD0" w:rsidRPr="00C03FCA" w:rsidTr="00FF2CD0">
        <w:trPr>
          <w:trHeight w:hRule="exact" w:val="262"/>
        </w:trPr>
        <w:tc>
          <w:tcPr>
            <w:tcW w:w="6666" w:type="dxa"/>
            <w:tcBorders>
              <w:top w:val="single" w:sz="4" w:space="0" w:color="231F20"/>
              <w:left w:val="single" w:sz="4" w:space="0" w:color="00AEEF"/>
              <w:bottom w:val="single" w:sz="4" w:space="0" w:color="231F20"/>
              <w:right w:val="single" w:sz="4" w:space="0" w:color="00AEEF"/>
            </w:tcBorders>
            <w:shd w:val="clear" w:color="auto" w:fill="00AEEF"/>
          </w:tcPr>
          <w:p w:rsidR="00FF2CD0" w:rsidRPr="00C03FCA" w:rsidRDefault="00FF2CD0" w:rsidP="00FF2CD0">
            <w:pPr>
              <w:spacing w:after="0" w:line="248" w:lineRule="exact"/>
              <w:ind w:left="52" w:right="-20"/>
              <w:rPr>
                <w:rFonts w:ascii="Arial" w:eastAsia="Times New Roman" w:hAnsi="Arial" w:cs="Arial"/>
              </w:rPr>
            </w:pPr>
            <w:r w:rsidRPr="00C03FCA">
              <w:rPr>
                <w:rFonts w:ascii="Arial" w:eastAsia="Times New Roman" w:hAnsi="Arial" w:cs="Arial"/>
                <w:b/>
                <w:bCs/>
                <w:color w:val="FFFFFF"/>
              </w:rPr>
              <w:t>S</w:t>
            </w:r>
            <w:r w:rsidRPr="00C03FCA">
              <w:rPr>
                <w:rFonts w:ascii="Arial" w:eastAsia="Times New Roman" w:hAnsi="Arial" w:cs="Arial"/>
                <w:b/>
                <w:bCs/>
                <w:color w:val="FFFFFF"/>
                <w:spacing w:val="-16"/>
              </w:rPr>
              <w:t>T</w:t>
            </w:r>
            <w:r w:rsidRPr="00C03FCA">
              <w:rPr>
                <w:rFonts w:ascii="Arial" w:eastAsia="Times New Roman" w:hAnsi="Arial" w:cs="Arial"/>
                <w:b/>
                <w:bCs/>
                <w:color w:val="FFFFFF"/>
              </w:rPr>
              <w:t>AGE 2</w:t>
            </w:r>
          </w:p>
        </w:tc>
      </w:tr>
      <w:tr w:rsidR="00FF2CD0" w:rsidRPr="00C03FCA" w:rsidTr="00FF2CD0">
        <w:trPr>
          <w:trHeight w:hRule="exact" w:val="3277"/>
        </w:trPr>
        <w:tc>
          <w:tcPr>
            <w:tcW w:w="6666" w:type="dxa"/>
            <w:tcBorders>
              <w:top w:val="single" w:sz="4" w:space="0" w:color="231F20"/>
              <w:left w:val="single" w:sz="4" w:space="0" w:color="00AEEF"/>
              <w:bottom w:val="single" w:sz="4" w:space="0" w:color="00AEEF"/>
              <w:right w:val="single" w:sz="4" w:space="0" w:color="00AEEF"/>
            </w:tcBorders>
            <w:shd w:val="clear" w:color="auto" w:fill="E4F5FD"/>
          </w:tcPr>
          <w:p w:rsidR="00FF2CD0" w:rsidRPr="00C03FCA" w:rsidRDefault="00FF2CD0" w:rsidP="00274941">
            <w:pPr>
              <w:pStyle w:val="ListParagraph"/>
              <w:numPr>
                <w:ilvl w:val="0"/>
                <w:numId w:val="133"/>
              </w:numPr>
              <w:tabs>
                <w:tab w:val="left" w:pos="400"/>
              </w:tabs>
              <w:spacing w:line="252" w:lineRule="exact"/>
              <w:ind w:right="-20"/>
              <w:rPr>
                <w:rFonts w:ascii="Arial" w:hAnsi="Arial" w:cs="Arial"/>
                <w:sz w:val="22"/>
                <w:szCs w:val="22"/>
              </w:rPr>
            </w:pPr>
            <w:r w:rsidRPr="00C03FCA">
              <w:rPr>
                <w:rFonts w:ascii="Arial" w:hAnsi="Arial" w:cs="Arial"/>
                <w:color w:val="231F20"/>
                <w:sz w:val="22"/>
                <w:szCs w:val="22"/>
              </w:rPr>
              <w:t>Unexplained persistent hepatosplenomegaly</w:t>
            </w:r>
          </w:p>
          <w:p w:rsidR="00FF2CD0" w:rsidRPr="00C03FCA" w:rsidRDefault="00FF2CD0" w:rsidP="00274941">
            <w:pPr>
              <w:pStyle w:val="ListParagraph"/>
              <w:numPr>
                <w:ilvl w:val="0"/>
                <w:numId w:val="133"/>
              </w:numPr>
              <w:tabs>
                <w:tab w:val="left" w:pos="400"/>
              </w:tabs>
              <w:spacing w:before="3"/>
              <w:ind w:right="-20"/>
              <w:rPr>
                <w:rFonts w:ascii="Arial" w:hAnsi="Arial" w:cs="Arial"/>
                <w:sz w:val="22"/>
                <w:szCs w:val="22"/>
              </w:rPr>
            </w:pPr>
            <w:r w:rsidRPr="00C03FCA">
              <w:rPr>
                <w:rFonts w:ascii="Arial" w:hAnsi="Arial" w:cs="Arial"/>
                <w:color w:val="231F20"/>
                <w:sz w:val="22"/>
                <w:szCs w:val="22"/>
              </w:rPr>
              <w:t>Papular pruritic eruptions</w:t>
            </w:r>
          </w:p>
          <w:p w:rsidR="00FF2CD0" w:rsidRPr="00C03FCA" w:rsidRDefault="00FF2CD0" w:rsidP="00274941">
            <w:pPr>
              <w:pStyle w:val="ListParagraph"/>
              <w:numPr>
                <w:ilvl w:val="0"/>
                <w:numId w:val="133"/>
              </w:numPr>
              <w:tabs>
                <w:tab w:val="left" w:pos="400"/>
              </w:tabs>
              <w:spacing w:before="3"/>
              <w:ind w:right="-20"/>
              <w:rPr>
                <w:rFonts w:ascii="Arial" w:hAnsi="Arial" w:cs="Arial"/>
                <w:sz w:val="22"/>
                <w:szCs w:val="22"/>
              </w:rPr>
            </w:pPr>
            <w:r w:rsidRPr="00C03FCA">
              <w:rPr>
                <w:rFonts w:ascii="Arial" w:hAnsi="Arial" w:cs="Arial"/>
                <w:color w:val="231F20"/>
                <w:sz w:val="22"/>
                <w:szCs w:val="22"/>
              </w:rPr>
              <w:t>Lineal gingival erythema</w:t>
            </w:r>
          </w:p>
          <w:p w:rsidR="00FF2CD0" w:rsidRPr="00C03FCA" w:rsidRDefault="00FF2CD0" w:rsidP="00274941">
            <w:pPr>
              <w:pStyle w:val="ListParagraph"/>
              <w:numPr>
                <w:ilvl w:val="0"/>
                <w:numId w:val="133"/>
              </w:numPr>
              <w:tabs>
                <w:tab w:val="left" w:pos="400"/>
              </w:tabs>
              <w:spacing w:before="3"/>
              <w:ind w:right="-20"/>
              <w:rPr>
                <w:rFonts w:ascii="Arial" w:hAnsi="Arial" w:cs="Arial"/>
                <w:sz w:val="22"/>
                <w:szCs w:val="22"/>
              </w:rPr>
            </w:pPr>
            <w:r w:rsidRPr="00C03FCA">
              <w:rPr>
                <w:rFonts w:ascii="Arial" w:hAnsi="Arial" w:cs="Arial"/>
                <w:color w:val="231F20"/>
                <w:sz w:val="22"/>
                <w:szCs w:val="22"/>
              </w:rPr>
              <w:t>Extensive wart virus infection</w:t>
            </w:r>
          </w:p>
          <w:p w:rsidR="00FF2CD0" w:rsidRPr="00C03FCA" w:rsidRDefault="00FF2CD0" w:rsidP="00274941">
            <w:pPr>
              <w:pStyle w:val="ListParagraph"/>
              <w:numPr>
                <w:ilvl w:val="0"/>
                <w:numId w:val="133"/>
              </w:numPr>
              <w:tabs>
                <w:tab w:val="left" w:pos="400"/>
              </w:tabs>
              <w:spacing w:before="3"/>
              <w:ind w:right="-20"/>
              <w:rPr>
                <w:rFonts w:ascii="Arial" w:hAnsi="Arial" w:cs="Arial"/>
                <w:sz w:val="22"/>
                <w:szCs w:val="22"/>
              </w:rPr>
            </w:pPr>
            <w:r w:rsidRPr="00C03FCA">
              <w:rPr>
                <w:rFonts w:ascii="Arial" w:hAnsi="Arial" w:cs="Arial"/>
                <w:color w:val="231F20"/>
                <w:sz w:val="22"/>
                <w:szCs w:val="22"/>
              </w:rPr>
              <w:t>Extensive molluscum contagiosum</w:t>
            </w:r>
          </w:p>
          <w:p w:rsidR="00FF2CD0" w:rsidRPr="00C03FCA" w:rsidRDefault="00FF2CD0" w:rsidP="00274941">
            <w:pPr>
              <w:pStyle w:val="ListParagraph"/>
              <w:numPr>
                <w:ilvl w:val="0"/>
                <w:numId w:val="133"/>
              </w:numPr>
              <w:tabs>
                <w:tab w:val="left" w:pos="400"/>
              </w:tabs>
              <w:spacing w:before="3"/>
              <w:ind w:right="-20"/>
              <w:rPr>
                <w:rFonts w:ascii="Arial" w:hAnsi="Arial" w:cs="Arial"/>
                <w:sz w:val="22"/>
                <w:szCs w:val="22"/>
              </w:rPr>
            </w:pPr>
            <w:r w:rsidRPr="00C03FCA">
              <w:rPr>
                <w:rFonts w:ascii="Arial" w:hAnsi="Arial" w:cs="Arial"/>
                <w:color w:val="231F20"/>
                <w:sz w:val="22"/>
                <w:szCs w:val="22"/>
              </w:rPr>
              <w:t>Recurrent oral ulcerations</w:t>
            </w:r>
          </w:p>
          <w:p w:rsidR="00FF2CD0" w:rsidRPr="00C03FCA" w:rsidRDefault="00FF2CD0" w:rsidP="00274941">
            <w:pPr>
              <w:pStyle w:val="ListParagraph"/>
              <w:numPr>
                <w:ilvl w:val="0"/>
                <w:numId w:val="133"/>
              </w:numPr>
              <w:tabs>
                <w:tab w:val="left" w:pos="400"/>
              </w:tabs>
              <w:spacing w:before="3"/>
              <w:ind w:right="-20"/>
              <w:rPr>
                <w:rFonts w:ascii="Arial" w:hAnsi="Arial" w:cs="Arial"/>
                <w:sz w:val="22"/>
                <w:szCs w:val="22"/>
              </w:rPr>
            </w:pPr>
            <w:r w:rsidRPr="00C03FCA">
              <w:rPr>
                <w:rFonts w:ascii="Arial" w:hAnsi="Arial" w:cs="Arial"/>
                <w:color w:val="231F20"/>
                <w:sz w:val="22"/>
                <w:szCs w:val="22"/>
              </w:rPr>
              <w:t>Unexplained persistent parotid enla</w:t>
            </w:r>
            <w:r w:rsidRPr="00C03FCA">
              <w:rPr>
                <w:rFonts w:ascii="Arial" w:hAnsi="Arial" w:cs="Arial"/>
                <w:color w:val="231F20"/>
                <w:spacing w:val="-4"/>
                <w:sz w:val="22"/>
                <w:szCs w:val="22"/>
              </w:rPr>
              <w:t>r</w:t>
            </w:r>
            <w:r w:rsidRPr="00C03FCA">
              <w:rPr>
                <w:rFonts w:ascii="Arial" w:hAnsi="Arial" w:cs="Arial"/>
                <w:color w:val="231F20"/>
                <w:sz w:val="22"/>
                <w:szCs w:val="22"/>
              </w:rPr>
              <w:t>gement</w:t>
            </w:r>
          </w:p>
          <w:p w:rsidR="00FF2CD0" w:rsidRPr="00C03FCA" w:rsidRDefault="00FF2CD0" w:rsidP="00274941">
            <w:pPr>
              <w:pStyle w:val="ListParagraph"/>
              <w:numPr>
                <w:ilvl w:val="0"/>
                <w:numId w:val="133"/>
              </w:numPr>
              <w:tabs>
                <w:tab w:val="left" w:pos="400"/>
              </w:tabs>
              <w:spacing w:before="3"/>
              <w:ind w:right="-20"/>
              <w:rPr>
                <w:rFonts w:ascii="Arial" w:hAnsi="Arial" w:cs="Arial"/>
                <w:sz w:val="22"/>
                <w:szCs w:val="22"/>
              </w:rPr>
            </w:pPr>
            <w:r w:rsidRPr="00C03FCA">
              <w:rPr>
                <w:rFonts w:ascii="Arial" w:hAnsi="Arial" w:cs="Arial"/>
                <w:color w:val="231F20"/>
                <w:sz w:val="22"/>
                <w:szCs w:val="22"/>
              </w:rPr>
              <w:t>Herpes zoster</w:t>
            </w:r>
          </w:p>
          <w:p w:rsidR="00FF2CD0" w:rsidRPr="00C03FCA" w:rsidRDefault="00FF2CD0" w:rsidP="00274941">
            <w:pPr>
              <w:pStyle w:val="ListParagraph"/>
              <w:numPr>
                <w:ilvl w:val="0"/>
                <w:numId w:val="133"/>
              </w:numPr>
              <w:tabs>
                <w:tab w:val="left" w:pos="400"/>
              </w:tabs>
              <w:spacing w:before="3" w:line="242" w:lineRule="auto"/>
              <w:ind w:right="-20"/>
              <w:rPr>
                <w:rFonts w:ascii="Arial" w:hAnsi="Arial" w:cs="Arial"/>
                <w:sz w:val="22"/>
                <w:szCs w:val="22"/>
              </w:rPr>
            </w:pPr>
            <w:r w:rsidRPr="00C03FCA">
              <w:rPr>
                <w:rFonts w:ascii="Arial" w:hAnsi="Arial" w:cs="Arial"/>
                <w:color w:val="231F20"/>
                <w:sz w:val="22"/>
                <w:szCs w:val="22"/>
              </w:rPr>
              <w:t>Recurrent or chronic upper respiratory tract infections (otitis media, otorrhoea, sinusitis or tonsillitis)</w:t>
            </w:r>
          </w:p>
          <w:p w:rsidR="00FF2CD0" w:rsidRPr="00C03FCA" w:rsidRDefault="00FF2CD0" w:rsidP="00274941">
            <w:pPr>
              <w:pStyle w:val="ListParagraph"/>
              <w:numPr>
                <w:ilvl w:val="0"/>
                <w:numId w:val="135"/>
              </w:numPr>
              <w:tabs>
                <w:tab w:val="left" w:pos="400"/>
              </w:tabs>
              <w:spacing w:before="3"/>
              <w:ind w:right="-20"/>
              <w:rPr>
                <w:rFonts w:ascii="Arial" w:hAnsi="Arial" w:cs="Arial"/>
                <w:sz w:val="22"/>
                <w:szCs w:val="22"/>
              </w:rPr>
            </w:pPr>
            <w:r w:rsidRPr="00C03FCA">
              <w:rPr>
                <w:rFonts w:ascii="Arial" w:hAnsi="Arial" w:cs="Arial"/>
                <w:color w:val="231F20"/>
                <w:sz w:val="22"/>
                <w:szCs w:val="22"/>
              </w:rPr>
              <w:t>Fungal nail infection</w:t>
            </w:r>
          </w:p>
        </w:tc>
      </w:tr>
      <w:tr w:rsidR="00FF2CD0" w:rsidRPr="00C03FCA" w:rsidTr="00FF2CD0">
        <w:trPr>
          <w:trHeight w:hRule="exact" w:val="262"/>
        </w:trPr>
        <w:tc>
          <w:tcPr>
            <w:tcW w:w="6666" w:type="dxa"/>
            <w:tcBorders>
              <w:top w:val="single" w:sz="4" w:space="0" w:color="00AEEF"/>
              <w:left w:val="single" w:sz="4" w:space="0" w:color="00AEEF"/>
              <w:bottom w:val="single" w:sz="4" w:space="0" w:color="00AEEF"/>
              <w:right w:val="single" w:sz="4" w:space="0" w:color="00AEEF"/>
            </w:tcBorders>
            <w:shd w:val="clear" w:color="auto" w:fill="00AEEF"/>
          </w:tcPr>
          <w:p w:rsidR="00FF2CD0" w:rsidRPr="00C03FCA" w:rsidRDefault="00FF2CD0" w:rsidP="00FF2CD0">
            <w:pPr>
              <w:spacing w:after="0" w:line="248" w:lineRule="exact"/>
              <w:ind w:left="52" w:right="-20"/>
              <w:rPr>
                <w:rFonts w:ascii="Arial" w:eastAsia="Times New Roman" w:hAnsi="Arial" w:cs="Arial"/>
              </w:rPr>
            </w:pPr>
            <w:r w:rsidRPr="00C03FCA">
              <w:rPr>
                <w:rFonts w:ascii="Arial" w:eastAsia="Times New Roman" w:hAnsi="Arial" w:cs="Arial"/>
                <w:b/>
                <w:bCs/>
                <w:color w:val="FFFFFF"/>
              </w:rPr>
              <w:t>S</w:t>
            </w:r>
            <w:r w:rsidRPr="00C03FCA">
              <w:rPr>
                <w:rFonts w:ascii="Arial" w:eastAsia="Times New Roman" w:hAnsi="Arial" w:cs="Arial"/>
                <w:b/>
                <w:bCs/>
                <w:color w:val="FFFFFF"/>
                <w:spacing w:val="-16"/>
              </w:rPr>
              <w:t>T</w:t>
            </w:r>
            <w:r w:rsidRPr="00C03FCA">
              <w:rPr>
                <w:rFonts w:ascii="Arial" w:eastAsia="Times New Roman" w:hAnsi="Arial" w:cs="Arial"/>
                <w:b/>
                <w:bCs/>
                <w:color w:val="FFFFFF"/>
              </w:rPr>
              <w:t>AGE 3</w:t>
            </w:r>
          </w:p>
        </w:tc>
      </w:tr>
      <w:tr w:rsidR="00FF2CD0" w:rsidRPr="00C03FCA" w:rsidTr="00FF2CD0">
        <w:trPr>
          <w:trHeight w:hRule="exact" w:val="4483"/>
        </w:trPr>
        <w:tc>
          <w:tcPr>
            <w:tcW w:w="6666" w:type="dxa"/>
            <w:tcBorders>
              <w:top w:val="single" w:sz="4" w:space="0" w:color="00AEEF"/>
              <w:left w:val="single" w:sz="4" w:space="0" w:color="00AEEF"/>
              <w:bottom w:val="single" w:sz="4" w:space="0" w:color="00AEEF"/>
              <w:right w:val="single" w:sz="4" w:space="0" w:color="00AEEF"/>
            </w:tcBorders>
            <w:shd w:val="clear" w:color="auto" w:fill="E4F5FD"/>
          </w:tcPr>
          <w:p w:rsidR="00FF2CD0" w:rsidRPr="00C03FCA" w:rsidRDefault="00FF2CD0" w:rsidP="00274941">
            <w:pPr>
              <w:pStyle w:val="ListParagraph"/>
              <w:numPr>
                <w:ilvl w:val="0"/>
                <w:numId w:val="137"/>
              </w:numPr>
              <w:tabs>
                <w:tab w:val="left" w:pos="400"/>
              </w:tabs>
              <w:spacing w:before="3"/>
              <w:ind w:right="-20"/>
              <w:rPr>
                <w:rFonts w:ascii="Arial" w:hAnsi="Arial" w:cs="Arial"/>
                <w:color w:val="231F20"/>
                <w:sz w:val="22"/>
                <w:szCs w:val="22"/>
              </w:rPr>
            </w:pPr>
            <w:r w:rsidRPr="00C03FCA">
              <w:rPr>
                <w:rFonts w:ascii="Arial" w:hAnsi="Arial" w:cs="Arial"/>
                <w:color w:val="231F20"/>
                <w:sz w:val="22"/>
                <w:szCs w:val="22"/>
              </w:rPr>
              <w:t>Unexplained moderate malnutrition or wasting not adequately responding to standard therapy</w:t>
            </w:r>
          </w:p>
          <w:p w:rsidR="00FF2CD0" w:rsidRPr="00C03FCA" w:rsidRDefault="00FF2CD0" w:rsidP="00274941">
            <w:pPr>
              <w:pStyle w:val="ListParagraph"/>
              <w:numPr>
                <w:ilvl w:val="0"/>
                <w:numId w:val="137"/>
              </w:numPr>
              <w:tabs>
                <w:tab w:val="left" w:pos="400"/>
              </w:tabs>
              <w:spacing w:before="3"/>
              <w:ind w:right="-20"/>
              <w:rPr>
                <w:rFonts w:ascii="Arial" w:hAnsi="Arial" w:cs="Arial"/>
                <w:color w:val="231F20"/>
                <w:sz w:val="22"/>
                <w:szCs w:val="22"/>
              </w:rPr>
            </w:pPr>
            <w:r w:rsidRPr="00C03FCA">
              <w:rPr>
                <w:rFonts w:ascii="Arial" w:hAnsi="Arial" w:cs="Arial"/>
                <w:color w:val="231F20"/>
                <w:sz w:val="22"/>
                <w:szCs w:val="22"/>
              </w:rPr>
              <w:t>Unexplained persistent diarrhoea (14 days or more)</w:t>
            </w:r>
          </w:p>
          <w:p w:rsidR="00FF2CD0" w:rsidRPr="00C03FCA" w:rsidRDefault="00FF2CD0" w:rsidP="00274941">
            <w:pPr>
              <w:pStyle w:val="ListParagraph"/>
              <w:numPr>
                <w:ilvl w:val="0"/>
                <w:numId w:val="137"/>
              </w:numPr>
              <w:tabs>
                <w:tab w:val="left" w:pos="400"/>
              </w:tabs>
              <w:spacing w:before="3"/>
              <w:ind w:right="-20"/>
              <w:rPr>
                <w:rFonts w:ascii="Arial" w:hAnsi="Arial" w:cs="Arial"/>
                <w:color w:val="231F20"/>
                <w:sz w:val="22"/>
                <w:szCs w:val="22"/>
              </w:rPr>
            </w:pPr>
            <w:r w:rsidRPr="00C03FCA">
              <w:rPr>
                <w:rFonts w:ascii="Arial" w:hAnsi="Arial" w:cs="Arial"/>
                <w:color w:val="231F20"/>
                <w:sz w:val="22"/>
                <w:szCs w:val="22"/>
              </w:rPr>
              <w:t>Unexplained persistent fever (above 37.5°C intermittent or constant, for longer than one month)</w:t>
            </w:r>
          </w:p>
          <w:p w:rsidR="00FF2CD0" w:rsidRPr="00C03FCA" w:rsidRDefault="00FF2CD0" w:rsidP="00274941">
            <w:pPr>
              <w:pStyle w:val="ListParagraph"/>
              <w:numPr>
                <w:ilvl w:val="0"/>
                <w:numId w:val="137"/>
              </w:numPr>
              <w:tabs>
                <w:tab w:val="left" w:pos="400"/>
              </w:tabs>
              <w:spacing w:before="3"/>
              <w:ind w:right="-20"/>
              <w:rPr>
                <w:rFonts w:ascii="Arial" w:hAnsi="Arial" w:cs="Arial"/>
                <w:color w:val="231F20"/>
                <w:sz w:val="22"/>
                <w:szCs w:val="22"/>
              </w:rPr>
            </w:pPr>
            <w:r w:rsidRPr="00C03FCA">
              <w:rPr>
                <w:rFonts w:ascii="Arial" w:hAnsi="Arial" w:cs="Arial"/>
                <w:color w:val="231F20"/>
                <w:sz w:val="22"/>
                <w:szCs w:val="22"/>
              </w:rPr>
              <w:t>Persistent oral candidiasis (after first6 weeks of life) Oral hairy leukoplakia</w:t>
            </w:r>
          </w:p>
          <w:p w:rsidR="00FF2CD0" w:rsidRPr="00C03FCA" w:rsidRDefault="00FF2CD0" w:rsidP="00274941">
            <w:pPr>
              <w:pStyle w:val="ListParagraph"/>
              <w:numPr>
                <w:ilvl w:val="0"/>
                <w:numId w:val="137"/>
              </w:numPr>
              <w:tabs>
                <w:tab w:val="left" w:pos="400"/>
              </w:tabs>
              <w:spacing w:before="3"/>
              <w:ind w:right="-20"/>
              <w:rPr>
                <w:rFonts w:ascii="Arial" w:hAnsi="Arial" w:cs="Arial"/>
                <w:color w:val="231F20"/>
                <w:sz w:val="22"/>
                <w:szCs w:val="22"/>
              </w:rPr>
            </w:pPr>
            <w:r w:rsidRPr="00C03FCA">
              <w:rPr>
                <w:rFonts w:ascii="Arial" w:hAnsi="Arial" w:cs="Arial"/>
                <w:color w:val="231F20"/>
                <w:sz w:val="22"/>
                <w:szCs w:val="22"/>
              </w:rPr>
              <w:t>Acute necrotizing ulcerative gingivitis or periodontitis</w:t>
            </w:r>
          </w:p>
          <w:p w:rsidR="00FF2CD0" w:rsidRPr="00C03FCA" w:rsidRDefault="00FF2CD0" w:rsidP="00274941">
            <w:pPr>
              <w:pStyle w:val="ListParagraph"/>
              <w:numPr>
                <w:ilvl w:val="0"/>
                <w:numId w:val="137"/>
              </w:numPr>
              <w:tabs>
                <w:tab w:val="left" w:pos="400"/>
              </w:tabs>
              <w:spacing w:before="3"/>
              <w:ind w:right="-20"/>
              <w:rPr>
                <w:rFonts w:ascii="Arial" w:hAnsi="Arial" w:cs="Arial"/>
                <w:color w:val="231F20"/>
                <w:sz w:val="22"/>
                <w:szCs w:val="22"/>
              </w:rPr>
            </w:pPr>
            <w:r w:rsidRPr="00C03FCA">
              <w:rPr>
                <w:rFonts w:ascii="Arial" w:hAnsi="Arial" w:cs="Arial"/>
                <w:color w:val="231F20"/>
                <w:sz w:val="22"/>
                <w:szCs w:val="22"/>
              </w:rPr>
              <w:t>Lymph node tuberculosis</w:t>
            </w:r>
          </w:p>
          <w:p w:rsidR="00FF2CD0" w:rsidRPr="00C03FCA" w:rsidRDefault="00FF2CD0" w:rsidP="00274941">
            <w:pPr>
              <w:pStyle w:val="ListParagraph"/>
              <w:numPr>
                <w:ilvl w:val="0"/>
                <w:numId w:val="137"/>
              </w:numPr>
              <w:tabs>
                <w:tab w:val="left" w:pos="400"/>
              </w:tabs>
              <w:spacing w:before="3"/>
              <w:ind w:right="-20"/>
              <w:rPr>
                <w:rFonts w:ascii="Arial" w:hAnsi="Arial" w:cs="Arial"/>
                <w:color w:val="231F20"/>
                <w:sz w:val="22"/>
                <w:szCs w:val="22"/>
              </w:rPr>
            </w:pPr>
            <w:r w:rsidRPr="00C03FCA">
              <w:rPr>
                <w:rFonts w:ascii="Arial" w:hAnsi="Arial" w:cs="Arial"/>
                <w:color w:val="231F20"/>
                <w:sz w:val="22"/>
                <w:szCs w:val="22"/>
              </w:rPr>
              <w:t>Pulmonary tuberculosis</w:t>
            </w:r>
          </w:p>
          <w:p w:rsidR="00FF2CD0" w:rsidRPr="00C03FCA" w:rsidRDefault="00FF2CD0" w:rsidP="00274941">
            <w:pPr>
              <w:pStyle w:val="ListParagraph"/>
              <w:numPr>
                <w:ilvl w:val="0"/>
                <w:numId w:val="137"/>
              </w:numPr>
              <w:tabs>
                <w:tab w:val="left" w:pos="400"/>
              </w:tabs>
              <w:spacing w:before="3"/>
              <w:ind w:right="-20"/>
              <w:rPr>
                <w:rFonts w:ascii="Arial" w:hAnsi="Arial" w:cs="Arial"/>
                <w:color w:val="231F20"/>
                <w:sz w:val="22"/>
                <w:szCs w:val="22"/>
              </w:rPr>
            </w:pPr>
            <w:r w:rsidRPr="00C03FCA">
              <w:rPr>
                <w:rFonts w:ascii="Arial" w:hAnsi="Arial" w:cs="Arial"/>
                <w:color w:val="231F20"/>
                <w:sz w:val="22"/>
                <w:szCs w:val="22"/>
              </w:rPr>
              <w:t>Severe recurrent bacterial pneumonia</w:t>
            </w:r>
          </w:p>
          <w:p w:rsidR="00FF2CD0" w:rsidRPr="00C03FCA" w:rsidRDefault="00FF2CD0" w:rsidP="00274941">
            <w:pPr>
              <w:pStyle w:val="ListParagraph"/>
              <w:numPr>
                <w:ilvl w:val="0"/>
                <w:numId w:val="137"/>
              </w:numPr>
              <w:tabs>
                <w:tab w:val="left" w:pos="400"/>
              </w:tabs>
              <w:spacing w:before="3"/>
              <w:ind w:right="-20"/>
              <w:rPr>
                <w:rFonts w:ascii="Arial" w:hAnsi="Arial" w:cs="Arial"/>
                <w:color w:val="231F20"/>
                <w:sz w:val="22"/>
                <w:szCs w:val="22"/>
              </w:rPr>
            </w:pPr>
            <w:r w:rsidRPr="00C03FCA">
              <w:rPr>
                <w:rFonts w:ascii="Arial" w:hAnsi="Arial" w:cs="Arial"/>
                <w:color w:val="231F20"/>
                <w:sz w:val="22"/>
                <w:szCs w:val="22"/>
              </w:rPr>
              <w:t>Symptomatic lymphoid interstitial pneumonitis</w:t>
            </w:r>
          </w:p>
          <w:p w:rsidR="00FF2CD0" w:rsidRPr="00C03FCA" w:rsidRDefault="00FF2CD0" w:rsidP="00274941">
            <w:pPr>
              <w:pStyle w:val="ListParagraph"/>
              <w:numPr>
                <w:ilvl w:val="0"/>
                <w:numId w:val="137"/>
              </w:numPr>
              <w:tabs>
                <w:tab w:val="left" w:pos="400"/>
              </w:tabs>
              <w:spacing w:before="3"/>
              <w:ind w:right="-20"/>
              <w:rPr>
                <w:rFonts w:ascii="Arial" w:hAnsi="Arial" w:cs="Arial"/>
                <w:sz w:val="22"/>
                <w:szCs w:val="22"/>
              </w:rPr>
            </w:pPr>
            <w:r w:rsidRPr="00C03FCA">
              <w:rPr>
                <w:rFonts w:ascii="Arial" w:hAnsi="Arial" w:cs="Arial"/>
                <w:color w:val="231F20"/>
                <w:sz w:val="22"/>
                <w:szCs w:val="22"/>
              </w:rPr>
              <w:t>Chronic HIV-associated lung disease including brochiectasis Unexplained anaemia (&lt;8 g/dl), neutropaenia (&lt;0.5 × 109 per litre) and or chronic thrombocytopaenia (&lt;50 × 109 per litre)</w:t>
            </w:r>
          </w:p>
        </w:tc>
      </w:tr>
      <w:tr w:rsidR="00FF2CD0" w:rsidRPr="00C03FCA" w:rsidTr="00FF2CD0">
        <w:trPr>
          <w:trHeight w:hRule="exact" w:val="550"/>
        </w:trPr>
        <w:tc>
          <w:tcPr>
            <w:tcW w:w="6666" w:type="dxa"/>
            <w:tcBorders>
              <w:top w:val="single" w:sz="4" w:space="0" w:color="00AEEF"/>
              <w:left w:val="single" w:sz="4" w:space="0" w:color="00AEEF"/>
              <w:bottom w:val="single" w:sz="4" w:space="0" w:color="00AEEF"/>
              <w:right w:val="single" w:sz="4" w:space="0" w:color="00AEEF"/>
            </w:tcBorders>
            <w:shd w:val="clear" w:color="auto" w:fill="00B0F0"/>
          </w:tcPr>
          <w:p w:rsidR="00FF2CD0" w:rsidRPr="00C03FCA" w:rsidRDefault="00FF2CD0" w:rsidP="00FF2CD0">
            <w:pPr>
              <w:spacing w:after="0" w:line="248" w:lineRule="exact"/>
              <w:ind w:left="52" w:right="-20"/>
              <w:rPr>
                <w:rFonts w:ascii="Arial" w:eastAsia="Times New Roman" w:hAnsi="Arial" w:cs="Arial"/>
                <w:color w:val="231F20"/>
              </w:rPr>
            </w:pPr>
            <w:r w:rsidRPr="00C03FCA">
              <w:rPr>
                <w:rFonts w:ascii="Arial" w:eastAsia="Times New Roman" w:hAnsi="Arial" w:cs="Arial"/>
                <w:b/>
                <w:bCs/>
                <w:color w:val="FFFFFF"/>
              </w:rPr>
              <w:t>S</w:t>
            </w:r>
            <w:r w:rsidRPr="00C03FCA">
              <w:rPr>
                <w:rFonts w:ascii="Arial" w:eastAsia="Times New Roman" w:hAnsi="Arial" w:cs="Arial"/>
                <w:b/>
                <w:bCs/>
                <w:color w:val="FFFFFF"/>
                <w:spacing w:val="-16"/>
              </w:rPr>
              <w:t>T</w:t>
            </w:r>
            <w:r w:rsidRPr="00C03FCA">
              <w:rPr>
                <w:rFonts w:ascii="Arial" w:eastAsia="Times New Roman" w:hAnsi="Arial" w:cs="Arial"/>
                <w:b/>
                <w:bCs/>
                <w:color w:val="FFFFFF"/>
              </w:rPr>
              <w:t>AGE 4</w:t>
            </w:r>
          </w:p>
        </w:tc>
      </w:tr>
      <w:tr w:rsidR="00FF2CD0" w:rsidRPr="00C03FCA" w:rsidTr="00FF2CD0">
        <w:trPr>
          <w:trHeight w:hRule="exact" w:val="6130"/>
        </w:trPr>
        <w:tc>
          <w:tcPr>
            <w:tcW w:w="6666" w:type="dxa"/>
            <w:tcBorders>
              <w:top w:val="single" w:sz="4" w:space="0" w:color="00AEEF"/>
              <w:left w:val="single" w:sz="4" w:space="0" w:color="00AEEF"/>
              <w:bottom w:val="single" w:sz="4" w:space="0" w:color="00AEEF"/>
              <w:right w:val="single" w:sz="4" w:space="0" w:color="00AEEF"/>
            </w:tcBorders>
            <w:shd w:val="clear" w:color="auto" w:fill="E4F5FD"/>
          </w:tcPr>
          <w:p w:rsidR="00FF2CD0" w:rsidRPr="00C03FCA" w:rsidRDefault="00FF2CD0" w:rsidP="00274941">
            <w:pPr>
              <w:pStyle w:val="ListParagraph"/>
              <w:numPr>
                <w:ilvl w:val="0"/>
                <w:numId w:val="138"/>
              </w:numPr>
              <w:spacing w:line="248" w:lineRule="exact"/>
              <w:ind w:right="-20"/>
              <w:rPr>
                <w:rFonts w:ascii="Arial" w:hAnsi="Arial" w:cs="Arial"/>
                <w:color w:val="231F20"/>
                <w:sz w:val="22"/>
                <w:szCs w:val="22"/>
              </w:rPr>
            </w:pPr>
            <w:r w:rsidRPr="00C03FCA">
              <w:rPr>
                <w:rFonts w:ascii="Arial" w:hAnsi="Arial" w:cs="Arial"/>
                <w:color w:val="231F20"/>
                <w:sz w:val="22"/>
                <w:szCs w:val="22"/>
              </w:rPr>
              <w:t xml:space="preserve">Unexplained severe wasting, stunting or severe malnutrition not responding to standard therapy </w:t>
            </w:r>
          </w:p>
          <w:p w:rsidR="00FF2CD0" w:rsidRPr="00C03FCA" w:rsidRDefault="00FF2CD0" w:rsidP="00274941">
            <w:pPr>
              <w:pStyle w:val="ListParagraph"/>
              <w:numPr>
                <w:ilvl w:val="0"/>
                <w:numId w:val="138"/>
              </w:numPr>
              <w:spacing w:line="248" w:lineRule="exact"/>
              <w:ind w:right="-20"/>
              <w:rPr>
                <w:rFonts w:ascii="Arial" w:hAnsi="Arial" w:cs="Arial"/>
                <w:sz w:val="22"/>
                <w:szCs w:val="22"/>
              </w:rPr>
            </w:pPr>
            <w:r w:rsidRPr="00C03FCA">
              <w:rPr>
                <w:rFonts w:ascii="Arial" w:hAnsi="Arial" w:cs="Arial"/>
                <w:color w:val="231F20"/>
                <w:sz w:val="22"/>
                <w:szCs w:val="22"/>
              </w:rPr>
              <w:t>Pneumocystis pneumonia</w:t>
            </w:r>
          </w:p>
          <w:p w:rsidR="00FF2CD0" w:rsidRPr="00C03FCA" w:rsidRDefault="00FF2CD0" w:rsidP="00274941">
            <w:pPr>
              <w:pStyle w:val="ListParagraph"/>
              <w:numPr>
                <w:ilvl w:val="0"/>
                <w:numId w:val="138"/>
              </w:numPr>
              <w:spacing w:line="248" w:lineRule="exact"/>
              <w:ind w:right="-20"/>
              <w:rPr>
                <w:rFonts w:ascii="Arial" w:hAnsi="Arial" w:cs="Arial"/>
                <w:color w:val="231F20"/>
                <w:sz w:val="22"/>
                <w:szCs w:val="22"/>
              </w:rPr>
            </w:pPr>
            <w:r w:rsidRPr="00C03FCA">
              <w:rPr>
                <w:rFonts w:ascii="Arial" w:hAnsi="Arial" w:cs="Arial"/>
                <w:color w:val="231F20"/>
                <w:sz w:val="22"/>
                <w:szCs w:val="22"/>
              </w:rPr>
              <w:t xml:space="preserve">Recurrent severe bacterial infections (such asempyema, pyomyositis, bone or joint infection or meningitis but excluding pneumonia) </w:t>
            </w:r>
          </w:p>
          <w:p w:rsidR="00FF2CD0" w:rsidRPr="00C03FCA" w:rsidRDefault="00FF2CD0" w:rsidP="00274941">
            <w:pPr>
              <w:pStyle w:val="ListParagraph"/>
              <w:numPr>
                <w:ilvl w:val="0"/>
                <w:numId w:val="138"/>
              </w:numPr>
              <w:spacing w:line="248" w:lineRule="exact"/>
              <w:ind w:right="-20"/>
              <w:rPr>
                <w:rFonts w:ascii="Arial" w:hAnsi="Arial" w:cs="Arial"/>
                <w:color w:val="231F20"/>
                <w:sz w:val="22"/>
                <w:szCs w:val="22"/>
              </w:rPr>
            </w:pPr>
            <w:r w:rsidRPr="00C03FCA">
              <w:rPr>
                <w:rFonts w:ascii="Arial" w:hAnsi="Arial" w:cs="Arial"/>
                <w:color w:val="231F20"/>
                <w:sz w:val="22"/>
                <w:szCs w:val="22"/>
              </w:rPr>
              <w:t>Chronic herpes simplex infection (orolabial or cutaneous of more than one month’s duration or visceral at any site)</w:t>
            </w:r>
          </w:p>
          <w:p w:rsidR="00FF2CD0" w:rsidRPr="00C03FCA" w:rsidRDefault="00FF2CD0" w:rsidP="00274941">
            <w:pPr>
              <w:pStyle w:val="ListParagraph"/>
              <w:numPr>
                <w:ilvl w:val="0"/>
                <w:numId w:val="138"/>
              </w:numPr>
              <w:spacing w:line="248" w:lineRule="exact"/>
              <w:ind w:right="-20"/>
              <w:rPr>
                <w:rFonts w:ascii="Arial" w:hAnsi="Arial" w:cs="Arial"/>
                <w:color w:val="231F20"/>
                <w:sz w:val="22"/>
                <w:szCs w:val="22"/>
              </w:rPr>
            </w:pPr>
            <w:r w:rsidRPr="00C03FCA">
              <w:rPr>
                <w:rFonts w:ascii="Arial" w:hAnsi="Arial" w:cs="Arial"/>
                <w:color w:val="231F20"/>
                <w:sz w:val="22"/>
                <w:szCs w:val="22"/>
              </w:rPr>
              <w:t xml:space="preserve">Oesophagealcandidiasis(orcandidiasisoftrachea,bronchiorlungs) </w:t>
            </w:r>
          </w:p>
          <w:p w:rsidR="00FF2CD0" w:rsidRPr="00C03FCA" w:rsidRDefault="00FF2CD0" w:rsidP="00274941">
            <w:pPr>
              <w:pStyle w:val="ListParagraph"/>
              <w:numPr>
                <w:ilvl w:val="0"/>
                <w:numId w:val="138"/>
              </w:numPr>
              <w:spacing w:line="242" w:lineRule="auto"/>
              <w:ind w:right="1558"/>
              <w:rPr>
                <w:rFonts w:ascii="Arial" w:hAnsi="Arial" w:cs="Arial"/>
                <w:sz w:val="22"/>
                <w:szCs w:val="22"/>
              </w:rPr>
            </w:pPr>
            <w:r w:rsidRPr="00C03FCA">
              <w:rPr>
                <w:rFonts w:ascii="Arial" w:hAnsi="Arial" w:cs="Arial"/>
                <w:color w:val="231F20"/>
                <w:sz w:val="22"/>
                <w:szCs w:val="22"/>
              </w:rPr>
              <w:t>Extrapulmonary tuberculosis</w:t>
            </w:r>
          </w:p>
          <w:p w:rsidR="00FF2CD0" w:rsidRPr="00C03FCA" w:rsidRDefault="00FF2CD0" w:rsidP="00274941">
            <w:pPr>
              <w:pStyle w:val="ListParagraph"/>
              <w:numPr>
                <w:ilvl w:val="0"/>
                <w:numId w:val="138"/>
              </w:numPr>
              <w:ind w:right="-20"/>
              <w:rPr>
                <w:rFonts w:ascii="Arial" w:hAnsi="Arial" w:cs="Arial"/>
                <w:sz w:val="22"/>
                <w:szCs w:val="22"/>
              </w:rPr>
            </w:pPr>
            <w:r w:rsidRPr="00C03FCA">
              <w:rPr>
                <w:rFonts w:ascii="Arial" w:hAnsi="Arial" w:cs="Arial"/>
                <w:color w:val="231F20"/>
                <w:sz w:val="22"/>
                <w:szCs w:val="22"/>
              </w:rPr>
              <w:t>Kaposi sarcoma</w:t>
            </w:r>
          </w:p>
          <w:p w:rsidR="00FF2CD0" w:rsidRPr="00C03FCA" w:rsidRDefault="00FF2CD0" w:rsidP="00274941">
            <w:pPr>
              <w:pStyle w:val="ListParagraph"/>
              <w:numPr>
                <w:ilvl w:val="0"/>
                <w:numId w:val="138"/>
              </w:numPr>
              <w:spacing w:line="248" w:lineRule="exact"/>
              <w:ind w:right="-20"/>
              <w:rPr>
                <w:rFonts w:ascii="Arial" w:hAnsi="Arial" w:cs="Arial"/>
                <w:color w:val="231F20"/>
                <w:sz w:val="22"/>
                <w:szCs w:val="22"/>
              </w:rPr>
            </w:pPr>
            <w:r w:rsidRPr="00C03FCA">
              <w:rPr>
                <w:rFonts w:ascii="Arial" w:hAnsi="Arial" w:cs="Arial"/>
                <w:color w:val="231F20"/>
                <w:sz w:val="22"/>
                <w:szCs w:val="22"/>
              </w:rPr>
              <w:t>Cytomegalovirus infection: retinitis or cytomegalovirus infection affecting another organ, with onset at age older than one month</w:t>
            </w:r>
          </w:p>
          <w:p w:rsidR="00FF2CD0" w:rsidRPr="00C03FCA" w:rsidRDefault="00FF2CD0" w:rsidP="00274941">
            <w:pPr>
              <w:pStyle w:val="ListParagraph"/>
              <w:numPr>
                <w:ilvl w:val="0"/>
                <w:numId w:val="138"/>
              </w:numPr>
              <w:spacing w:line="248" w:lineRule="exact"/>
              <w:ind w:right="-20"/>
              <w:rPr>
                <w:rFonts w:ascii="Arial" w:hAnsi="Arial" w:cs="Arial"/>
                <w:color w:val="231F20"/>
                <w:sz w:val="22"/>
                <w:szCs w:val="22"/>
              </w:rPr>
            </w:pPr>
            <w:r w:rsidRPr="00C03FCA">
              <w:rPr>
                <w:rFonts w:ascii="Arial" w:hAnsi="Arial" w:cs="Arial"/>
                <w:color w:val="231F20"/>
                <w:sz w:val="22"/>
                <w:szCs w:val="22"/>
              </w:rPr>
              <w:t>Central nervous system toxoplasmosis (after one month of life) Extrapulmonary cryptococcosis (including meningitis)</w:t>
            </w:r>
          </w:p>
          <w:p w:rsidR="00FF2CD0" w:rsidRPr="00C03FCA" w:rsidRDefault="00FF2CD0" w:rsidP="00274941">
            <w:pPr>
              <w:pStyle w:val="ListParagraph"/>
              <w:numPr>
                <w:ilvl w:val="0"/>
                <w:numId w:val="138"/>
              </w:numPr>
              <w:spacing w:line="248" w:lineRule="exact"/>
              <w:ind w:right="-20"/>
              <w:rPr>
                <w:rFonts w:ascii="Arial" w:hAnsi="Arial" w:cs="Arial"/>
                <w:color w:val="231F20"/>
                <w:sz w:val="22"/>
                <w:szCs w:val="22"/>
              </w:rPr>
            </w:pPr>
            <w:r w:rsidRPr="00C03FCA">
              <w:rPr>
                <w:rFonts w:ascii="Arial" w:hAnsi="Arial" w:cs="Arial"/>
                <w:color w:val="231F20"/>
                <w:sz w:val="22"/>
                <w:szCs w:val="22"/>
              </w:rPr>
              <w:t>HIV encephalopathy</w:t>
            </w:r>
          </w:p>
          <w:p w:rsidR="00FF2CD0" w:rsidRPr="00C03FCA" w:rsidRDefault="00FF2CD0" w:rsidP="00274941">
            <w:pPr>
              <w:pStyle w:val="ListParagraph"/>
              <w:numPr>
                <w:ilvl w:val="0"/>
                <w:numId w:val="138"/>
              </w:numPr>
              <w:spacing w:line="248" w:lineRule="exact"/>
              <w:ind w:right="-20"/>
              <w:rPr>
                <w:rFonts w:ascii="Arial" w:hAnsi="Arial" w:cs="Arial"/>
                <w:color w:val="231F20"/>
                <w:sz w:val="22"/>
                <w:szCs w:val="22"/>
              </w:rPr>
            </w:pPr>
            <w:r w:rsidRPr="00C03FCA">
              <w:rPr>
                <w:rFonts w:ascii="Arial" w:hAnsi="Arial" w:cs="Arial"/>
                <w:color w:val="231F20"/>
                <w:sz w:val="22"/>
                <w:szCs w:val="22"/>
              </w:rPr>
              <w:t>Disseminated endemicmycosis (coccidioidomycosis, penicilliosisor extra pulmonary histoplasmosis)</w:t>
            </w:r>
          </w:p>
          <w:p w:rsidR="00FF2CD0" w:rsidRPr="00C03FCA" w:rsidRDefault="00FF2CD0" w:rsidP="00274941">
            <w:pPr>
              <w:pStyle w:val="ListParagraph"/>
              <w:numPr>
                <w:ilvl w:val="0"/>
                <w:numId w:val="138"/>
              </w:numPr>
              <w:spacing w:line="248" w:lineRule="exact"/>
              <w:ind w:right="-20"/>
              <w:rPr>
                <w:rFonts w:ascii="Arial" w:hAnsi="Arial" w:cs="Arial"/>
                <w:color w:val="231F20"/>
                <w:sz w:val="22"/>
                <w:szCs w:val="22"/>
              </w:rPr>
            </w:pPr>
            <w:r w:rsidRPr="00C03FCA">
              <w:rPr>
                <w:rFonts w:ascii="Arial" w:hAnsi="Arial" w:cs="Arial"/>
                <w:color w:val="231F20"/>
                <w:sz w:val="22"/>
                <w:szCs w:val="22"/>
              </w:rPr>
              <w:t>Disseminated non-tuberculous mycobacterial infection</w:t>
            </w:r>
          </w:p>
          <w:p w:rsidR="00FF2CD0" w:rsidRPr="00C03FCA" w:rsidRDefault="00FF2CD0" w:rsidP="00274941">
            <w:pPr>
              <w:pStyle w:val="ListParagraph"/>
              <w:numPr>
                <w:ilvl w:val="0"/>
                <w:numId w:val="138"/>
              </w:numPr>
              <w:spacing w:line="248" w:lineRule="exact"/>
              <w:ind w:right="-20"/>
              <w:rPr>
                <w:rFonts w:ascii="Arial" w:hAnsi="Arial" w:cs="Arial"/>
                <w:color w:val="231F20"/>
                <w:sz w:val="22"/>
                <w:szCs w:val="22"/>
              </w:rPr>
            </w:pPr>
            <w:r w:rsidRPr="00C03FCA">
              <w:rPr>
                <w:rFonts w:ascii="Arial" w:hAnsi="Arial" w:cs="Arial"/>
                <w:color w:val="231F20"/>
                <w:sz w:val="22"/>
                <w:szCs w:val="22"/>
              </w:rPr>
              <w:t xml:space="preserve">Chronic cryptosporidiosis (with diarrhoe) </w:t>
            </w:r>
          </w:p>
          <w:p w:rsidR="00FF2CD0" w:rsidRPr="00C03FCA" w:rsidRDefault="00FF2CD0" w:rsidP="00274941">
            <w:pPr>
              <w:pStyle w:val="ListParagraph"/>
              <w:numPr>
                <w:ilvl w:val="0"/>
                <w:numId w:val="138"/>
              </w:numPr>
              <w:spacing w:line="248" w:lineRule="exact"/>
              <w:ind w:right="-20"/>
              <w:rPr>
                <w:rFonts w:ascii="Arial" w:hAnsi="Arial" w:cs="Arial"/>
                <w:color w:val="231F20"/>
                <w:sz w:val="22"/>
                <w:szCs w:val="22"/>
              </w:rPr>
            </w:pPr>
            <w:r w:rsidRPr="00C03FCA">
              <w:rPr>
                <w:rFonts w:ascii="Arial" w:hAnsi="Arial" w:cs="Arial"/>
                <w:color w:val="231F20"/>
                <w:sz w:val="22"/>
                <w:szCs w:val="22"/>
              </w:rPr>
              <w:t>Chronic isosporiasis</w:t>
            </w:r>
          </w:p>
          <w:p w:rsidR="00FF2CD0" w:rsidRPr="00C03FCA" w:rsidRDefault="00FF2CD0" w:rsidP="00274941">
            <w:pPr>
              <w:pStyle w:val="ListParagraph"/>
              <w:numPr>
                <w:ilvl w:val="0"/>
                <w:numId w:val="138"/>
              </w:numPr>
              <w:spacing w:line="248" w:lineRule="exact"/>
              <w:ind w:right="-20"/>
              <w:rPr>
                <w:rFonts w:ascii="Arial" w:hAnsi="Arial" w:cs="Arial"/>
                <w:color w:val="231F20"/>
                <w:sz w:val="22"/>
                <w:szCs w:val="22"/>
              </w:rPr>
            </w:pPr>
            <w:r w:rsidRPr="00C03FCA">
              <w:rPr>
                <w:rFonts w:ascii="Arial" w:hAnsi="Arial" w:cs="Arial"/>
                <w:color w:val="231F20"/>
                <w:sz w:val="22"/>
                <w:szCs w:val="22"/>
              </w:rPr>
              <w:t xml:space="preserve">Cerebral or B-cell non-Hodgkin lymphoma </w:t>
            </w:r>
          </w:p>
          <w:p w:rsidR="00FF2CD0" w:rsidRPr="00C03FCA" w:rsidRDefault="00FF2CD0" w:rsidP="00274941">
            <w:pPr>
              <w:pStyle w:val="ListParagraph"/>
              <w:numPr>
                <w:ilvl w:val="0"/>
                <w:numId w:val="138"/>
              </w:numPr>
              <w:spacing w:line="248" w:lineRule="exact"/>
              <w:ind w:right="-20"/>
              <w:rPr>
                <w:rFonts w:ascii="Arial" w:hAnsi="Arial" w:cs="Arial"/>
                <w:color w:val="231F20"/>
                <w:sz w:val="22"/>
                <w:szCs w:val="22"/>
              </w:rPr>
            </w:pPr>
            <w:r w:rsidRPr="00C03FCA">
              <w:rPr>
                <w:rFonts w:ascii="Arial" w:hAnsi="Arial" w:cs="Arial"/>
                <w:color w:val="231F20"/>
                <w:sz w:val="22"/>
                <w:szCs w:val="22"/>
              </w:rPr>
              <w:t xml:space="preserve">Progressive multifocal leukoencephalopathy </w:t>
            </w:r>
          </w:p>
          <w:p w:rsidR="00FF2CD0" w:rsidRPr="00C03FCA" w:rsidRDefault="00FF2CD0" w:rsidP="00274941">
            <w:pPr>
              <w:pStyle w:val="ListParagraph"/>
              <w:numPr>
                <w:ilvl w:val="0"/>
                <w:numId w:val="138"/>
              </w:numPr>
              <w:spacing w:line="248" w:lineRule="exact"/>
              <w:ind w:right="-20"/>
              <w:rPr>
                <w:rFonts w:ascii="Arial" w:hAnsi="Arial" w:cs="Arial"/>
                <w:color w:val="231F20"/>
                <w:sz w:val="22"/>
                <w:szCs w:val="22"/>
              </w:rPr>
            </w:pPr>
            <w:r w:rsidRPr="00C03FCA">
              <w:rPr>
                <w:rFonts w:ascii="Arial" w:hAnsi="Arial" w:cs="Arial"/>
                <w:color w:val="231F20"/>
                <w:sz w:val="22"/>
                <w:szCs w:val="22"/>
              </w:rPr>
              <w:t>HIV-associated nephropathy or cardiomyopathy</w:t>
            </w:r>
          </w:p>
          <w:p w:rsidR="00FF2CD0" w:rsidRPr="00C03FCA" w:rsidRDefault="00FF2CD0" w:rsidP="00FF2CD0">
            <w:pPr>
              <w:spacing w:after="0" w:line="252" w:lineRule="exact"/>
              <w:ind w:left="52" w:right="-20"/>
              <w:rPr>
                <w:rFonts w:ascii="Arial" w:eastAsia="Times New Roman" w:hAnsi="Arial" w:cs="Arial"/>
                <w:color w:val="231F20"/>
              </w:rPr>
            </w:pPr>
          </w:p>
        </w:tc>
      </w:tr>
    </w:tbl>
    <w:p w:rsidR="00FF2CD0" w:rsidRPr="00C203F3" w:rsidRDefault="00FF2CD0" w:rsidP="00FF2CD0">
      <w:pPr>
        <w:spacing w:before="42" w:after="0" w:line="286" w:lineRule="exact"/>
        <w:ind w:right="2065"/>
        <w:rPr>
          <w:rFonts w:ascii="Arial Narrow" w:eastAsia="Arial" w:hAnsi="Arial Narrow" w:cs="Arial"/>
          <w:sz w:val="24"/>
          <w:szCs w:val="24"/>
        </w:rPr>
      </w:pPr>
    </w:p>
    <w:p w:rsidR="00FF2CD0" w:rsidRPr="00C203F3" w:rsidRDefault="00FF2CD0" w:rsidP="00FF2CD0">
      <w:pPr>
        <w:spacing w:before="42" w:after="0" w:line="286" w:lineRule="exact"/>
        <w:ind w:right="2233"/>
        <w:rPr>
          <w:rFonts w:ascii="Arial Narrow" w:eastAsia="Arial" w:hAnsi="Arial Narrow" w:cs="Arial"/>
          <w:sz w:val="24"/>
          <w:szCs w:val="24"/>
        </w:rPr>
      </w:pPr>
    </w:p>
    <w:p w:rsidR="00FF2CD0" w:rsidRPr="00C203F3" w:rsidRDefault="001D28FE" w:rsidP="00FF2CD0">
      <w:pPr>
        <w:spacing w:after="0" w:line="248" w:lineRule="exact"/>
        <w:ind w:left="720" w:right="-20"/>
        <w:rPr>
          <w:rFonts w:ascii="Arial Narrow" w:eastAsia="Times New Roman" w:hAnsi="Arial Narrow" w:cs="Times New Roman"/>
          <w:sz w:val="24"/>
          <w:szCs w:val="24"/>
        </w:rPr>
      </w:pPr>
      <w:hyperlink r:id="rId22">
        <w:r w:rsidR="00FF2CD0" w:rsidRPr="00C203F3">
          <w:rPr>
            <w:rFonts w:ascii="Arial Narrow" w:eastAsia="Times New Roman" w:hAnsi="Arial Narrow" w:cs="Times New Roman"/>
            <w:color w:val="231F20"/>
            <w:position w:val="-1"/>
            <w:sz w:val="24"/>
            <w:szCs w:val="24"/>
          </w:rPr>
          <w:t>Ref: http://ww</w:t>
        </w:r>
        <w:r w:rsidR="00FF2CD0" w:rsidRPr="00C203F3">
          <w:rPr>
            <w:rFonts w:ascii="Arial Narrow" w:eastAsia="Times New Roman" w:hAnsi="Arial Narrow" w:cs="Times New Roman"/>
            <w:color w:val="231F20"/>
            <w:spacing w:val="-14"/>
            <w:position w:val="-1"/>
            <w:sz w:val="24"/>
            <w:szCs w:val="24"/>
          </w:rPr>
          <w:t>w</w:t>
        </w:r>
        <w:r w:rsidR="00FF2CD0" w:rsidRPr="00C203F3">
          <w:rPr>
            <w:rFonts w:ascii="Arial Narrow" w:eastAsia="Times New Roman" w:hAnsi="Arial Narrow" w:cs="Times New Roman"/>
            <w:color w:val="231F20"/>
            <w:position w:val="-1"/>
            <w:sz w:val="24"/>
            <w:szCs w:val="24"/>
          </w:rPr>
          <w:t>.who.int/hiv/pub/guidelines/HIVstaging150307.pdf</w:t>
        </w:r>
      </w:hyperlink>
    </w:p>
    <w:p w:rsidR="00FF2CD0" w:rsidRPr="00C203F3" w:rsidRDefault="00FF2CD0" w:rsidP="00FF2CD0">
      <w:pPr>
        <w:spacing w:before="42" w:after="0" w:line="286" w:lineRule="exact"/>
        <w:ind w:left="1554" w:right="2233"/>
        <w:rPr>
          <w:rFonts w:ascii="Arial Narrow" w:eastAsia="Arial" w:hAnsi="Arial Narrow" w:cs="Arial"/>
          <w:sz w:val="24"/>
          <w:szCs w:val="24"/>
        </w:rPr>
      </w:pPr>
    </w:p>
    <w:p w:rsidR="00FF2CD0" w:rsidRPr="00C203F3" w:rsidRDefault="00FF2CD0" w:rsidP="00FF2CD0">
      <w:pPr>
        <w:spacing w:before="42" w:after="0" w:line="286" w:lineRule="exact"/>
        <w:ind w:left="1554" w:right="2233"/>
        <w:rPr>
          <w:rFonts w:ascii="Arial Narrow" w:eastAsia="Arial" w:hAnsi="Arial Narrow" w:cs="Arial"/>
          <w:sz w:val="24"/>
          <w:szCs w:val="24"/>
        </w:rPr>
      </w:pPr>
    </w:p>
    <w:p w:rsidR="00FF2CD0" w:rsidRPr="00C203F3" w:rsidRDefault="00FF2CD0" w:rsidP="00FF2CD0">
      <w:pPr>
        <w:spacing w:before="42" w:after="0" w:line="286" w:lineRule="exact"/>
        <w:ind w:left="1554" w:right="2233"/>
        <w:rPr>
          <w:rFonts w:ascii="Arial Narrow" w:eastAsia="Arial" w:hAnsi="Arial Narrow" w:cs="Arial"/>
          <w:sz w:val="24"/>
          <w:szCs w:val="24"/>
        </w:rPr>
      </w:pPr>
    </w:p>
    <w:p w:rsidR="00FF2CD0" w:rsidRPr="00C203F3" w:rsidRDefault="00FF2CD0" w:rsidP="00FF2CD0">
      <w:pPr>
        <w:spacing w:before="42" w:after="0" w:line="286" w:lineRule="exact"/>
        <w:ind w:left="1554" w:right="2233"/>
        <w:rPr>
          <w:rFonts w:ascii="Arial Narrow" w:eastAsia="Arial" w:hAnsi="Arial Narrow" w:cs="Arial"/>
          <w:sz w:val="24"/>
          <w:szCs w:val="24"/>
        </w:rPr>
      </w:pPr>
    </w:p>
    <w:p w:rsidR="00FF2CD0" w:rsidRPr="00C203F3" w:rsidRDefault="00FF2CD0" w:rsidP="00FF2CD0">
      <w:pPr>
        <w:spacing w:before="42" w:after="0" w:line="286" w:lineRule="exact"/>
        <w:ind w:left="1554" w:right="2233"/>
        <w:rPr>
          <w:rFonts w:ascii="Arial Narrow" w:eastAsia="Arial" w:hAnsi="Arial Narrow" w:cs="Arial"/>
          <w:sz w:val="24"/>
          <w:szCs w:val="24"/>
        </w:rPr>
      </w:pPr>
    </w:p>
    <w:p w:rsidR="00FF2CD0" w:rsidRPr="00C203F3" w:rsidRDefault="00FF2CD0" w:rsidP="00FF2CD0">
      <w:pPr>
        <w:spacing w:before="42" w:after="0" w:line="286" w:lineRule="exact"/>
        <w:ind w:left="1554" w:right="2233"/>
        <w:rPr>
          <w:rFonts w:ascii="Arial Narrow" w:eastAsia="Arial" w:hAnsi="Arial Narrow" w:cs="Arial"/>
          <w:sz w:val="24"/>
          <w:szCs w:val="24"/>
        </w:rPr>
      </w:pPr>
    </w:p>
    <w:p w:rsidR="00FF2CD0" w:rsidRPr="00C203F3" w:rsidRDefault="00FF2CD0" w:rsidP="00FF2CD0">
      <w:pPr>
        <w:spacing w:before="42" w:after="0" w:line="286" w:lineRule="exact"/>
        <w:ind w:left="1554" w:right="2233"/>
        <w:rPr>
          <w:rFonts w:ascii="Arial Narrow" w:eastAsia="Arial" w:hAnsi="Arial Narrow" w:cs="Arial"/>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pStyle w:val="Heading2"/>
        <w:rPr>
          <w:rFonts w:ascii="Arial Narrow" w:hAnsi="Arial Narrow"/>
          <w:sz w:val="24"/>
          <w:szCs w:val="24"/>
        </w:rPr>
      </w:pPr>
      <w:bookmarkStart w:id="1108" w:name="_Toc378258349"/>
      <w:bookmarkStart w:id="1109" w:name="_Toc382214190"/>
      <w:r w:rsidRPr="00C203F3">
        <w:rPr>
          <w:rFonts w:ascii="Arial Narrow" w:hAnsi="Arial Narrow"/>
          <w:sz w:val="24"/>
          <w:szCs w:val="24"/>
        </w:rPr>
        <w:t>ANNEX 3: PRESUMPTIVE</w:t>
      </w:r>
      <w:r>
        <w:rPr>
          <w:rFonts w:ascii="Arial Narrow" w:hAnsi="Arial Narrow"/>
          <w:sz w:val="24"/>
          <w:szCs w:val="24"/>
        </w:rPr>
        <w:t xml:space="preserve"> </w:t>
      </w:r>
      <w:r w:rsidRPr="00C203F3">
        <w:rPr>
          <w:rFonts w:ascii="Arial Narrow" w:hAnsi="Arial Narrow"/>
          <w:sz w:val="24"/>
          <w:szCs w:val="24"/>
        </w:rPr>
        <w:t>AND DEFINITIVE CRITERIA</w:t>
      </w:r>
      <w:r>
        <w:rPr>
          <w:rFonts w:ascii="Arial Narrow" w:hAnsi="Arial Narrow"/>
          <w:sz w:val="24"/>
          <w:szCs w:val="24"/>
        </w:rPr>
        <w:t xml:space="preserve"> </w:t>
      </w:r>
      <w:r w:rsidRPr="00C203F3">
        <w:rPr>
          <w:rFonts w:ascii="Arial Narrow" w:hAnsi="Arial Narrow"/>
          <w:sz w:val="24"/>
          <w:szCs w:val="24"/>
        </w:rPr>
        <w:t>FOR RECOGNIZING HIV-RELATED CLINICAL</w:t>
      </w:r>
      <w:r>
        <w:rPr>
          <w:rFonts w:ascii="Arial Narrow" w:hAnsi="Arial Narrow"/>
          <w:sz w:val="24"/>
          <w:szCs w:val="24"/>
        </w:rPr>
        <w:t xml:space="preserve"> </w:t>
      </w:r>
      <w:r w:rsidRPr="00C203F3">
        <w:rPr>
          <w:rFonts w:ascii="Arial Narrow" w:hAnsi="Arial Narrow"/>
          <w:sz w:val="24"/>
          <w:szCs w:val="24"/>
        </w:rPr>
        <w:t>EVENTS IN INFANTS</w:t>
      </w:r>
      <w:r>
        <w:rPr>
          <w:rFonts w:ascii="Arial Narrow" w:hAnsi="Arial Narrow"/>
          <w:sz w:val="24"/>
          <w:szCs w:val="24"/>
        </w:rPr>
        <w:t xml:space="preserve"> </w:t>
      </w:r>
      <w:r w:rsidRPr="00C203F3">
        <w:rPr>
          <w:rFonts w:ascii="Arial Narrow" w:hAnsi="Arial Narrow"/>
          <w:sz w:val="24"/>
          <w:szCs w:val="24"/>
        </w:rPr>
        <w:t>AND CHILDREN WITH ESTABLISHED HIV INFECTION</w:t>
      </w:r>
      <w:bookmarkEnd w:id="1108"/>
      <w:bookmarkEnd w:id="1109"/>
    </w:p>
    <w:p w:rsidR="00FF2CD0" w:rsidRPr="00C203F3" w:rsidRDefault="00FF2CD0" w:rsidP="00FF2CD0">
      <w:pPr>
        <w:rPr>
          <w:rFonts w:ascii="Arial Narrow" w:hAnsi="Arial Narrow"/>
          <w:sz w:val="24"/>
          <w:szCs w:val="24"/>
        </w:rPr>
      </w:pPr>
    </w:p>
    <w:tbl>
      <w:tblPr>
        <w:tblW w:w="0" w:type="auto"/>
        <w:tblInd w:w="5" w:type="dxa"/>
        <w:tblLayout w:type="fixed"/>
        <w:tblCellMar>
          <w:left w:w="0" w:type="dxa"/>
          <w:right w:w="0" w:type="dxa"/>
        </w:tblCellMar>
        <w:tblLook w:val="01E0" w:firstRow="1" w:lastRow="1" w:firstColumn="1" w:lastColumn="1" w:noHBand="0" w:noVBand="0"/>
      </w:tblPr>
      <w:tblGrid>
        <w:gridCol w:w="2548"/>
        <w:gridCol w:w="3482"/>
        <w:gridCol w:w="3330"/>
      </w:tblGrid>
      <w:tr w:rsidR="00FF2CD0" w:rsidRPr="00C03FCA" w:rsidTr="002E6842">
        <w:trPr>
          <w:trHeight w:hRule="exact" w:val="518"/>
        </w:trPr>
        <w:tc>
          <w:tcPr>
            <w:tcW w:w="2548" w:type="dxa"/>
            <w:tcBorders>
              <w:top w:val="single" w:sz="4" w:space="0" w:color="231F20"/>
              <w:left w:val="single" w:sz="4" w:space="0" w:color="231F20"/>
              <w:bottom w:val="single" w:sz="4" w:space="0" w:color="231F20"/>
              <w:right w:val="single" w:sz="4" w:space="0" w:color="231F20"/>
            </w:tcBorders>
            <w:shd w:val="clear" w:color="auto" w:fill="00AEEF"/>
          </w:tcPr>
          <w:p w:rsidR="00FF2CD0" w:rsidRPr="00C03FCA" w:rsidRDefault="00FF2CD0" w:rsidP="00FF2CD0">
            <w:pPr>
              <w:spacing w:after="0" w:line="248" w:lineRule="exact"/>
              <w:ind w:left="52" w:right="-20"/>
              <w:rPr>
                <w:rFonts w:ascii="Arial" w:eastAsia="Times New Roman" w:hAnsi="Arial" w:cs="Arial"/>
              </w:rPr>
            </w:pPr>
            <w:r w:rsidRPr="00C03FCA">
              <w:rPr>
                <w:rFonts w:ascii="Arial" w:eastAsia="Times New Roman" w:hAnsi="Arial" w:cs="Arial"/>
                <w:b/>
                <w:bCs/>
                <w:color w:val="FFFFFF"/>
              </w:rPr>
              <w:t>CLINICAL</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b/>
                <w:bCs/>
                <w:color w:val="FFFFFF"/>
              </w:rPr>
              <w:t>EVENT</w:t>
            </w:r>
          </w:p>
        </w:tc>
        <w:tc>
          <w:tcPr>
            <w:tcW w:w="3482" w:type="dxa"/>
            <w:tcBorders>
              <w:top w:val="single" w:sz="4" w:space="0" w:color="231F20"/>
              <w:left w:val="single" w:sz="4" w:space="0" w:color="231F20"/>
              <w:bottom w:val="single" w:sz="4" w:space="0" w:color="231F20"/>
              <w:right w:val="single" w:sz="4" w:space="0" w:color="231F20"/>
            </w:tcBorders>
            <w:shd w:val="clear" w:color="auto" w:fill="00AEEF"/>
          </w:tcPr>
          <w:p w:rsidR="00FF2CD0" w:rsidRPr="00C03FCA" w:rsidRDefault="00FF2CD0" w:rsidP="00FF2CD0">
            <w:pPr>
              <w:spacing w:after="0" w:line="248" w:lineRule="exact"/>
              <w:ind w:left="52" w:right="-20"/>
              <w:rPr>
                <w:rFonts w:ascii="Arial" w:eastAsia="Times New Roman" w:hAnsi="Arial" w:cs="Arial"/>
              </w:rPr>
            </w:pPr>
            <w:r w:rsidRPr="00C03FCA">
              <w:rPr>
                <w:rFonts w:ascii="Arial" w:eastAsia="Times New Roman" w:hAnsi="Arial" w:cs="Arial"/>
                <w:b/>
                <w:bCs/>
                <w:color w:val="FFFFFF"/>
              </w:rPr>
              <w:t>CLINICAL</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b/>
                <w:bCs/>
                <w:color w:val="FFFFFF"/>
              </w:rPr>
              <w:t>DIAGNOSIS</w:t>
            </w:r>
          </w:p>
        </w:tc>
        <w:tc>
          <w:tcPr>
            <w:tcW w:w="3330" w:type="dxa"/>
            <w:tcBorders>
              <w:top w:val="single" w:sz="4" w:space="0" w:color="231F20"/>
              <w:left w:val="single" w:sz="4" w:space="0" w:color="231F20"/>
              <w:bottom w:val="single" w:sz="4" w:space="0" w:color="231F20"/>
              <w:right w:val="single" w:sz="4" w:space="0" w:color="231F20"/>
            </w:tcBorders>
            <w:shd w:val="clear" w:color="auto" w:fill="00AEEF"/>
          </w:tcPr>
          <w:p w:rsidR="00FF2CD0" w:rsidRPr="00C03FCA" w:rsidRDefault="00FF2CD0" w:rsidP="00FF2CD0">
            <w:pPr>
              <w:spacing w:after="0" w:line="248" w:lineRule="exact"/>
              <w:ind w:left="52" w:right="-20"/>
              <w:rPr>
                <w:rFonts w:ascii="Arial" w:eastAsia="Times New Roman" w:hAnsi="Arial" w:cs="Arial"/>
              </w:rPr>
            </w:pPr>
            <w:r w:rsidRPr="00C03FCA">
              <w:rPr>
                <w:rFonts w:ascii="Arial" w:eastAsia="Times New Roman" w:hAnsi="Arial" w:cs="Arial"/>
                <w:b/>
                <w:bCs/>
                <w:color w:val="FFFFFF"/>
              </w:rPr>
              <w:t>DEFINITIVE</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b/>
                <w:bCs/>
                <w:color w:val="FFFFFF"/>
              </w:rPr>
              <w:t>DIAGNOSIS</w:t>
            </w:r>
          </w:p>
        </w:tc>
      </w:tr>
      <w:tr w:rsidR="00FF2CD0" w:rsidRPr="00C03FCA" w:rsidTr="00FF2CD0">
        <w:trPr>
          <w:trHeight w:hRule="exact" w:val="262"/>
        </w:trPr>
        <w:tc>
          <w:tcPr>
            <w:tcW w:w="9360" w:type="dxa"/>
            <w:gridSpan w:val="3"/>
            <w:tcBorders>
              <w:top w:val="single" w:sz="4" w:space="0" w:color="231F20"/>
              <w:left w:val="single" w:sz="4" w:space="0" w:color="231F20"/>
              <w:bottom w:val="single" w:sz="4" w:space="0" w:color="231F20"/>
              <w:right w:val="single" w:sz="4" w:space="0" w:color="231F20"/>
            </w:tcBorders>
          </w:tcPr>
          <w:p w:rsidR="00FF2CD0" w:rsidRPr="00C03FCA" w:rsidRDefault="00FF2CD0" w:rsidP="00FF2CD0">
            <w:pPr>
              <w:spacing w:after="0" w:line="248" w:lineRule="exact"/>
              <w:ind w:left="52" w:right="-20"/>
              <w:rPr>
                <w:rFonts w:ascii="Arial" w:eastAsia="Times New Roman" w:hAnsi="Arial" w:cs="Arial"/>
              </w:rPr>
            </w:pPr>
            <w:r w:rsidRPr="00C03FCA">
              <w:rPr>
                <w:rFonts w:ascii="Arial" w:eastAsia="Times New Roman" w:hAnsi="Arial" w:cs="Arial"/>
                <w:b/>
                <w:bCs/>
                <w:color w:val="231F20"/>
              </w:rPr>
              <w:t>Clinical Stage 1</w:t>
            </w:r>
          </w:p>
        </w:tc>
      </w:tr>
      <w:tr w:rsidR="00FF2CD0" w:rsidRPr="00C03FCA" w:rsidTr="00FF2CD0">
        <w:trPr>
          <w:trHeight w:hRule="exact" w:val="1034"/>
        </w:trPr>
        <w:tc>
          <w:tcPr>
            <w:tcW w:w="2548" w:type="dxa"/>
            <w:tcBorders>
              <w:top w:val="single" w:sz="4" w:space="0" w:color="231F20"/>
              <w:left w:val="single" w:sz="4" w:space="0" w:color="231F20"/>
              <w:bottom w:val="single" w:sz="4" w:space="0" w:color="231F20"/>
              <w:right w:val="single" w:sz="4" w:space="0" w:color="231F20"/>
            </w:tcBorders>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Asymptomatic</w:t>
            </w:r>
          </w:p>
        </w:tc>
        <w:tc>
          <w:tcPr>
            <w:tcW w:w="348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No HIV related</w:t>
            </w:r>
          </w:p>
          <w:p w:rsidR="00FF2CD0" w:rsidRPr="00C03FCA" w:rsidRDefault="00FF2CD0" w:rsidP="00FF2CD0">
            <w:pPr>
              <w:spacing w:before="3" w:after="0" w:line="242" w:lineRule="auto"/>
              <w:ind w:left="52" w:right="17"/>
              <w:rPr>
                <w:rFonts w:ascii="Arial" w:eastAsia="Times New Roman" w:hAnsi="Arial" w:cs="Arial"/>
                <w:color w:val="231F20"/>
              </w:rPr>
            </w:pPr>
            <w:r w:rsidRPr="00C03FCA">
              <w:rPr>
                <w:rFonts w:ascii="Arial" w:eastAsia="Times New Roman" w:hAnsi="Arial" w:cs="Arial"/>
                <w:color w:val="231F20"/>
              </w:rPr>
              <w:t>symptoms reported and no clinical signs on examination</w:t>
            </w:r>
          </w:p>
          <w:p w:rsidR="00FF2CD0" w:rsidRPr="00C03FCA" w:rsidRDefault="00FF2CD0" w:rsidP="00FF2CD0">
            <w:pPr>
              <w:spacing w:before="3" w:after="0" w:line="242" w:lineRule="auto"/>
              <w:ind w:left="52" w:right="17"/>
              <w:rPr>
                <w:rFonts w:ascii="Arial" w:eastAsia="Times New Roman" w:hAnsi="Arial" w:cs="Arial"/>
              </w:rPr>
            </w:pPr>
          </w:p>
        </w:tc>
        <w:tc>
          <w:tcPr>
            <w:tcW w:w="333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Not applicable</w:t>
            </w:r>
          </w:p>
        </w:tc>
      </w:tr>
      <w:tr w:rsidR="00FF2CD0" w:rsidRPr="00C03FCA" w:rsidTr="00FF2CD0">
        <w:trPr>
          <w:trHeight w:hRule="exact" w:val="1802"/>
        </w:trPr>
        <w:tc>
          <w:tcPr>
            <w:tcW w:w="2548" w:type="dxa"/>
            <w:tcBorders>
              <w:top w:val="single" w:sz="4" w:space="0" w:color="231F20"/>
              <w:left w:val="single" w:sz="4" w:space="0" w:color="231F20"/>
              <w:bottom w:val="single" w:sz="4" w:space="0" w:color="231F20"/>
              <w:right w:val="single" w:sz="4" w:space="0" w:color="231F20"/>
            </w:tcBorders>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Persistent</w:t>
            </w:r>
          </w:p>
          <w:p w:rsidR="00FF2CD0" w:rsidRPr="00C03FCA" w:rsidRDefault="00FF2CD0" w:rsidP="00FF2CD0">
            <w:pPr>
              <w:spacing w:before="3" w:after="0" w:line="242" w:lineRule="auto"/>
              <w:ind w:left="52" w:right="71"/>
              <w:rPr>
                <w:rFonts w:ascii="Arial" w:eastAsia="Times New Roman" w:hAnsi="Arial" w:cs="Arial"/>
              </w:rPr>
            </w:pPr>
            <w:r w:rsidRPr="00C03FCA">
              <w:rPr>
                <w:rFonts w:ascii="Arial" w:eastAsia="Times New Roman" w:hAnsi="Arial" w:cs="Arial"/>
                <w:color w:val="231F20"/>
              </w:rPr>
              <w:t xml:space="preserve">generalized </w:t>
            </w:r>
            <w:r w:rsidRPr="00C03FCA">
              <w:rPr>
                <w:rFonts w:ascii="Arial" w:eastAsia="Times New Roman" w:hAnsi="Arial" w:cs="Arial"/>
                <w:color w:val="231F20"/>
                <w:spacing w:val="-12"/>
              </w:rPr>
              <w:t>L</w:t>
            </w:r>
            <w:r w:rsidRPr="00C03FCA">
              <w:rPr>
                <w:rFonts w:ascii="Arial" w:eastAsia="Times New Roman" w:hAnsi="Arial" w:cs="Arial"/>
                <w:color w:val="231F20"/>
              </w:rPr>
              <w:t>ymphadenopathy (PGL)</w:t>
            </w:r>
          </w:p>
        </w:tc>
        <w:tc>
          <w:tcPr>
            <w:tcW w:w="348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Persistent swollen or</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enla</w:t>
            </w:r>
            <w:r w:rsidRPr="00C03FCA">
              <w:rPr>
                <w:rFonts w:ascii="Arial" w:eastAsia="Times New Roman" w:hAnsi="Arial" w:cs="Arial"/>
                <w:color w:val="231F20"/>
                <w:spacing w:val="-4"/>
              </w:rPr>
              <w:t>r</w:t>
            </w:r>
            <w:r w:rsidRPr="00C03FCA">
              <w:rPr>
                <w:rFonts w:ascii="Arial" w:eastAsia="Times New Roman" w:hAnsi="Arial" w:cs="Arial"/>
                <w:color w:val="231F20"/>
              </w:rPr>
              <w:t>ged lymph nodes</w:t>
            </w:r>
          </w:p>
          <w:p w:rsidR="00FF2CD0" w:rsidRPr="00C03FCA" w:rsidRDefault="00FF2CD0" w:rsidP="00FF2CD0">
            <w:pPr>
              <w:spacing w:before="3" w:after="0" w:line="242" w:lineRule="auto"/>
              <w:ind w:left="52" w:right="125"/>
              <w:rPr>
                <w:rFonts w:ascii="Arial" w:eastAsia="Times New Roman" w:hAnsi="Arial" w:cs="Arial"/>
              </w:rPr>
            </w:pPr>
            <w:r w:rsidRPr="00C03FCA">
              <w:rPr>
                <w:rFonts w:ascii="Arial" w:eastAsia="Times New Roman" w:hAnsi="Arial" w:cs="Arial"/>
                <w:color w:val="231F20"/>
              </w:rPr>
              <w:t>&gt; 1 cm at two or more non-contiguous sites, excluding inguinal, without known cause.</w:t>
            </w:r>
          </w:p>
        </w:tc>
        <w:tc>
          <w:tcPr>
            <w:tcW w:w="333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Clinical diagnosis</w:t>
            </w:r>
          </w:p>
        </w:tc>
      </w:tr>
    </w:tbl>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sectPr w:rsidR="00FF2CD0" w:rsidRPr="00C203F3" w:rsidSect="00FF2CD0">
          <w:pgSz w:w="12240" w:h="15840"/>
          <w:pgMar w:top="1440" w:right="1440" w:bottom="1440" w:left="1440" w:header="720" w:footer="720" w:gutter="0"/>
          <w:cols w:space="720"/>
          <w:docGrid w:linePitch="360"/>
        </w:sectPr>
      </w:pPr>
    </w:p>
    <w:p w:rsidR="00FF2CD0" w:rsidRPr="00C203F3" w:rsidRDefault="00FF2CD0" w:rsidP="00FF2CD0">
      <w:pPr>
        <w:rPr>
          <w:rFonts w:ascii="Arial Narrow" w:hAnsi="Arial Narrow"/>
          <w:sz w:val="24"/>
          <w:szCs w:val="24"/>
        </w:rPr>
      </w:pPr>
    </w:p>
    <w:tbl>
      <w:tblPr>
        <w:tblW w:w="0" w:type="auto"/>
        <w:jc w:val="center"/>
        <w:tblInd w:w="102" w:type="dxa"/>
        <w:tblLayout w:type="fixed"/>
        <w:tblCellMar>
          <w:left w:w="0" w:type="dxa"/>
          <w:right w:w="0" w:type="dxa"/>
        </w:tblCellMar>
        <w:tblLook w:val="01E0" w:firstRow="1" w:lastRow="1" w:firstColumn="1" w:lastColumn="1" w:noHBand="0" w:noVBand="0"/>
      </w:tblPr>
      <w:tblGrid>
        <w:gridCol w:w="2323"/>
        <w:gridCol w:w="4410"/>
        <w:gridCol w:w="3232"/>
      </w:tblGrid>
      <w:tr w:rsidR="00FF2CD0" w:rsidRPr="00C03FCA" w:rsidTr="002E6842">
        <w:trPr>
          <w:trHeight w:hRule="exact" w:val="266"/>
          <w:jc w:val="center"/>
        </w:trPr>
        <w:tc>
          <w:tcPr>
            <w:tcW w:w="2323" w:type="dxa"/>
            <w:tcBorders>
              <w:top w:val="single" w:sz="4" w:space="0" w:color="231F20"/>
              <w:left w:val="single" w:sz="4" w:space="0" w:color="231F20"/>
              <w:bottom w:val="single" w:sz="4" w:space="0" w:color="231F20"/>
              <w:right w:val="single" w:sz="4" w:space="0" w:color="231F20"/>
            </w:tcBorders>
            <w:shd w:val="clear" w:color="auto" w:fill="00AEEF"/>
          </w:tcPr>
          <w:p w:rsidR="00FF2CD0" w:rsidRPr="00C03FCA" w:rsidRDefault="00FF2CD0" w:rsidP="00FF2CD0">
            <w:pPr>
              <w:spacing w:after="0" w:line="248" w:lineRule="exact"/>
              <w:ind w:left="52" w:right="-20"/>
              <w:rPr>
                <w:rFonts w:ascii="Arial" w:eastAsia="Times New Roman" w:hAnsi="Arial" w:cs="Arial"/>
              </w:rPr>
            </w:pPr>
            <w:r w:rsidRPr="00C03FCA">
              <w:rPr>
                <w:rFonts w:ascii="Arial" w:eastAsia="Times New Roman" w:hAnsi="Arial" w:cs="Arial"/>
                <w:b/>
                <w:bCs/>
                <w:color w:val="FFFFFF"/>
              </w:rPr>
              <w:t>Clinical event</w:t>
            </w:r>
          </w:p>
        </w:tc>
        <w:tc>
          <w:tcPr>
            <w:tcW w:w="4410" w:type="dxa"/>
            <w:tcBorders>
              <w:top w:val="single" w:sz="4" w:space="0" w:color="231F20"/>
              <w:left w:val="single" w:sz="4" w:space="0" w:color="231F20"/>
              <w:bottom w:val="single" w:sz="4" w:space="0" w:color="231F20"/>
              <w:right w:val="single" w:sz="4" w:space="0" w:color="231F20"/>
            </w:tcBorders>
            <w:shd w:val="clear" w:color="auto" w:fill="00AEEF"/>
          </w:tcPr>
          <w:p w:rsidR="00FF2CD0" w:rsidRPr="00C03FCA" w:rsidRDefault="00FF2CD0" w:rsidP="00FF2CD0">
            <w:pPr>
              <w:spacing w:after="0" w:line="248" w:lineRule="exact"/>
              <w:ind w:left="52" w:right="-20"/>
              <w:rPr>
                <w:rFonts w:ascii="Arial" w:eastAsia="Times New Roman" w:hAnsi="Arial" w:cs="Arial"/>
              </w:rPr>
            </w:pPr>
            <w:r w:rsidRPr="00C03FCA">
              <w:rPr>
                <w:rFonts w:ascii="Arial" w:eastAsia="Times New Roman" w:hAnsi="Arial" w:cs="Arial"/>
                <w:b/>
                <w:bCs/>
                <w:color w:val="FFFFFF"/>
              </w:rPr>
              <w:t>Clinical diagnosis</w:t>
            </w:r>
          </w:p>
        </w:tc>
        <w:tc>
          <w:tcPr>
            <w:tcW w:w="3232" w:type="dxa"/>
            <w:tcBorders>
              <w:top w:val="single" w:sz="4" w:space="0" w:color="231F20"/>
              <w:left w:val="single" w:sz="4" w:space="0" w:color="231F20"/>
              <w:bottom w:val="single" w:sz="4" w:space="0" w:color="231F20"/>
              <w:right w:val="single" w:sz="4" w:space="0" w:color="231F20"/>
            </w:tcBorders>
            <w:shd w:val="clear" w:color="auto" w:fill="00AEEF"/>
          </w:tcPr>
          <w:p w:rsidR="00FF2CD0" w:rsidRPr="00C03FCA" w:rsidRDefault="00FF2CD0" w:rsidP="00FF2CD0">
            <w:pPr>
              <w:spacing w:after="0" w:line="248" w:lineRule="exact"/>
              <w:ind w:left="52" w:right="-20"/>
              <w:rPr>
                <w:rFonts w:ascii="Arial" w:eastAsia="Times New Roman" w:hAnsi="Arial" w:cs="Arial"/>
              </w:rPr>
            </w:pPr>
            <w:r w:rsidRPr="00C03FCA">
              <w:rPr>
                <w:rFonts w:ascii="Arial" w:eastAsia="Times New Roman" w:hAnsi="Arial" w:cs="Arial"/>
                <w:b/>
                <w:bCs/>
                <w:color w:val="FFFFFF"/>
              </w:rPr>
              <w:t>Definitive</w:t>
            </w:r>
            <w:r w:rsidR="002E6842">
              <w:rPr>
                <w:rFonts w:ascii="Arial" w:eastAsia="Times New Roman" w:hAnsi="Arial" w:cs="Arial"/>
                <w:b/>
                <w:bCs/>
                <w:color w:val="FFFFFF"/>
              </w:rPr>
              <w:t xml:space="preserve"> </w:t>
            </w:r>
            <w:r w:rsidRPr="00C03FCA">
              <w:rPr>
                <w:rFonts w:ascii="Arial" w:eastAsia="Times New Roman" w:hAnsi="Arial" w:cs="Arial"/>
                <w:b/>
                <w:bCs/>
                <w:color w:val="FFFFFF"/>
              </w:rPr>
              <w:t>diagnosis</w:t>
            </w:r>
          </w:p>
        </w:tc>
      </w:tr>
      <w:tr w:rsidR="00FF2CD0" w:rsidRPr="00C03FCA" w:rsidTr="00FF2CD0">
        <w:trPr>
          <w:trHeight w:hRule="exact" w:val="262"/>
          <w:jc w:val="center"/>
        </w:trPr>
        <w:tc>
          <w:tcPr>
            <w:tcW w:w="9965" w:type="dxa"/>
            <w:gridSpan w:val="3"/>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48" w:lineRule="exact"/>
              <w:ind w:left="52" w:right="-20"/>
              <w:rPr>
                <w:rFonts w:ascii="Arial" w:eastAsia="Times New Roman" w:hAnsi="Arial" w:cs="Arial"/>
              </w:rPr>
            </w:pPr>
            <w:r w:rsidRPr="00C03FCA">
              <w:rPr>
                <w:rFonts w:ascii="Arial" w:eastAsia="Times New Roman" w:hAnsi="Arial" w:cs="Arial"/>
                <w:b/>
                <w:bCs/>
                <w:color w:val="231F20"/>
              </w:rPr>
              <w:t>Clinical stage 2 (cont’d)</w:t>
            </w:r>
          </w:p>
        </w:tc>
      </w:tr>
      <w:tr w:rsidR="00FF2CD0" w:rsidRPr="00C03FCA" w:rsidTr="002E6842">
        <w:trPr>
          <w:trHeight w:hRule="exact" w:val="568"/>
          <w:jc w:val="center"/>
        </w:trPr>
        <w:tc>
          <w:tcPr>
            <w:tcW w:w="2323"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Unexplained persistent</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hepatosplenomegaly</w:t>
            </w:r>
          </w:p>
        </w:tc>
        <w:tc>
          <w:tcPr>
            <w:tcW w:w="441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Enla</w:t>
            </w:r>
            <w:r w:rsidRPr="00C03FCA">
              <w:rPr>
                <w:rFonts w:ascii="Arial" w:eastAsia="Times New Roman" w:hAnsi="Arial" w:cs="Arial"/>
                <w:color w:val="231F20"/>
                <w:spacing w:val="-4"/>
              </w:rPr>
              <w:t>r</w:t>
            </w:r>
            <w:r w:rsidRPr="00C03FCA">
              <w:rPr>
                <w:rFonts w:ascii="Arial" w:eastAsia="Times New Roman" w:hAnsi="Arial" w:cs="Arial"/>
                <w:color w:val="231F20"/>
              </w:rPr>
              <w:t>ged liver and spleen</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without obvious cause</w:t>
            </w:r>
          </w:p>
        </w:tc>
        <w:tc>
          <w:tcPr>
            <w:tcW w:w="323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Clinical diagnosis</w:t>
            </w:r>
          </w:p>
        </w:tc>
      </w:tr>
      <w:tr w:rsidR="00FF2CD0" w:rsidRPr="00C03FCA" w:rsidTr="002E6842">
        <w:trPr>
          <w:trHeight w:hRule="exact" w:val="562"/>
          <w:jc w:val="center"/>
        </w:trPr>
        <w:tc>
          <w:tcPr>
            <w:tcW w:w="2323"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Papular pruritic</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eruptions</w:t>
            </w:r>
          </w:p>
        </w:tc>
        <w:tc>
          <w:tcPr>
            <w:tcW w:w="441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Papular pruritic vesicular lesion.</w:t>
            </w:r>
          </w:p>
        </w:tc>
        <w:tc>
          <w:tcPr>
            <w:tcW w:w="323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Clinical diagnosis</w:t>
            </w:r>
          </w:p>
        </w:tc>
      </w:tr>
      <w:tr w:rsidR="00FF2CD0" w:rsidRPr="00C03FCA" w:rsidTr="002E6842">
        <w:trPr>
          <w:trHeight w:hRule="exact" w:val="1599"/>
          <w:jc w:val="center"/>
        </w:trPr>
        <w:tc>
          <w:tcPr>
            <w:tcW w:w="2323"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Fungal nail infections</w:t>
            </w:r>
          </w:p>
        </w:tc>
        <w:tc>
          <w:tcPr>
            <w:tcW w:w="441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Fungal paronychia (painful,</w:t>
            </w:r>
            <w:r w:rsidR="002E6842">
              <w:rPr>
                <w:rFonts w:ascii="Arial" w:eastAsia="Times New Roman" w:hAnsi="Arial" w:cs="Arial"/>
                <w:color w:val="231F20"/>
              </w:rPr>
              <w:t xml:space="preserve"> </w:t>
            </w:r>
            <w:r w:rsidRPr="00C03FCA">
              <w:rPr>
                <w:rFonts w:ascii="Arial" w:eastAsia="Times New Roman" w:hAnsi="Arial" w:cs="Arial"/>
                <w:color w:val="231F20"/>
              </w:rPr>
              <w:t>red and swollen nailbed) oronycholysis (painless separation</w:t>
            </w:r>
            <w:r w:rsidR="002E6842">
              <w:rPr>
                <w:rFonts w:ascii="Arial" w:eastAsia="Times New Roman" w:hAnsi="Arial" w:cs="Arial"/>
                <w:color w:val="231F20"/>
              </w:rPr>
              <w:t xml:space="preserve"> </w:t>
            </w:r>
            <w:r w:rsidRPr="00C03FCA">
              <w:rPr>
                <w:rFonts w:ascii="Arial" w:eastAsia="Times New Roman" w:hAnsi="Arial" w:cs="Arial"/>
                <w:color w:val="231F20"/>
              </w:rPr>
              <w:t>of the nail from the nail bed).Proximal white subungual</w:t>
            </w:r>
            <w:r w:rsidR="002E6842">
              <w:rPr>
                <w:rFonts w:ascii="Arial" w:eastAsia="Times New Roman" w:hAnsi="Arial" w:cs="Arial"/>
                <w:color w:val="231F20"/>
              </w:rPr>
              <w:t xml:space="preserve"> </w:t>
            </w:r>
            <w:r w:rsidRPr="00C03FCA">
              <w:rPr>
                <w:rFonts w:ascii="Arial" w:eastAsia="Times New Roman" w:hAnsi="Arial" w:cs="Arial"/>
                <w:color w:val="231F20"/>
              </w:rPr>
              <w:t>onchomycosis is uncommon</w:t>
            </w:r>
            <w:r w:rsidR="002E6842">
              <w:rPr>
                <w:rFonts w:ascii="Arial" w:eastAsia="Times New Roman" w:hAnsi="Arial" w:cs="Arial"/>
                <w:color w:val="231F20"/>
              </w:rPr>
              <w:t xml:space="preserve"> </w:t>
            </w:r>
            <w:r w:rsidRPr="00C03FCA">
              <w:rPr>
                <w:rFonts w:ascii="Arial" w:eastAsia="Times New Roman" w:hAnsi="Arial" w:cs="Arial"/>
                <w:color w:val="231F20"/>
              </w:rPr>
              <w:t>without immune deficienc</w:t>
            </w:r>
            <w:r w:rsidRPr="00C03FCA">
              <w:rPr>
                <w:rFonts w:ascii="Arial" w:eastAsia="Times New Roman" w:hAnsi="Arial" w:cs="Arial"/>
                <w:color w:val="231F20"/>
                <w:spacing w:val="-15"/>
              </w:rPr>
              <w:t>y</w:t>
            </w:r>
            <w:r w:rsidRPr="00C03FCA">
              <w:rPr>
                <w:rFonts w:ascii="Arial" w:eastAsia="Times New Roman" w:hAnsi="Arial" w:cs="Arial"/>
                <w:color w:val="231F20"/>
              </w:rPr>
              <w:t>.</w:t>
            </w:r>
          </w:p>
        </w:tc>
        <w:tc>
          <w:tcPr>
            <w:tcW w:w="323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Clinical diagnosis</w:t>
            </w:r>
          </w:p>
        </w:tc>
      </w:tr>
      <w:tr w:rsidR="00FF2CD0" w:rsidRPr="00C03FCA" w:rsidTr="002E6842">
        <w:trPr>
          <w:trHeight w:hRule="exact" w:val="825"/>
          <w:jc w:val="center"/>
        </w:trPr>
        <w:tc>
          <w:tcPr>
            <w:tcW w:w="2323"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Angular cheilitis</w:t>
            </w:r>
          </w:p>
        </w:tc>
        <w:tc>
          <w:tcPr>
            <w:tcW w:w="441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Splits or cracks on lips at the angle of the</w:t>
            </w:r>
            <w:r w:rsidR="002E6842">
              <w:rPr>
                <w:rFonts w:ascii="Arial" w:eastAsia="Times New Roman" w:hAnsi="Arial" w:cs="Arial"/>
                <w:color w:val="231F20"/>
              </w:rPr>
              <w:t xml:space="preserve"> </w:t>
            </w:r>
            <w:r w:rsidRPr="00C03FCA">
              <w:rPr>
                <w:rFonts w:ascii="Arial" w:eastAsia="Times New Roman" w:hAnsi="Arial" w:cs="Arial"/>
                <w:color w:val="231F20"/>
              </w:rPr>
              <w:t>mouth with</w:t>
            </w:r>
            <w:r w:rsidR="002E6842">
              <w:rPr>
                <w:rFonts w:ascii="Arial" w:eastAsia="Times New Roman" w:hAnsi="Arial" w:cs="Arial"/>
                <w:color w:val="231F20"/>
              </w:rPr>
              <w:t xml:space="preserve"> </w:t>
            </w:r>
            <w:r w:rsidRPr="00C03FCA">
              <w:rPr>
                <w:rFonts w:ascii="Arial" w:eastAsia="Times New Roman" w:hAnsi="Arial" w:cs="Arial"/>
                <w:color w:val="231F20"/>
              </w:rPr>
              <w:t>depigmentation, usually respond to antifungal treatment but may</w:t>
            </w:r>
            <w:r w:rsidR="002E6842">
              <w:rPr>
                <w:rFonts w:ascii="Arial" w:eastAsia="Times New Roman" w:hAnsi="Arial" w:cs="Arial"/>
                <w:color w:val="231F20"/>
              </w:rPr>
              <w:t xml:space="preserve"> </w:t>
            </w:r>
            <w:r w:rsidRPr="00C03FCA">
              <w:rPr>
                <w:rFonts w:ascii="Arial" w:eastAsia="Times New Roman" w:hAnsi="Arial" w:cs="Arial"/>
                <w:color w:val="231F20"/>
              </w:rPr>
              <w:t>recu</w:t>
            </w:r>
            <w:r w:rsidRPr="00C03FCA">
              <w:rPr>
                <w:rFonts w:ascii="Arial" w:eastAsia="Times New Roman" w:hAnsi="Arial" w:cs="Arial"/>
                <w:color w:val="231F20"/>
                <w:spacing w:val="-13"/>
              </w:rPr>
              <w:t>r</w:t>
            </w:r>
            <w:r w:rsidRPr="00C03FCA">
              <w:rPr>
                <w:rFonts w:ascii="Arial" w:eastAsia="Times New Roman" w:hAnsi="Arial" w:cs="Arial"/>
                <w:color w:val="231F20"/>
              </w:rPr>
              <w:t>.</w:t>
            </w:r>
          </w:p>
        </w:tc>
        <w:tc>
          <w:tcPr>
            <w:tcW w:w="323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Clinical diagnosis</w:t>
            </w:r>
          </w:p>
        </w:tc>
      </w:tr>
      <w:tr w:rsidR="00FF2CD0" w:rsidRPr="00C03FCA" w:rsidTr="002E6842">
        <w:trPr>
          <w:trHeight w:hRule="exact" w:val="895"/>
          <w:jc w:val="center"/>
        </w:trPr>
        <w:tc>
          <w:tcPr>
            <w:tcW w:w="2323"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Lineal gingival</w:t>
            </w:r>
          </w:p>
          <w:p w:rsidR="00FF2CD0" w:rsidRPr="00C03FCA" w:rsidRDefault="00FF2CD0" w:rsidP="00FF2CD0">
            <w:pPr>
              <w:spacing w:before="3" w:after="0" w:line="200" w:lineRule="exact"/>
              <w:rPr>
                <w:rFonts w:ascii="Arial" w:hAnsi="Arial" w:cs="Arial"/>
              </w:rPr>
            </w:pPr>
          </w:p>
          <w:p w:rsidR="00FF2CD0" w:rsidRPr="00C03FCA" w:rsidRDefault="00FF2CD0" w:rsidP="00FF2CD0">
            <w:pPr>
              <w:spacing w:after="0" w:line="240" w:lineRule="auto"/>
              <w:ind w:left="52" w:right="-20"/>
              <w:rPr>
                <w:rFonts w:ascii="Arial" w:eastAsia="Times New Roman" w:hAnsi="Arial" w:cs="Arial"/>
              </w:rPr>
            </w:pPr>
            <w:r w:rsidRPr="00C03FCA">
              <w:rPr>
                <w:rFonts w:ascii="Arial" w:eastAsia="Times New Roman" w:hAnsi="Arial" w:cs="Arial"/>
                <w:color w:val="231F20"/>
              </w:rPr>
              <w:t>Erythema (LGE)</w:t>
            </w:r>
          </w:p>
        </w:tc>
        <w:tc>
          <w:tcPr>
            <w:tcW w:w="441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Erythimatous band that follows the contour</w:t>
            </w:r>
            <w:r w:rsidR="002E6842">
              <w:rPr>
                <w:rFonts w:ascii="Arial" w:eastAsia="Times New Roman" w:hAnsi="Arial" w:cs="Arial"/>
                <w:color w:val="231F20"/>
              </w:rPr>
              <w:t xml:space="preserve"> </w:t>
            </w:r>
            <w:r w:rsidRPr="00C03FCA">
              <w:rPr>
                <w:rFonts w:ascii="Arial" w:eastAsia="Times New Roman" w:hAnsi="Arial" w:cs="Arial"/>
                <w:color w:val="231F20"/>
              </w:rPr>
              <w:t>or the free gingival line; may be associated with</w:t>
            </w:r>
            <w:r w:rsidR="002E6842">
              <w:rPr>
                <w:rFonts w:ascii="Arial" w:eastAsia="Times New Roman" w:hAnsi="Arial" w:cs="Arial"/>
                <w:color w:val="231F20"/>
              </w:rPr>
              <w:t xml:space="preserve"> </w:t>
            </w:r>
            <w:r w:rsidRPr="00C03FCA">
              <w:rPr>
                <w:rFonts w:ascii="Arial" w:eastAsia="Times New Roman" w:hAnsi="Arial" w:cs="Arial"/>
                <w:color w:val="231F20"/>
              </w:rPr>
              <w:t>spontaneous bleeding.</w:t>
            </w:r>
          </w:p>
        </w:tc>
        <w:tc>
          <w:tcPr>
            <w:tcW w:w="323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Clinical diagnosis</w:t>
            </w:r>
          </w:p>
        </w:tc>
      </w:tr>
      <w:tr w:rsidR="00FF2CD0" w:rsidRPr="00C03FCA" w:rsidTr="002E6842">
        <w:trPr>
          <w:trHeight w:hRule="exact" w:val="1110"/>
          <w:jc w:val="center"/>
        </w:trPr>
        <w:tc>
          <w:tcPr>
            <w:tcW w:w="2323"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Extensive wart virus</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Characteristic</w:t>
            </w:r>
          </w:p>
        </w:tc>
        <w:tc>
          <w:tcPr>
            <w:tcW w:w="441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68"/>
              <w:jc w:val="both"/>
              <w:rPr>
                <w:rFonts w:ascii="Arial" w:eastAsia="Times New Roman" w:hAnsi="Arial" w:cs="Arial"/>
              </w:rPr>
            </w:pPr>
            <w:r w:rsidRPr="00C03FCA">
              <w:rPr>
                <w:rFonts w:ascii="Arial" w:eastAsia="Times New Roman" w:hAnsi="Arial" w:cs="Arial"/>
                <w:color w:val="231F20"/>
              </w:rPr>
              <w:t>Characteristic warty skin lesions; small fleshy</w:t>
            </w:r>
            <w:r w:rsidR="002E6842">
              <w:rPr>
                <w:rFonts w:ascii="Arial" w:eastAsia="Times New Roman" w:hAnsi="Arial" w:cs="Arial"/>
                <w:color w:val="231F20"/>
              </w:rPr>
              <w:t xml:space="preserve"> </w:t>
            </w:r>
            <w:r w:rsidRPr="00C03FCA">
              <w:rPr>
                <w:rFonts w:ascii="Arial" w:eastAsia="Times New Roman" w:hAnsi="Arial" w:cs="Arial"/>
                <w:color w:val="231F20"/>
              </w:rPr>
              <w:t>grainy bumps, often rough, flat</w:t>
            </w:r>
            <w:r w:rsidR="002E6842">
              <w:rPr>
                <w:rFonts w:ascii="Arial" w:eastAsia="Times New Roman" w:hAnsi="Arial" w:cs="Arial"/>
                <w:color w:val="231F20"/>
              </w:rPr>
              <w:t xml:space="preserve"> </w:t>
            </w:r>
            <w:r w:rsidRPr="00C03FCA">
              <w:rPr>
                <w:rFonts w:ascii="Arial" w:eastAsia="Times New Roman" w:hAnsi="Arial" w:cs="Arial"/>
                <w:color w:val="231F20"/>
              </w:rPr>
              <w:t>on sole of feet (plantar warts); facial, more than 5% or body area or disfiguring.</w:t>
            </w:r>
          </w:p>
        </w:tc>
        <w:tc>
          <w:tcPr>
            <w:tcW w:w="323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Clinical diagnosis</w:t>
            </w:r>
          </w:p>
        </w:tc>
      </w:tr>
    </w:tbl>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tbl>
      <w:tblPr>
        <w:tblpPr w:leftFromText="180" w:rightFromText="180" w:vertAnchor="text" w:horzAnchor="margin" w:tblpXSpec="center" w:tblpY="416"/>
        <w:tblW w:w="0" w:type="auto"/>
        <w:tblLayout w:type="fixed"/>
        <w:tblCellMar>
          <w:left w:w="0" w:type="dxa"/>
          <w:right w:w="0" w:type="dxa"/>
        </w:tblCellMar>
        <w:tblLook w:val="01E0" w:firstRow="1" w:lastRow="1" w:firstColumn="1" w:lastColumn="1" w:noHBand="0" w:noVBand="0"/>
      </w:tblPr>
      <w:tblGrid>
        <w:gridCol w:w="2357"/>
        <w:gridCol w:w="4422"/>
        <w:gridCol w:w="3186"/>
      </w:tblGrid>
      <w:tr w:rsidR="00FF2CD0" w:rsidRPr="00C03FCA" w:rsidTr="00FF2CD0">
        <w:trPr>
          <w:trHeight w:hRule="exact" w:val="1658"/>
        </w:trPr>
        <w:tc>
          <w:tcPr>
            <w:tcW w:w="235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Extensive molluscum</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contagiosum infection</w:t>
            </w:r>
          </w:p>
        </w:tc>
        <w:tc>
          <w:tcPr>
            <w:tcW w:w="442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Characteristic skin lesions: small flesh-</w:t>
            </w:r>
          </w:p>
          <w:p w:rsidR="00FF2CD0" w:rsidRPr="00C03FCA" w:rsidRDefault="00FF2CD0" w:rsidP="00FF2CD0">
            <w:pPr>
              <w:spacing w:before="3" w:after="0" w:line="242" w:lineRule="auto"/>
              <w:ind w:left="52" w:right="252"/>
              <w:rPr>
                <w:rFonts w:ascii="Arial" w:eastAsia="Times New Roman" w:hAnsi="Arial" w:cs="Arial"/>
              </w:rPr>
            </w:pPr>
            <w:r w:rsidRPr="00C03FCA">
              <w:rPr>
                <w:rFonts w:ascii="Arial" w:eastAsia="Times New Roman" w:hAnsi="Arial" w:cs="Arial"/>
                <w:color w:val="231F20"/>
              </w:rPr>
              <w:t>coloured, pearly or pink, dome-shaped or umbilicated growths, may be inflamed or red; facial, more than 5% body area or disfiguring. Giant molluscum may indicate advanced immunodeficiency</w:t>
            </w:r>
          </w:p>
        </w:tc>
        <w:tc>
          <w:tcPr>
            <w:tcW w:w="3186"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Clinical diagnosis</w:t>
            </w:r>
          </w:p>
        </w:tc>
      </w:tr>
      <w:tr w:rsidR="00FF2CD0" w:rsidRPr="00C03FCA" w:rsidTr="00FF2CD0">
        <w:trPr>
          <w:trHeight w:hRule="exact" w:val="813"/>
        </w:trPr>
        <w:tc>
          <w:tcPr>
            <w:tcW w:w="235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Recurrent oral</w:t>
            </w:r>
          </w:p>
          <w:p w:rsidR="00FF2CD0" w:rsidRPr="00C03FCA" w:rsidRDefault="00FF2CD0" w:rsidP="00FF2CD0">
            <w:pPr>
              <w:spacing w:before="3" w:after="0" w:line="242" w:lineRule="auto"/>
              <w:ind w:left="52" w:right="471"/>
              <w:rPr>
                <w:rFonts w:ascii="Arial" w:eastAsia="Times New Roman" w:hAnsi="Arial" w:cs="Arial"/>
              </w:rPr>
            </w:pPr>
            <w:r w:rsidRPr="00C03FCA">
              <w:rPr>
                <w:rFonts w:ascii="Arial" w:eastAsia="Times New Roman" w:hAnsi="Arial" w:cs="Arial"/>
                <w:color w:val="231F20"/>
              </w:rPr>
              <w:t>ulcerations (two or more in six months)</w:t>
            </w:r>
          </w:p>
        </w:tc>
        <w:tc>
          <w:tcPr>
            <w:tcW w:w="442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Aphthous ulceration, typical with a halo or inflammation&amp; yellow-grey pseudo membrane.</w:t>
            </w:r>
          </w:p>
        </w:tc>
        <w:tc>
          <w:tcPr>
            <w:tcW w:w="3186"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Clinical diagnosis</w:t>
            </w:r>
          </w:p>
        </w:tc>
      </w:tr>
      <w:tr w:rsidR="00FF2CD0" w:rsidRPr="00C03FCA" w:rsidTr="00FF2CD0">
        <w:trPr>
          <w:trHeight w:hRule="exact" w:val="907"/>
        </w:trPr>
        <w:tc>
          <w:tcPr>
            <w:tcW w:w="235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Unexplained parotid</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enla</w:t>
            </w:r>
            <w:r w:rsidRPr="00C03FCA">
              <w:rPr>
                <w:rFonts w:ascii="Arial" w:eastAsia="Times New Roman" w:hAnsi="Arial" w:cs="Arial"/>
                <w:color w:val="231F20"/>
                <w:spacing w:val="-4"/>
              </w:rPr>
              <w:t>r</w:t>
            </w:r>
            <w:r w:rsidRPr="00C03FCA">
              <w:rPr>
                <w:rFonts w:ascii="Arial" w:eastAsia="Times New Roman" w:hAnsi="Arial" w:cs="Arial"/>
                <w:color w:val="231F20"/>
              </w:rPr>
              <w:t>gement</w:t>
            </w:r>
          </w:p>
        </w:tc>
        <w:tc>
          <w:tcPr>
            <w:tcW w:w="442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Asymptomatic bilateral swelling that may spontaneously resolve and recu</w:t>
            </w:r>
            <w:r w:rsidRPr="00C03FCA">
              <w:rPr>
                <w:rFonts w:ascii="Arial" w:eastAsia="Times New Roman" w:hAnsi="Arial" w:cs="Arial"/>
                <w:color w:val="231F20"/>
                <w:spacing w:val="-9"/>
              </w:rPr>
              <w:t>r</w:t>
            </w:r>
            <w:r w:rsidRPr="00C03FCA">
              <w:rPr>
                <w:rFonts w:ascii="Arial" w:eastAsia="Times New Roman" w:hAnsi="Arial" w:cs="Arial"/>
                <w:color w:val="231F20"/>
              </w:rPr>
              <w:t>, in absence of other known cause, usually painless.</w:t>
            </w:r>
          </w:p>
        </w:tc>
        <w:tc>
          <w:tcPr>
            <w:tcW w:w="3186"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Clinical diagnosis</w:t>
            </w:r>
          </w:p>
        </w:tc>
      </w:tr>
      <w:tr w:rsidR="00FF2CD0" w:rsidRPr="00C03FCA" w:rsidTr="00FF2CD0">
        <w:trPr>
          <w:trHeight w:hRule="exact" w:val="1077"/>
        </w:trPr>
        <w:tc>
          <w:tcPr>
            <w:tcW w:w="235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Herpes zoster</w:t>
            </w:r>
          </w:p>
        </w:tc>
        <w:tc>
          <w:tcPr>
            <w:tcW w:w="442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1074"/>
              <w:jc w:val="both"/>
              <w:rPr>
                <w:rFonts w:ascii="Arial" w:eastAsia="Times New Roman" w:hAnsi="Arial" w:cs="Arial"/>
                <w:color w:val="231F20"/>
              </w:rPr>
            </w:pPr>
            <w:r w:rsidRPr="00C03FCA">
              <w:rPr>
                <w:rFonts w:ascii="Arial" w:eastAsia="Times New Roman" w:hAnsi="Arial" w:cs="Arial"/>
                <w:color w:val="231F20"/>
              </w:rPr>
              <w:t>Painful rash with fluid-filled blisters,</w:t>
            </w:r>
          </w:p>
          <w:p w:rsidR="00FF2CD0" w:rsidRPr="00C03FCA" w:rsidRDefault="00FF2CD0" w:rsidP="00FF2CD0">
            <w:pPr>
              <w:spacing w:before="3" w:after="0" w:line="242" w:lineRule="auto"/>
              <w:ind w:left="52" w:right="142"/>
              <w:jc w:val="both"/>
              <w:rPr>
                <w:rFonts w:ascii="Arial" w:eastAsia="Times New Roman" w:hAnsi="Arial" w:cs="Arial"/>
              </w:rPr>
            </w:pPr>
            <w:r w:rsidRPr="00C03FCA">
              <w:rPr>
                <w:rFonts w:ascii="Arial" w:eastAsia="Times New Roman" w:hAnsi="Arial" w:cs="Arial"/>
                <w:color w:val="231F20"/>
              </w:rPr>
              <w:t>dermatomal distribution, can be haemorrahagic on cythematous background, and become la</w:t>
            </w:r>
            <w:r w:rsidRPr="00C03FCA">
              <w:rPr>
                <w:rFonts w:ascii="Arial" w:eastAsia="Times New Roman" w:hAnsi="Arial" w:cs="Arial"/>
                <w:color w:val="231F20"/>
                <w:spacing w:val="-4"/>
              </w:rPr>
              <w:t>r</w:t>
            </w:r>
            <w:r w:rsidRPr="00C03FCA">
              <w:rPr>
                <w:rFonts w:ascii="Arial" w:eastAsia="Times New Roman" w:hAnsi="Arial" w:cs="Arial"/>
                <w:color w:val="231F20"/>
              </w:rPr>
              <w:t>ge and confluent. Does not cross the midlines.</w:t>
            </w:r>
          </w:p>
        </w:tc>
        <w:tc>
          <w:tcPr>
            <w:tcW w:w="3186"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Clinical diagnosis</w:t>
            </w:r>
          </w:p>
        </w:tc>
      </w:tr>
      <w:tr w:rsidR="00FF2CD0" w:rsidRPr="00C03FCA" w:rsidTr="00FF2CD0">
        <w:trPr>
          <w:trHeight w:hRule="exact" w:val="2497"/>
        </w:trPr>
        <w:tc>
          <w:tcPr>
            <w:tcW w:w="235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Recurrent upper</w:t>
            </w:r>
          </w:p>
          <w:p w:rsidR="00FF2CD0" w:rsidRPr="00C03FCA" w:rsidRDefault="00FF2CD0" w:rsidP="00FF2CD0">
            <w:pPr>
              <w:spacing w:before="3" w:after="0" w:line="242" w:lineRule="auto"/>
              <w:ind w:left="52" w:right="754"/>
              <w:rPr>
                <w:rFonts w:ascii="Arial" w:eastAsia="Times New Roman" w:hAnsi="Arial" w:cs="Arial"/>
              </w:rPr>
            </w:pPr>
            <w:r w:rsidRPr="00C03FCA">
              <w:rPr>
                <w:rFonts w:ascii="Arial" w:eastAsia="Times New Roman" w:hAnsi="Arial" w:cs="Arial"/>
                <w:color w:val="231F20"/>
              </w:rPr>
              <w:t>respiratory tract infection (U</w:t>
            </w:r>
            <w:r w:rsidRPr="00C03FCA">
              <w:rPr>
                <w:rFonts w:ascii="Arial" w:eastAsia="Times New Roman" w:hAnsi="Arial" w:cs="Arial"/>
                <w:color w:val="231F20"/>
                <w:spacing w:val="-13"/>
              </w:rPr>
              <w:t>R</w:t>
            </w:r>
            <w:r w:rsidRPr="00C03FCA">
              <w:rPr>
                <w:rFonts w:ascii="Arial" w:eastAsia="Times New Roman" w:hAnsi="Arial" w:cs="Arial"/>
                <w:color w:val="231F20"/>
              </w:rPr>
              <w:t>TI)</w:t>
            </w:r>
          </w:p>
        </w:tc>
        <w:tc>
          <w:tcPr>
            <w:tcW w:w="442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Current event with at least one episode in</w:t>
            </w:r>
          </w:p>
          <w:p w:rsidR="00FF2CD0" w:rsidRPr="00C03FCA" w:rsidRDefault="00FF2CD0" w:rsidP="00FF2CD0">
            <w:pPr>
              <w:spacing w:before="3" w:after="0" w:line="242" w:lineRule="auto"/>
              <w:ind w:left="52" w:right="376"/>
              <w:rPr>
                <w:rFonts w:ascii="Arial" w:eastAsia="Times New Roman" w:hAnsi="Arial" w:cs="Arial"/>
              </w:rPr>
            </w:pPr>
            <w:r w:rsidRPr="00C03FCA">
              <w:rPr>
                <w:rFonts w:ascii="Arial" w:eastAsia="Times New Roman" w:hAnsi="Arial" w:cs="Arial"/>
                <w:color w:val="231F20"/>
              </w:rPr>
              <w:t>past 6 months. Symptom complex; fever with unilateral face pain and nasal discha</w:t>
            </w:r>
            <w:r w:rsidRPr="00C03FCA">
              <w:rPr>
                <w:rFonts w:ascii="Arial" w:eastAsia="Times New Roman" w:hAnsi="Arial" w:cs="Arial"/>
                <w:color w:val="231F20"/>
                <w:spacing w:val="-5"/>
              </w:rPr>
              <w:t>r</w:t>
            </w:r>
            <w:r w:rsidRPr="00C03FCA">
              <w:rPr>
                <w:rFonts w:ascii="Arial" w:eastAsia="Times New Roman" w:hAnsi="Arial" w:cs="Arial"/>
                <w:color w:val="231F20"/>
              </w:rPr>
              <w:t>ge (sinusitis) or painful swollen cardrum (otitis media), sore throat with productive cough (bronchitis), sore throat, (pharyngitis), and barking croup like cough (Laryngo</w:t>
            </w:r>
            <w:r w:rsidR="002E6842">
              <w:rPr>
                <w:rFonts w:ascii="Arial" w:eastAsia="Times New Roman" w:hAnsi="Arial" w:cs="Arial"/>
                <w:color w:val="231F20"/>
              </w:rPr>
              <w:t>-</w:t>
            </w:r>
            <w:r w:rsidRPr="00C03FCA">
              <w:rPr>
                <w:rFonts w:ascii="Arial" w:eastAsia="Times New Roman" w:hAnsi="Arial" w:cs="Arial"/>
                <w:color w:val="231F20"/>
              </w:rPr>
              <w:t>tracheal bronchitis [</w:t>
            </w:r>
            <w:r w:rsidRPr="00C03FCA">
              <w:rPr>
                <w:rFonts w:ascii="Arial" w:eastAsia="Times New Roman" w:hAnsi="Arial" w:cs="Arial"/>
                <w:color w:val="231F20"/>
                <w:spacing w:val="-20"/>
              </w:rPr>
              <w:t>L</w:t>
            </w:r>
            <w:r w:rsidRPr="00C03FCA">
              <w:rPr>
                <w:rFonts w:ascii="Arial" w:eastAsia="Times New Roman" w:hAnsi="Arial" w:cs="Arial"/>
                <w:color w:val="231F20"/>
              </w:rPr>
              <w:t>TB]). Persistent or recurrent ear discha</w:t>
            </w:r>
            <w:r w:rsidRPr="00C03FCA">
              <w:rPr>
                <w:rFonts w:ascii="Arial" w:eastAsia="Times New Roman" w:hAnsi="Arial" w:cs="Arial"/>
                <w:color w:val="231F20"/>
                <w:spacing w:val="-4"/>
              </w:rPr>
              <w:t>r</w:t>
            </w:r>
            <w:r w:rsidRPr="00C03FCA">
              <w:rPr>
                <w:rFonts w:ascii="Arial" w:eastAsia="Times New Roman" w:hAnsi="Arial" w:cs="Arial"/>
                <w:color w:val="231F20"/>
              </w:rPr>
              <w:t>ge.</w:t>
            </w:r>
          </w:p>
        </w:tc>
        <w:tc>
          <w:tcPr>
            <w:tcW w:w="3186"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00" w:lineRule="exact"/>
              <w:rPr>
                <w:rFonts w:ascii="Arial" w:hAnsi="Arial" w:cs="Arial"/>
              </w:rPr>
            </w:pPr>
          </w:p>
          <w:p w:rsidR="00FF2CD0" w:rsidRPr="00C03FCA" w:rsidRDefault="00FF2CD0" w:rsidP="00FF2CD0">
            <w:pPr>
              <w:spacing w:before="15" w:after="0" w:line="240" w:lineRule="exact"/>
              <w:rPr>
                <w:rFonts w:ascii="Arial" w:hAnsi="Arial" w:cs="Arial"/>
              </w:rPr>
            </w:pPr>
          </w:p>
          <w:p w:rsidR="00FF2CD0" w:rsidRPr="00C03FCA" w:rsidRDefault="00FF2CD0" w:rsidP="00FF2CD0">
            <w:pPr>
              <w:spacing w:after="0" w:line="240" w:lineRule="auto"/>
              <w:ind w:left="52" w:right="-20"/>
              <w:rPr>
                <w:rFonts w:ascii="Arial" w:eastAsia="Times New Roman" w:hAnsi="Arial" w:cs="Arial"/>
              </w:rPr>
            </w:pPr>
            <w:r w:rsidRPr="00C03FCA">
              <w:rPr>
                <w:rFonts w:ascii="Arial" w:eastAsia="Times New Roman" w:hAnsi="Arial" w:cs="Arial"/>
                <w:color w:val="231F20"/>
              </w:rPr>
              <w:t>Clinical diagnosis</w:t>
            </w:r>
          </w:p>
        </w:tc>
      </w:tr>
    </w:tbl>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p w:rsidR="00FF2CD0" w:rsidRPr="00C203F3" w:rsidRDefault="00FF2CD0" w:rsidP="00FF2CD0">
      <w:pPr>
        <w:rPr>
          <w:rFonts w:ascii="Arial Narrow" w:hAnsi="Arial Narrow"/>
          <w:sz w:val="24"/>
          <w:szCs w:val="24"/>
        </w:rPr>
      </w:pPr>
    </w:p>
    <w:tbl>
      <w:tblPr>
        <w:tblW w:w="0" w:type="auto"/>
        <w:jc w:val="center"/>
        <w:tblInd w:w="114" w:type="dxa"/>
        <w:tblLayout w:type="fixed"/>
        <w:tblCellMar>
          <w:left w:w="0" w:type="dxa"/>
          <w:right w:w="0" w:type="dxa"/>
        </w:tblCellMar>
        <w:tblLook w:val="01E0" w:firstRow="1" w:lastRow="1" w:firstColumn="1" w:lastColumn="1" w:noHBand="0" w:noVBand="0"/>
      </w:tblPr>
      <w:tblGrid>
        <w:gridCol w:w="2447"/>
        <w:gridCol w:w="4332"/>
        <w:gridCol w:w="3334"/>
      </w:tblGrid>
      <w:tr w:rsidR="00FF2CD0" w:rsidRPr="00C03FCA" w:rsidTr="00FF2CD0">
        <w:trPr>
          <w:trHeight w:hRule="exact" w:val="262"/>
          <w:jc w:val="center"/>
        </w:trPr>
        <w:tc>
          <w:tcPr>
            <w:tcW w:w="10113" w:type="dxa"/>
            <w:gridSpan w:val="3"/>
            <w:tcBorders>
              <w:top w:val="single" w:sz="4" w:space="0" w:color="231F20"/>
              <w:left w:val="single" w:sz="4" w:space="0" w:color="231F20"/>
              <w:bottom w:val="single" w:sz="4" w:space="0" w:color="231F20"/>
              <w:right w:val="single" w:sz="4" w:space="0" w:color="231F20"/>
            </w:tcBorders>
            <w:shd w:val="clear" w:color="auto" w:fill="00AEEF"/>
          </w:tcPr>
          <w:p w:rsidR="00FF2CD0" w:rsidRPr="00C03FCA" w:rsidRDefault="00FF2CD0" w:rsidP="00FF2CD0">
            <w:pPr>
              <w:spacing w:after="0" w:line="248" w:lineRule="exact"/>
              <w:ind w:left="52" w:right="-20"/>
              <w:rPr>
                <w:rFonts w:ascii="Arial" w:eastAsia="Times New Roman" w:hAnsi="Arial" w:cs="Arial"/>
              </w:rPr>
            </w:pPr>
            <w:r w:rsidRPr="00C03FCA">
              <w:rPr>
                <w:rFonts w:ascii="Arial" w:eastAsia="Times New Roman" w:hAnsi="Arial" w:cs="Arial"/>
                <w:b/>
                <w:bCs/>
                <w:color w:val="FFFFFF"/>
              </w:rPr>
              <w:t>Clinical stage 3</w:t>
            </w:r>
          </w:p>
        </w:tc>
      </w:tr>
      <w:tr w:rsidR="00FF2CD0" w:rsidRPr="00C03FCA" w:rsidTr="00FF2CD0">
        <w:trPr>
          <w:trHeight w:hRule="exact" w:val="1603"/>
          <w:jc w:val="center"/>
        </w:trPr>
        <w:tc>
          <w:tcPr>
            <w:tcW w:w="244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Unexplained moderate</w:t>
            </w:r>
          </w:p>
          <w:p w:rsidR="00FF2CD0" w:rsidRPr="00C03FCA" w:rsidRDefault="00FF2CD0" w:rsidP="00FF2CD0">
            <w:pPr>
              <w:spacing w:before="3" w:after="0" w:line="200" w:lineRule="exact"/>
              <w:rPr>
                <w:rFonts w:ascii="Arial" w:hAnsi="Arial" w:cs="Arial"/>
              </w:rPr>
            </w:pPr>
          </w:p>
          <w:p w:rsidR="00FF2CD0" w:rsidRPr="00C03FCA" w:rsidRDefault="00FF2CD0" w:rsidP="00FF2CD0">
            <w:pPr>
              <w:spacing w:after="0" w:line="240" w:lineRule="auto"/>
              <w:ind w:left="52" w:right="-20"/>
              <w:rPr>
                <w:rFonts w:ascii="Arial" w:eastAsia="Times New Roman" w:hAnsi="Arial" w:cs="Arial"/>
              </w:rPr>
            </w:pPr>
            <w:r w:rsidRPr="00C03FCA">
              <w:rPr>
                <w:rFonts w:ascii="Arial" w:eastAsia="Times New Roman" w:hAnsi="Arial" w:cs="Arial"/>
                <w:color w:val="231F20"/>
              </w:rPr>
              <w:t>malnutrition</w:t>
            </w:r>
          </w:p>
        </w:tc>
        <w:tc>
          <w:tcPr>
            <w:tcW w:w="433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spacing w:val="-18"/>
              </w:rPr>
              <w:t>W</w:t>
            </w:r>
            <w:r w:rsidRPr="00C03FCA">
              <w:rPr>
                <w:rFonts w:ascii="Arial" w:eastAsia="Times New Roman" w:hAnsi="Arial" w:cs="Arial"/>
                <w:color w:val="231F20"/>
              </w:rPr>
              <w:t xml:space="preserve">eight loss: low </w:t>
            </w:r>
            <w:r w:rsidRPr="00C03FCA">
              <w:rPr>
                <w:rFonts w:ascii="Arial" w:eastAsia="Times New Roman" w:hAnsi="Arial" w:cs="Arial"/>
                <w:color w:val="231F20"/>
                <w:spacing w:val="-18"/>
              </w:rPr>
              <w:t>W</w:t>
            </w:r>
            <w:r w:rsidRPr="00C03FCA">
              <w:rPr>
                <w:rFonts w:ascii="Arial" w:eastAsia="Times New Roman" w:hAnsi="Arial" w:cs="Arial"/>
                <w:color w:val="231F20"/>
              </w:rPr>
              <w:t>eight-fo</w:t>
            </w:r>
            <w:r w:rsidRPr="00C03FCA">
              <w:rPr>
                <w:rFonts w:ascii="Arial" w:eastAsia="Times New Roman" w:hAnsi="Arial" w:cs="Arial"/>
                <w:color w:val="231F20"/>
                <w:spacing w:val="-5"/>
              </w:rPr>
              <w:t>r</w:t>
            </w:r>
            <w:r w:rsidRPr="00C03FCA">
              <w:rPr>
                <w:rFonts w:ascii="Arial" w:eastAsia="Times New Roman" w:hAnsi="Arial" w:cs="Arial"/>
                <w:color w:val="231F20"/>
              </w:rPr>
              <w:t>-age, up to -2standard deviations (SDs) not explained by poor or inadequate feeding and/or other infections, and not adequately responding to standard management.</w:t>
            </w:r>
          </w:p>
        </w:tc>
        <w:tc>
          <w:tcPr>
            <w:tcW w:w="333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Documented loss of body weight of –2SD,failure to gain weight on standard management and no other cause identified during investigation.</w:t>
            </w:r>
          </w:p>
        </w:tc>
      </w:tr>
      <w:tr w:rsidR="00FF2CD0" w:rsidRPr="00C03FCA" w:rsidTr="00FF2CD0">
        <w:trPr>
          <w:trHeight w:hRule="exact" w:val="1361"/>
          <w:jc w:val="center"/>
        </w:trPr>
        <w:tc>
          <w:tcPr>
            <w:tcW w:w="244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Unexplained diarrhea</w:t>
            </w:r>
          </w:p>
        </w:tc>
        <w:tc>
          <w:tcPr>
            <w:tcW w:w="433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Unexplained persistent (14days or more) diarrhea (loose or watery stool, three or more times daily), not responding to standard management.</w:t>
            </w:r>
          </w:p>
        </w:tc>
        <w:tc>
          <w:tcPr>
            <w:tcW w:w="333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Stools observed and documented as unformed. Culture and microscopy reveal no pathogens.</w:t>
            </w:r>
          </w:p>
        </w:tc>
      </w:tr>
      <w:tr w:rsidR="00FF2CD0" w:rsidRPr="00C03FCA" w:rsidTr="00FF2CD0">
        <w:trPr>
          <w:trHeight w:hRule="exact" w:val="1852"/>
          <w:jc w:val="center"/>
        </w:trPr>
        <w:tc>
          <w:tcPr>
            <w:tcW w:w="244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Unexplained persistent</w:t>
            </w:r>
          </w:p>
          <w:p w:rsidR="00FF2CD0" w:rsidRPr="00C03FCA" w:rsidRDefault="00FF2CD0" w:rsidP="00FF2CD0">
            <w:pPr>
              <w:spacing w:before="3" w:after="0" w:line="242" w:lineRule="auto"/>
              <w:ind w:left="52" w:right="544"/>
              <w:rPr>
                <w:rFonts w:ascii="Arial" w:eastAsia="Times New Roman" w:hAnsi="Arial" w:cs="Arial"/>
              </w:rPr>
            </w:pPr>
            <w:r w:rsidRPr="00C03FCA">
              <w:rPr>
                <w:rFonts w:ascii="Arial" w:eastAsia="Times New Roman" w:hAnsi="Arial" w:cs="Arial"/>
                <w:color w:val="231F20"/>
              </w:rPr>
              <w:t>fever (intermitted or constant, for longer than one month)</w:t>
            </w:r>
          </w:p>
        </w:tc>
        <w:tc>
          <w:tcPr>
            <w:tcW w:w="433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Reports of fever or night sweat for longer than one month, either intermittent or constant, with reported lack of response to antibiotics or antimalarials.</w:t>
            </w:r>
          </w:p>
          <w:p w:rsidR="00FF2CD0" w:rsidRPr="00C03FCA" w:rsidRDefault="00FF2CD0" w:rsidP="00FF2CD0">
            <w:pPr>
              <w:spacing w:after="0" w:line="242" w:lineRule="auto"/>
              <w:ind w:left="52" w:right="503"/>
              <w:rPr>
                <w:rFonts w:ascii="Arial" w:eastAsia="Times New Roman" w:hAnsi="Arial" w:cs="Arial"/>
              </w:rPr>
            </w:pPr>
            <w:r w:rsidRPr="00C03FCA">
              <w:rPr>
                <w:rFonts w:ascii="Arial" w:eastAsia="Times New Roman" w:hAnsi="Arial" w:cs="Arial"/>
                <w:color w:val="231F20"/>
              </w:rPr>
              <w:t>No other obvious foci of disease reported or found on examination. Malaria must be excluded in malarious areas.</w:t>
            </w:r>
          </w:p>
        </w:tc>
        <w:tc>
          <w:tcPr>
            <w:tcW w:w="333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372"/>
              <w:jc w:val="both"/>
              <w:rPr>
                <w:rFonts w:ascii="Arial" w:eastAsia="Times New Roman" w:hAnsi="Arial" w:cs="Arial"/>
              </w:rPr>
            </w:pPr>
            <w:r w:rsidRPr="00C03FCA">
              <w:rPr>
                <w:rFonts w:ascii="Arial" w:eastAsia="Times New Roman" w:hAnsi="Arial" w:cs="Arial"/>
                <w:color w:val="231F20"/>
              </w:rPr>
              <w:t>Documented fever of &gt; 37.5</w:t>
            </w:r>
            <w:r w:rsidRPr="00C03FCA">
              <w:rPr>
                <w:rFonts w:ascii="Arial" w:eastAsia="Times New Roman" w:hAnsi="Arial" w:cs="Arial"/>
                <w:color w:val="231F20"/>
                <w:position w:val="7"/>
              </w:rPr>
              <w:t>0</w:t>
            </w:r>
            <w:r w:rsidRPr="00C03FCA">
              <w:rPr>
                <w:rFonts w:ascii="Arial" w:eastAsia="Times New Roman" w:hAnsi="Arial" w:cs="Arial"/>
                <w:color w:val="231F20"/>
              </w:rPr>
              <w:t>C</w:t>
            </w:r>
          </w:p>
          <w:p w:rsidR="00FF2CD0" w:rsidRPr="00C03FCA" w:rsidRDefault="00FF2CD0" w:rsidP="00FF2CD0">
            <w:pPr>
              <w:spacing w:before="3" w:after="0" w:line="240" w:lineRule="auto"/>
              <w:ind w:left="52" w:right="1880"/>
              <w:jc w:val="both"/>
              <w:rPr>
                <w:rFonts w:ascii="Arial" w:eastAsia="Times New Roman" w:hAnsi="Arial" w:cs="Arial"/>
              </w:rPr>
            </w:pPr>
            <w:r w:rsidRPr="00C03FCA">
              <w:rPr>
                <w:rFonts w:ascii="Arial" w:eastAsia="Times New Roman" w:hAnsi="Arial" w:cs="Arial"/>
                <w:color w:val="231F20"/>
              </w:rPr>
              <w:t>with negative</w:t>
            </w:r>
          </w:p>
          <w:p w:rsidR="00FF2CD0" w:rsidRPr="00C03FCA" w:rsidRDefault="00FF2CD0" w:rsidP="00FF2CD0">
            <w:pPr>
              <w:spacing w:before="3" w:after="0" w:line="242" w:lineRule="auto"/>
              <w:ind w:left="52" w:right="292"/>
              <w:jc w:val="both"/>
              <w:rPr>
                <w:rFonts w:ascii="Arial" w:eastAsia="Times New Roman" w:hAnsi="Arial" w:cs="Arial"/>
              </w:rPr>
            </w:pPr>
            <w:r w:rsidRPr="00C03FCA">
              <w:rPr>
                <w:rFonts w:ascii="Arial" w:eastAsia="Times New Roman" w:hAnsi="Arial" w:cs="Arial"/>
                <w:color w:val="231F20"/>
              </w:rPr>
              <w:t>blood culture, negative malaria slide and normal or unchanged CXR, and other obvious foci of disease</w:t>
            </w:r>
          </w:p>
        </w:tc>
      </w:tr>
      <w:tr w:rsidR="00FF2CD0" w:rsidRPr="00C03FCA" w:rsidTr="00FF2CD0">
        <w:trPr>
          <w:trHeight w:hRule="exact" w:val="1290"/>
          <w:jc w:val="center"/>
        </w:trPr>
        <w:tc>
          <w:tcPr>
            <w:tcW w:w="244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Oral candidiasis (outside</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first6 weeks of life)</w:t>
            </w:r>
          </w:p>
        </w:tc>
        <w:tc>
          <w:tcPr>
            <w:tcW w:w="433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Persistent or recurring creamy white, soft, soft small plaques which can be scrapped o</w:t>
            </w:r>
            <w:r w:rsidRPr="00C03FCA">
              <w:rPr>
                <w:rFonts w:ascii="Arial" w:eastAsia="Times New Roman" w:hAnsi="Arial" w:cs="Arial"/>
                <w:color w:val="231F20"/>
                <w:spacing w:val="-4"/>
              </w:rPr>
              <w:t>f</w:t>
            </w:r>
            <w:r w:rsidRPr="00C03FCA">
              <w:rPr>
                <w:rFonts w:ascii="Arial" w:eastAsia="Times New Roman" w:hAnsi="Arial" w:cs="Arial"/>
                <w:color w:val="231F20"/>
              </w:rPr>
              <w:t>f (psedomembranous), or red patches on tongue, palate or lining of mouth, usually painful or tender (erythematous form).</w:t>
            </w:r>
          </w:p>
        </w:tc>
        <w:tc>
          <w:tcPr>
            <w:tcW w:w="333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Microscopy or Culture</w:t>
            </w:r>
          </w:p>
        </w:tc>
      </w:tr>
      <w:tr w:rsidR="00FF2CD0" w:rsidRPr="00C03FCA" w:rsidTr="00FF2CD0">
        <w:trPr>
          <w:trHeight w:hRule="exact" w:val="778"/>
          <w:jc w:val="center"/>
        </w:trPr>
        <w:tc>
          <w:tcPr>
            <w:tcW w:w="244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Oral hairy leukoplakia</w:t>
            </w:r>
          </w:p>
        </w:tc>
        <w:tc>
          <w:tcPr>
            <w:tcW w:w="433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Fine small, linear patches on lateral borders of tongue, generally bilateral, which do not scrape o</w:t>
            </w:r>
            <w:r w:rsidRPr="00C03FCA">
              <w:rPr>
                <w:rFonts w:ascii="Arial" w:eastAsia="Times New Roman" w:hAnsi="Arial" w:cs="Arial"/>
                <w:color w:val="231F20"/>
                <w:spacing w:val="-4"/>
              </w:rPr>
              <w:t>f</w:t>
            </w:r>
            <w:r w:rsidRPr="00C03FCA">
              <w:rPr>
                <w:rFonts w:ascii="Arial" w:eastAsia="Times New Roman" w:hAnsi="Arial" w:cs="Arial"/>
                <w:color w:val="231F20"/>
              </w:rPr>
              <w:t>f.</w:t>
            </w:r>
          </w:p>
        </w:tc>
        <w:tc>
          <w:tcPr>
            <w:tcW w:w="333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Clinical diagnosis</w:t>
            </w:r>
          </w:p>
        </w:tc>
      </w:tr>
    </w:tbl>
    <w:tbl>
      <w:tblPr>
        <w:tblpPr w:leftFromText="180" w:rightFromText="180" w:vertAnchor="text" w:horzAnchor="margin" w:tblpXSpec="center" w:tblpY="551"/>
        <w:tblW w:w="0" w:type="auto"/>
        <w:tblLayout w:type="fixed"/>
        <w:tblCellMar>
          <w:left w:w="0" w:type="dxa"/>
          <w:right w:w="0" w:type="dxa"/>
        </w:tblCellMar>
        <w:tblLook w:val="01E0" w:firstRow="1" w:lastRow="1" w:firstColumn="1" w:lastColumn="1" w:noHBand="0" w:noVBand="0"/>
      </w:tblPr>
      <w:tblGrid>
        <w:gridCol w:w="2447"/>
        <w:gridCol w:w="4332"/>
        <w:gridCol w:w="3186"/>
      </w:tblGrid>
      <w:tr w:rsidR="00FF2CD0" w:rsidRPr="00C03FCA" w:rsidTr="00FF2CD0">
        <w:trPr>
          <w:trHeight w:hRule="exact" w:val="1110"/>
        </w:trPr>
        <w:tc>
          <w:tcPr>
            <w:tcW w:w="244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spacing w:val="-12"/>
              </w:rPr>
              <w:t>L</w:t>
            </w:r>
            <w:r w:rsidRPr="00C03FCA">
              <w:rPr>
                <w:rFonts w:ascii="Arial" w:eastAsia="Times New Roman" w:hAnsi="Arial" w:cs="Arial"/>
                <w:color w:val="231F20"/>
              </w:rPr>
              <w:t>ymph node TB</w:t>
            </w:r>
          </w:p>
        </w:tc>
        <w:tc>
          <w:tcPr>
            <w:tcW w:w="433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Non-acute, painless, “cold” enla</w:t>
            </w:r>
            <w:r w:rsidRPr="00C03FCA">
              <w:rPr>
                <w:rFonts w:ascii="Arial" w:eastAsia="Times New Roman" w:hAnsi="Arial" w:cs="Arial"/>
                <w:color w:val="231F20"/>
                <w:spacing w:val="-4"/>
              </w:rPr>
              <w:t>r</w:t>
            </w:r>
            <w:r w:rsidRPr="00C03FCA">
              <w:rPr>
                <w:rFonts w:ascii="Arial" w:eastAsia="Times New Roman" w:hAnsi="Arial" w:cs="Arial"/>
                <w:color w:val="231F20"/>
              </w:rPr>
              <w:t>gement of</w:t>
            </w:r>
          </w:p>
          <w:p w:rsidR="00FF2CD0" w:rsidRPr="00C03FCA" w:rsidRDefault="00FF2CD0" w:rsidP="00FF2CD0">
            <w:pPr>
              <w:spacing w:before="3" w:after="0" w:line="242" w:lineRule="auto"/>
              <w:ind w:left="52" w:right="8"/>
              <w:rPr>
                <w:rFonts w:ascii="Arial" w:eastAsia="Times New Roman" w:hAnsi="Arial" w:cs="Arial"/>
              </w:rPr>
            </w:pPr>
            <w:r w:rsidRPr="00C03FCA">
              <w:rPr>
                <w:rFonts w:ascii="Arial" w:eastAsia="Times New Roman" w:hAnsi="Arial" w:cs="Arial"/>
                <w:color w:val="231F20"/>
              </w:rPr>
              <w:t>lymph nodes usually matted, localized in one region. May have draining sinuses. Response to standard anti-TB treatment in one month</w:t>
            </w:r>
          </w:p>
        </w:tc>
        <w:tc>
          <w:tcPr>
            <w:tcW w:w="3186"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Histology or isolation of M.</w:t>
            </w:r>
          </w:p>
          <w:p w:rsidR="00FF2CD0" w:rsidRPr="00C03FCA" w:rsidRDefault="00FF2CD0" w:rsidP="00FF2CD0">
            <w:pPr>
              <w:spacing w:before="3" w:after="0" w:line="242" w:lineRule="auto"/>
              <w:ind w:left="52" w:right="506"/>
              <w:rPr>
                <w:rFonts w:ascii="Arial" w:eastAsia="Times New Roman" w:hAnsi="Arial" w:cs="Arial"/>
              </w:rPr>
            </w:pPr>
            <w:r w:rsidRPr="00C03FCA">
              <w:rPr>
                <w:rFonts w:ascii="Arial" w:eastAsia="Times New Roman" w:hAnsi="Arial" w:cs="Arial"/>
                <w:color w:val="231F20"/>
              </w:rPr>
              <w:t>tuberculosis from fine needle aspirate</w:t>
            </w:r>
          </w:p>
        </w:tc>
      </w:tr>
      <w:tr w:rsidR="00FF2CD0" w:rsidRPr="00C03FCA" w:rsidTr="00FF2CD0">
        <w:trPr>
          <w:trHeight w:hRule="exact" w:val="1034"/>
        </w:trPr>
        <w:tc>
          <w:tcPr>
            <w:tcW w:w="244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Pulmonary TB</w:t>
            </w:r>
          </w:p>
        </w:tc>
        <w:tc>
          <w:tcPr>
            <w:tcW w:w="433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w w:val="98"/>
              </w:rPr>
              <w:t xml:space="preserve">Non-specific </w:t>
            </w:r>
            <w:r w:rsidRPr="00C03FCA">
              <w:rPr>
                <w:rFonts w:ascii="Arial" w:eastAsia="Times New Roman" w:hAnsi="Arial" w:cs="Arial"/>
                <w:color w:val="231F20"/>
              </w:rPr>
              <w:t>symptoms, e.g. chronic cough, fever night sweats, anorexial and weight loss. In older child, productive cough and haemoptysis as well. Abnormal CXR.</w:t>
            </w:r>
          </w:p>
        </w:tc>
        <w:tc>
          <w:tcPr>
            <w:tcW w:w="3186"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Isolation of M. tuberculosis on</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sputum culture</w:t>
            </w:r>
          </w:p>
        </w:tc>
      </w:tr>
      <w:tr w:rsidR="00FF2CD0" w:rsidRPr="00C03FCA" w:rsidTr="00FF2CD0">
        <w:trPr>
          <w:trHeight w:hRule="exact" w:val="1328"/>
        </w:trPr>
        <w:tc>
          <w:tcPr>
            <w:tcW w:w="244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Severe recurrent</w:t>
            </w:r>
          </w:p>
          <w:p w:rsidR="00FF2CD0" w:rsidRPr="00C03FCA" w:rsidRDefault="00FF2CD0" w:rsidP="00FF2CD0">
            <w:pPr>
              <w:spacing w:before="3" w:after="0" w:line="242" w:lineRule="auto"/>
              <w:ind w:left="52" w:right="660"/>
              <w:rPr>
                <w:rFonts w:ascii="Arial" w:eastAsia="Times New Roman" w:hAnsi="Arial" w:cs="Arial"/>
              </w:rPr>
            </w:pPr>
            <w:r w:rsidRPr="00C03FCA">
              <w:rPr>
                <w:rFonts w:ascii="Arial" w:eastAsia="Times New Roman" w:hAnsi="Arial" w:cs="Arial"/>
                <w:color w:val="231F20"/>
              </w:rPr>
              <w:t>presumed bacterial pneumonia</w:t>
            </w:r>
          </w:p>
        </w:tc>
        <w:tc>
          <w:tcPr>
            <w:tcW w:w="433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Cough with fast breathing, chest drawing, nasal flaring, wheezing, and grunting. Crackles or consolidation on auscultation. Responds to course of antibiotics. Current episode plus one or more in previous 6 months.</w:t>
            </w:r>
          </w:p>
        </w:tc>
        <w:tc>
          <w:tcPr>
            <w:tcW w:w="3186"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Isolation of bacteria from appropriate clinical specimens (induced sputum, branchoalveolar lavage [BAL], lung aspirate).</w:t>
            </w:r>
          </w:p>
        </w:tc>
      </w:tr>
      <w:tr w:rsidR="00FF2CD0" w:rsidRPr="00C03FCA" w:rsidTr="00FF2CD0">
        <w:trPr>
          <w:trHeight w:hRule="exact" w:val="1313"/>
        </w:trPr>
        <w:tc>
          <w:tcPr>
            <w:tcW w:w="244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762"/>
              <w:jc w:val="both"/>
              <w:rPr>
                <w:rFonts w:ascii="Arial" w:eastAsia="Times New Roman" w:hAnsi="Arial" w:cs="Arial"/>
              </w:rPr>
            </w:pPr>
            <w:r w:rsidRPr="00C03FCA">
              <w:rPr>
                <w:rFonts w:ascii="Arial" w:eastAsia="Times New Roman" w:hAnsi="Arial" w:cs="Arial"/>
                <w:color w:val="231F20"/>
              </w:rPr>
              <w:t>Acute necrotizing</w:t>
            </w:r>
          </w:p>
          <w:p w:rsidR="00FF2CD0" w:rsidRPr="00C03FCA" w:rsidRDefault="00FF2CD0" w:rsidP="00FF2CD0">
            <w:pPr>
              <w:spacing w:before="3" w:after="0" w:line="240" w:lineRule="auto"/>
              <w:ind w:left="52" w:right="579"/>
              <w:jc w:val="both"/>
              <w:rPr>
                <w:rFonts w:ascii="Arial" w:eastAsia="Times New Roman" w:hAnsi="Arial" w:cs="Arial"/>
              </w:rPr>
            </w:pPr>
            <w:r w:rsidRPr="00C03FCA">
              <w:rPr>
                <w:rFonts w:ascii="Arial" w:eastAsia="Times New Roman" w:hAnsi="Arial" w:cs="Arial"/>
                <w:color w:val="231F20"/>
              </w:rPr>
              <w:t>ulcerative gingivitis</w:t>
            </w:r>
          </w:p>
          <w:p w:rsidR="00FF2CD0" w:rsidRPr="00C03FCA" w:rsidRDefault="00FF2CD0" w:rsidP="00FF2CD0">
            <w:pPr>
              <w:spacing w:before="3" w:after="0" w:line="242" w:lineRule="auto"/>
              <w:ind w:left="52" w:right="415"/>
              <w:jc w:val="both"/>
              <w:rPr>
                <w:rFonts w:ascii="Arial" w:eastAsia="Times New Roman" w:hAnsi="Arial" w:cs="Arial"/>
              </w:rPr>
            </w:pPr>
            <w:r w:rsidRPr="00C03FCA">
              <w:rPr>
                <w:rFonts w:ascii="Arial" w:eastAsia="Times New Roman" w:hAnsi="Arial" w:cs="Arial"/>
                <w:color w:val="231F20"/>
              </w:rPr>
              <w:t>or stomatitis, or acute necrotizing ulcerative periodonititis</w:t>
            </w:r>
          </w:p>
        </w:tc>
        <w:tc>
          <w:tcPr>
            <w:tcW w:w="433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Severe pain, ulcerated gingival papillae, sening of teeth, spontaneous bleeding, bad odou</w:t>
            </w:r>
            <w:r w:rsidRPr="00C03FCA">
              <w:rPr>
                <w:rFonts w:ascii="Arial" w:eastAsia="Times New Roman" w:hAnsi="Arial" w:cs="Arial"/>
                <w:color w:val="231F20"/>
                <w:spacing w:val="-9"/>
              </w:rPr>
              <w:t>r</w:t>
            </w:r>
            <w:r w:rsidRPr="00C03FCA">
              <w:rPr>
                <w:rFonts w:ascii="Arial" w:eastAsia="Times New Roman" w:hAnsi="Arial" w:cs="Arial"/>
                <w:color w:val="231F20"/>
              </w:rPr>
              <w:t>, and rapid loss of bone and/or soft tissue.</w:t>
            </w:r>
          </w:p>
        </w:tc>
        <w:tc>
          <w:tcPr>
            <w:tcW w:w="3186"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Clinical diagnosis</w:t>
            </w:r>
          </w:p>
        </w:tc>
      </w:tr>
      <w:tr w:rsidR="00FF2CD0" w:rsidRPr="00C03FCA" w:rsidTr="00FF2CD0">
        <w:trPr>
          <w:trHeight w:hRule="exact" w:val="2648"/>
        </w:trPr>
        <w:tc>
          <w:tcPr>
            <w:tcW w:w="244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Symptomatic lymphoid</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interstitial pneumonitis</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[LIP]</w:t>
            </w:r>
          </w:p>
        </w:tc>
        <w:tc>
          <w:tcPr>
            <w:tcW w:w="433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No presumptive clinical diagnosis.</w:t>
            </w:r>
          </w:p>
        </w:tc>
        <w:tc>
          <w:tcPr>
            <w:tcW w:w="3186"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CXR: bilateral reticulonodular interstitial pulmonary infiltrates present for more than two months with no response to antibiotic treatment and no other pathogen found. Oxygen saturation persistently &lt;90%. May present with cor pulmonale and may have increased exercise-induced fatigue. Characteristic histolog</w:t>
            </w:r>
            <w:r w:rsidRPr="00C03FCA">
              <w:rPr>
                <w:rFonts w:ascii="Arial" w:eastAsia="Times New Roman" w:hAnsi="Arial" w:cs="Arial"/>
                <w:color w:val="231F20"/>
                <w:spacing w:val="-15"/>
              </w:rPr>
              <w:t>y</w:t>
            </w:r>
            <w:r w:rsidRPr="00C03FCA">
              <w:rPr>
                <w:rFonts w:ascii="Arial" w:eastAsia="Times New Roman" w:hAnsi="Arial" w:cs="Arial"/>
                <w:color w:val="231F20"/>
              </w:rPr>
              <w:t>.</w:t>
            </w:r>
          </w:p>
        </w:tc>
      </w:tr>
    </w:tbl>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tbl>
      <w:tblPr>
        <w:tblW w:w="0" w:type="auto"/>
        <w:jc w:val="center"/>
        <w:tblInd w:w="102" w:type="dxa"/>
        <w:tblLayout w:type="fixed"/>
        <w:tblCellMar>
          <w:left w:w="0" w:type="dxa"/>
          <w:right w:w="0" w:type="dxa"/>
        </w:tblCellMar>
        <w:tblLook w:val="01E0" w:firstRow="1" w:lastRow="1" w:firstColumn="1" w:lastColumn="1" w:noHBand="0" w:noVBand="0"/>
      </w:tblPr>
      <w:tblGrid>
        <w:gridCol w:w="2447"/>
        <w:gridCol w:w="4336"/>
        <w:gridCol w:w="3186"/>
      </w:tblGrid>
      <w:tr w:rsidR="00FF2CD0" w:rsidRPr="00C03FCA" w:rsidTr="00FF2CD0">
        <w:trPr>
          <w:trHeight w:hRule="exact" w:val="1564"/>
          <w:jc w:val="center"/>
        </w:trPr>
        <w:tc>
          <w:tcPr>
            <w:tcW w:w="244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Chronic HI</w:t>
            </w:r>
            <w:r w:rsidRPr="00C03FCA">
              <w:rPr>
                <w:rFonts w:ascii="Arial" w:eastAsia="Times New Roman" w:hAnsi="Arial" w:cs="Arial"/>
                <w:color w:val="231F20"/>
                <w:spacing w:val="-20"/>
              </w:rPr>
              <w:t>V</w:t>
            </w:r>
            <w:r w:rsidRPr="00C03FCA">
              <w:rPr>
                <w:rFonts w:ascii="Arial" w:eastAsia="Times New Roman" w:hAnsi="Arial" w:cs="Arial"/>
                <w:color w:val="231F20"/>
              </w:rPr>
              <w:t>-associated</w:t>
            </w:r>
          </w:p>
          <w:p w:rsidR="00FF2CD0" w:rsidRPr="00C03FCA" w:rsidRDefault="00FF2CD0" w:rsidP="00FF2CD0">
            <w:pPr>
              <w:spacing w:before="3" w:after="0" w:line="242" w:lineRule="auto"/>
              <w:ind w:left="52" w:right="287"/>
              <w:rPr>
                <w:rFonts w:ascii="Arial" w:eastAsia="Times New Roman" w:hAnsi="Arial" w:cs="Arial"/>
              </w:rPr>
            </w:pPr>
            <w:r w:rsidRPr="00C03FCA">
              <w:rPr>
                <w:rFonts w:ascii="Arial" w:eastAsia="Times New Roman" w:hAnsi="Arial" w:cs="Arial"/>
                <w:color w:val="231F20"/>
              </w:rPr>
              <w:t>lung disease (including bronchiectasis)</w:t>
            </w:r>
          </w:p>
        </w:tc>
        <w:tc>
          <w:tcPr>
            <w:tcW w:w="433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History of cough productive with copious amounts of purulent sputum (bronchiectasis only), with or without clubbing, halitosis, and crepitations and/ or wheezes on auscultations.</w:t>
            </w:r>
          </w:p>
        </w:tc>
        <w:tc>
          <w:tcPr>
            <w:tcW w:w="3186"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CXR: may showhoney comb appearance (small cysts) and/or persistent areas of opacification and/or widespread lung destruction, with fibrosis and loss of volume.</w:t>
            </w:r>
          </w:p>
        </w:tc>
      </w:tr>
      <w:tr w:rsidR="00FF2CD0" w:rsidRPr="00C03FCA" w:rsidTr="00FF2CD0">
        <w:trPr>
          <w:trHeight w:hRule="exact" w:val="1873"/>
          <w:jc w:val="center"/>
        </w:trPr>
        <w:tc>
          <w:tcPr>
            <w:tcW w:w="244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Unexplained anaemia</w:t>
            </w:r>
          </w:p>
          <w:p w:rsidR="00FF2CD0" w:rsidRPr="00C03FCA" w:rsidRDefault="00FF2CD0" w:rsidP="00FF2CD0">
            <w:pPr>
              <w:spacing w:before="3" w:after="0" w:line="242" w:lineRule="auto"/>
              <w:ind w:left="52" w:right="40"/>
              <w:rPr>
                <w:rFonts w:ascii="Arial" w:eastAsia="Times New Roman" w:hAnsi="Arial" w:cs="Arial"/>
              </w:rPr>
            </w:pPr>
            <w:r w:rsidRPr="00C03FCA">
              <w:rPr>
                <w:rFonts w:ascii="Arial" w:eastAsia="Times New Roman" w:hAnsi="Arial" w:cs="Arial"/>
                <w:color w:val="231F20"/>
              </w:rPr>
              <w:t>(&lt;8g/dl), or neutropenia (&lt;0.5 x 10</w:t>
            </w:r>
            <w:r w:rsidRPr="00C03FCA">
              <w:rPr>
                <w:rFonts w:ascii="Arial" w:eastAsia="Times New Roman" w:hAnsi="Arial" w:cs="Arial"/>
                <w:color w:val="231F20"/>
                <w:position w:val="7"/>
              </w:rPr>
              <w:t>9</w:t>
            </w:r>
            <w:r w:rsidRPr="00C03FCA">
              <w:rPr>
                <w:rFonts w:ascii="Arial" w:eastAsia="Times New Roman" w:hAnsi="Arial" w:cs="Arial"/>
                <w:color w:val="231F20"/>
              </w:rPr>
              <w:t>/L)or chronic thrombocytopenia (&lt;50 X</w:t>
            </w:r>
          </w:p>
          <w:p w:rsidR="00FF2CD0" w:rsidRPr="00C03FCA" w:rsidRDefault="00FF2CD0" w:rsidP="00FF2CD0">
            <w:pPr>
              <w:spacing w:after="0" w:line="240" w:lineRule="auto"/>
              <w:ind w:left="52" w:right="-20"/>
              <w:rPr>
                <w:rFonts w:ascii="Arial" w:eastAsia="Times New Roman" w:hAnsi="Arial" w:cs="Arial"/>
              </w:rPr>
            </w:pPr>
            <w:r w:rsidRPr="00C03FCA">
              <w:rPr>
                <w:rFonts w:ascii="Arial" w:eastAsia="Times New Roman" w:hAnsi="Arial" w:cs="Arial"/>
                <w:color w:val="231F20"/>
              </w:rPr>
              <w:t>10</w:t>
            </w:r>
            <w:r w:rsidRPr="00C03FCA">
              <w:rPr>
                <w:rFonts w:ascii="Arial" w:eastAsia="Times New Roman" w:hAnsi="Arial" w:cs="Arial"/>
                <w:color w:val="231F20"/>
                <w:position w:val="7"/>
              </w:rPr>
              <w:t>9</w:t>
            </w:r>
            <w:r w:rsidRPr="00C03FCA">
              <w:rPr>
                <w:rFonts w:ascii="Arial" w:eastAsia="Times New Roman" w:hAnsi="Arial" w:cs="Arial"/>
                <w:color w:val="231F20"/>
              </w:rPr>
              <w:t>/L)</w:t>
            </w:r>
          </w:p>
        </w:tc>
        <w:tc>
          <w:tcPr>
            <w:tcW w:w="4336"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No presumptive diagnosis.</w:t>
            </w:r>
          </w:p>
        </w:tc>
        <w:tc>
          <w:tcPr>
            <w:tcW w:w="318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Laboratory testing, not explained by other non-HIV conditions, or not responding to standard therapy with harmatinics, antimalarials or antherlmintics as outlined in IMCI.</w:t>
            </w:r>
          </w:p>
        </w:tc>
      </w:tr>
      <w:tr w:rsidR="00FF2CD0" w:rsidRPr="00C03FCA" w:rsidTr="00FF2CD0">
        <w:trPr>
          <w:trHeight w:hRule="exact" w:val="378"/>
          <w:jc w:val="center"/>
        </w:trPr>
        <w:tc>
          <w:tcPr>
            <w:tcW w:w="9965" w:type="dxa"/>
            <w:gridSpan w:val="3"/>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before="53" w:after="0" w:line="240" w:lineRule="auto"/>
              <w:ind w:left="52" w:right="-20"/>
              <w:rPr>
                <w:rFonts w:ascii="Arial" w:eastAsia="Times New Roman" w:hAnsi="Arial" w:cs="Arial"/>
              </w:rPr>
            </w:pPr>
            <w:r w:rsidRPr="00C03FCA">
              <w:rPr>
                <w:rFonts w:ascii="Arial" w:eastAsia="Times New Roman" w:hAnsi="Arial" w:cs="Arial"/>
                <w:b/>
                <w:bCs/>
                <w:color w:val="231F20"/>
              </w:rPr>
              <w:t>Clinical stage 4</w:t>
            </w:r>
          </w:p>
        </w:tc>
      </w:tr>
      <w:tr w:rsidR="00FF2CD0" w:rsidRPr="00C03FCA" w:rsidTr="00FF2CD0">
        <w:trPr>
          <w:trHeight w:hRule="exact" w:val="2414"/>
          <w:jc w:val="center"/>
        </w:trPr>
        <w:tc>
          <w:tcPr>
            <w:tcW w:w="244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Unexplained severe</w:t>
            </w:r>
          </w:p>
          <w:p w:rsidR="00FF2CD0" w:rsidRPr="00C03FCA" w:rsidRDefault="00FF2CD0" w:rsidP="00FF2CD0">
            <w:pPr>
              <w:spacing w:before="3" w:after="0" w:line="242" w:lineRule="auto"/>
              <w:ind w:left="52" w:right="287"/>
              <w:rPr>
                <w:rFonts w:ascii="Arial" w:eastAsia="Times New Roman" w:hAnsi="Arial" w:cs="Arial"/>
              </w:rPr>
            </w:pPr>
            <w:r w:rsidRPr="00C03FCA">
              <w:rPr>
                <w:rFonts w:ascii="Arial" w:eastAsia="Times New Roman" w:hAnsi="Arial" w:cs="Arial"/>
                <w:color w:val="231F20"/>
              </w:rPr>
              <w:t>wasting, stunting or severe malnutrition not adequately responding to standard therapy</w:t>
            </w:r>
          </w:p>
        </w:tc>
        <w:tc>
          <w:tcPr>
            <w:tcW w:w="4336"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Persistent weight loss not explained</w:t>
            </w:r>
          </w:p>
          <w:p w:rsidR="00FF2CD0" w:rsidRPr="00C03FCA" w:rsidRDefault="00FF2CD0" w:rsidP="00FF2CD0">
            <w:pPr>
              <w:spacing w:before="3" w:after="0" w:line="242" w:lineRule="auto"/>
              <w:ind w:left="52" w:right="43"/>
              <w:rPr>
                <w:rFonts w:ascii="Arial" w:eastAsia="Times New Roman" w:hAnsi="Arial" w:cs="Arial"/>
              </w:rPr>
            </w:pPr>
            <w:r w:rsidRPr="00C03FCA">
              <w:rPr>
                <w:rFonts w:ascii="Arial" w:eastAsia="Times New Roman" w:hAnsi="Arial" w:cs="Arial"/>
                <w:color w:val="231F20"/>
              </w:rPr>
              <w:t>by poor or inadequate feeding, other infections and not adequately responding in two weeks to standard therap</w:t>
            </w:r>
            <w:r w:rsidRPr="00C03FCA">
              <w:rPr>
                <w:rFonts w:ascii="Arial" w:eastAsia="Times New Roman" w:hAnsi="Arial" w:cs="Arial"/>
                <w:color w:val="231F20"/>
                <w:spacing w:val="-15"/>
              </w:rPr>
              <w:t>y</w:t>
            </w:r>
            <w:r w:rsidRPr="00C03FCA">
              <w:rPr>
                <w:rFonts w:ascii="Arial" w:eastAsia="Times New Roman" w:hAnsi="Arial" w:cs="Arial"/>
                <w:color w:val="231F20"/>
              </w:rPr>
              <w:t>. Characterized by: visible severe wasting of muscles, with or without oedema of both feet, and/or weight-fo</w:t>
            </w:r>
            <w:r w:rsidRPr="00C03FCA">
              <w:rPr>
                <w:rFonts w:ascii="Arial" w:eastAsia="Times New Roman" w:hAnsi="Arial" w:cs="Arial"/>
                <w:color w:val="231F20"/>
                <w:spacing w:val="-5"/>
              </w:rPr>
              <w:t>r</w:t>
            </w:r>
            <w:r w:rsidRPr="00C03FCA">
              <w:rPr>
                <w:rFonts w:ascii="Arial" w:eastAsia="Times New Roman" w:hAnsi="Arial" w:cs="Arial"/>
                <w:color w:val="231F20"/>
              </w:rPr>
              <w:t>-height of -3SDs, as defined by WHO IMCI Guidelines.</w:t>
            </w:r>
          </w:p>
        </w:tc>
        <w:tc>
          <w:tcPr>
            <w:tcW w:w="318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Confirmed by documented</w:t>
            </w:r>
          </w:p>
          <w:p w:rsidR="00FF2CD0" w:rsidRPr="00C03FCA" w:rsidRDefault="00FF2CD0" w:rsidP="00FF2CD0">
            <w:pPr>
              <w:spacing w:before="3" w:after="0" w:line="242" w:lineRule="auto"/>
              <w:ind w:left="52" w:right="1317"/>
              <w:rPr>
                <w:rFonts w:ascii="Arial" w:eastAsia="Times New Roman" w:hAnsi="Arial" w:cs="Arial"/>
              </w:rPr>
            </w:pPr>
            <w:r w:rsidRPr="00C03FCA">
              <w:rPr>
                <w:rFonts w:ascii="Arial" w:eastAsia="Times New Roman" w:hAnsi="Arial" w:cs="Arial"/>
                <w:color w:val="231F20"/>
              </w:rPr>
              <w:t>weight loss of &gt; -3 SD +/- oedema</w:t>
            </w:r>
          </w:p>
        </w:tc>
      </w:tr>
    </w:tbl>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tbl>
      <w:tblPr>
        <w:tblW w:w="9965" w:type="dxa"/>
        <w:tblInd w:w="601" w:type="dxa"/>
        <w:tblLayout w:type="fixed"/>
        <w:tblCellMar>
          <w:left w:w="0" w:type="dxa"/>
          <w:right w:w="0" w:type="dxa"/>
        </w:tblCellMar>
        <w:tblLook w:val="01E0" w:firstRow="1" w:lastRow="1" w:firstColumn="1" w:lastColumn="1" w:noHBand="0" w:noVBand="0"/>
      </w:tblPr>
      <w:tblGrid>
        <w:gridCol w:w="2447"/>
        <w:gridCol w:w="3780"/>
        <w:gridCol w:w="3738"/>
      </w:tblGrid>
      <w:tr w:rsidR="00FF2CD0" w:rsidRPr="00C03FCA" w:rsidTr="00FF2CD0">
        <w:trPr>
          <w:trHeight w:hRule="exact" w:val="2641"/>
        </w:trPr>
        <w:tc>
          <w:tcPr>
            <w:tcW w:w="244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Pneumocystis</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pneumonia (PCP)</w:t>
            </w:r>
          </w:p>
        </w:tc>
        <w:tc>
          <w:tcPr>
            <w:tcW w:w="378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Dry cough progressive</w:t>
            </w:r>
          </w:p>
          <w:p w:rsidR="00FF2CD0" w:rsidRPr="00C03FCA" w:rsidRDefault="00FF2CD0" w:rsidP="00FF2CD0">
            <w:pPr>
              <w:spacing w:before="3" w:after="0" w:line="242" w:lineRule="auto"/>
              <w:ind w:left="52" w:right="819"/>
              <w:rPr>
                <w:rFonts w:ascii="Arial" w:eastAsia="Times New Roman" w:hAnsi="Arial" w:cs="Arial"/>
              </w:rPr>
            </w:pPr>
            <w:r w:rsidRPr="00C03FCA">
              <w:rPr>
                <w:rFonts w:ascii="Arial" w:eastAsia="Times New Roman" w:hAnsi="Arial" w:cs="Arial"/>
                <w:color w:val="231F20"/>
              </w:rPr>
              <w:t>Difficulty in breathing, cyanosis, tachypnoea and fever; chest indrawing or strido</w:t>
            </w:r>
            <w:r w:rsidRPr="00C03FCA">
              <w:rPr>
                <w:rFonts w:ascii="Arial" w:eastAsia="Times New Roman" w:hAnsi="Arial" w:cs="Arial"/>
                <w:color w:val="231F20"/>
                <w:spacing w:val="-12"/>
              </w:rPr>
              <w:t>r</w:t>
            </w:r>
            <w:r w:rsidRPr="00C03FCA">
              <w:rPr>
                <w:rFonts w:ascii="Arial" w:eastAsia="Times New Roman" w:hAnsi="Arial" w:cs="Arial"/>
                <w:color w:val="231F20"/>
              </w:rPr>
              <w:t>. (Severe or very severe pneumonia asin IMCI). Usually of rapid onset especially in infants under six months of age. Response tohigh-dose co-trimoxazole +/- prednisolone.</w:t>
            </w:r>
          </w:p>
        </w:tc>
        <w:tc>
          <w:tcPr>
            <w:tcW w:w="373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Confirmed by: CXR typical bilateral</w:t>
            </w:r>
          </w:p>
          <w:p w:rsidR="00FF2CD0" w:rsidRPr="00C03FCA" w:rsidRDefault="00FF2CD0" w:rsidP="00FF2CD0">
            <w:pPr>
              <w:spacing w:before="3" w:after="0" w:line="242" w:lineRule="auto"/>
              <w:ind w:left="52" w:right="183"/>
              <w:rPr>
                <w:rFonts w:ascii="Arial" w:eastAsia="Times New Roman" w:hAnsi="Arial" w:cs="Arial"/>
              </w:rPr>
            </w:pPr>
            <w:r w:rsidRPr="00C03FCA">
              <w:rPr>
                <w:rFonts w:ascii="Arial" w:eastAsia="Times New Roman" w:hAnsi="Arial" w:cs="Arial"/>
                <w:color w:val="231F20"/>
              </w:rPr>
              <w:t>perihilar di</w:t>
            </w:r>
            <w:r w:rsidRPr="00C03FCA">
              <w:rPr>
                <w:rFonts w:ascii="Arial" w:eastAsia="Times New Roman" w:hAnsi="Arial" w:cs="Arial"/>
                <w:color w:val="231F20"/>
                <w:spacing w:val="-4"/>
              </w:rPr>
              <w:t>f</w:t>
            </w:r>
            <w:r w:rsidRPr="00C03FCA">
              <w:rPr>
                <w:rFonts w:ascii="Arial" w:eastAsia="Times New Roman" w:hAnsi="Arial" w:cs="Arial"/>
                <w:color w:val="231F20"/>
              </w:rPr>
              <w:t>fuse infiltrates; microscopy of induced sputum or BAL or nasopharyngeal aspirate (N</w:t>
            </w:r>
            <w:r w:rsidRPr="00C03FCA">
              <w:rPr>
                <w:rFonts w:ascii="Arial" w:eastAsia="Times New Roman" w:hAnsi="Arial" w:cs="Arial"/>
                <w:color w:val="231F20"/>
                <w:spacing w:val="-20"/>
              </w:rPr>
              <w:t>P</w:t>
            </w:r>
            <w:r w:rsidRPr="00C03FCA">
              <w:rPr>
                <w:rFonts w:ascii="Arial" w:eastAsia="Times New Roman" w:hAnsi="Arial" w:cs="Arial"/>
                <w:color w:val="231F20"/>
              </w:rPr>
              <w:t>A)</w:t>
            </w:r>
          </w:p>
        </w:tc>
      </w:tr>
      <w:tr w:rsidR="00FF2CD0" w:rsidRPr="00C03FCA" w:rsidTr="002E6842">
        <w:trPr>
          <w:trHeight w:hRule="exact" w:val="2049"/>
        </w:trPr>
        <w:tc>
          <w:tcPr>
            <w:tcW w:w="244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Recurrent severe presumed bacterial infection, eg. empyema, pyomyositis, bone or joint infection, mentingitis but excluding pneumonia</w:t>
            </w:r>
          </w:p>
        </w:tc>
        <w:tc>
          <w:tcPr>
            <w:tcW w:w="378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Fever accompanied by specific</w:t>
            </w:r>
          </w:p>
          <w:p w:rsidR="00FF2CD0" w:rsidRPr="00C03FCA" w:rsidRDefault="00FF2CD0" w:rsidP="00FF2CD0">
            <w:pPr>
              <w:spacing w:before="3" w:after="0" w:line="242" w:lineRule="auto"/>
              <w:ind w:left="52" w:right="-6"/>
              <w:rPr>
                <w:rFonts w:ascii="Arial" w:eastAsia="Times New Roman" w:hAnsi="Arial" w:cs="Arial"/>
              </w:rPr>
            </w:pPr>
            <w:r w:rsidRPr="00C03FCA">
              <w:rPr>
                <w:rFonts w:ascii="Arial" w:eastAsia="Times New Roman" w:hAnsi="Arial" w:cs="Arial"/>
                <w:color w:val="231F20"/>
              </w:rPr>
              <w:t>symptoms or signs that localize infection. Responds to antibiotics. Current episode plus one or more in previous 6 months.</w:t>
            </w:r>
          </w:p>
        </w:tc>
        <w:tc>
          <w:tcPr>
            <w:tcW w:w="373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Confirmed by culture of appropriate</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clinical specimen</w:t>
            </w:r>
          </w:p>
        </w:tc>
      </w:tr>
      <w:tr w:rsidR="00FF2CD0" w:rsidRPr="00C03FCA" w:rsidTr="00FF2CD0">
        <w:trPr>
          <w:trHeight w:hRule="exact" w:val="1299"/>
        </w:trPr>
        <w:tc>
          <w:tcPr>
            <w:tcW w:w="244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Chonic herpes simplex</w:t>
            </w:r>
          </w:p>
          <w:p w:rsidR="00FF2CD0" w:rsidRPr="00C03FCA" w:rsidRDefault="00FF2CD0" w:rsidP="00FF2CD0">
            <w:pPr>
              <w:spacing w:before="3" w:after="0" w:line="242" w:lineRule="auto"/>
              <w:ind w:left="52" w:right="464"/>
              <w:rPr>
                <w:rFonts w:ascii="Arial" w:eastAsia="Times New Roman" w:hAnsi="Arial" w:cs="Arial"/>
              </w:rPr>
            </w:pPr>
            <w:r w:rsidRPr="00C03FCA">
              <w:rPr>
                <w:rFonts w:ascii="Arial" w:eastAsia="Times New Roman" w:hAnsi="Arial" w:cs="Arial"/>
                <w:color w:val="231F20"/>
              </w:rPr>
              <w:t>infection; (orolabial or cutaneous of more</w:t>
            </w:r>
          </w:p>
          <w:p w:rsidR="00FF2CD0" w:rsidRPr="00C03FCA" w:rsidRDefault="00FF2CD0" w:rsidP="00FF2CD0">
            <w:pPr>
              <w:spacing w:after="0" w:line="242" w:lineRule="auto"/>
              <w:ind w:left="52" w:right="85"/>
              <w:rPr>
                <w:rFonts w:ascii="Arial" w:eastAsia="Times New Roman" w:hAnsi="Arial" w:cs="Arial"/>
              </w:rPr>
            </w:pPr>
            <w:r w:rsidRPr="00C03FCA">
              <w:rPr>
                <w:rFonts w:ascii="Arial" w:eastAsia="Times New Roman" w:hAnsi="Arial" w:cs="Arial"/>
                <w:color w:val="231F20"/>
              </w:rPr>
              <w:t>than one month duration or visceral at any site)</w:t>
            </w:r>
          </w:p>
        </w:tc>
        <w:tc>
          <w:tcPr>
            <w:tcW w:w="378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Severe and progressive painful</w:t>
            </w:r>
          </w:p>
          <w:p w:rsidR="00FF2CD0" w:rsidRPr="00C03FCA" w:rsidRDefault="00FF2CD0" w:rsidP="00FF2CD0">
            <w:pPr>
              <w:spacing w:before="3" w:after="0" w:line="242" w:lineRule="auto"/>
              <w:ind w:left="52" w:right="728"/>
              <w:rPr>
                <w:rFonts w:ascii="Arial" w:eastAsia="Times New Roman" w:hAnsi="Arial" w:cs="Arial"/>
              </w:rPr>
            </w:pPr>
            <w:r w:rsidRPr="00C03FCA">
              <w:rPr>
                <w:rFonts w:ascii="Arial" w:eastAsia="Times New Roman" w:hAnsi="Arial" w:cs="Arial"/>
                <w:color w:val="231F20"/>
              </w:rPr>
              <w:t>orolabial, genital, or anorectal lesions caused by HSV infection present for more than one month.</w:t>
            </w:r>
          </w:p>
        </w:tc>
        <w:tc>
          <w:tcPr>
            <w:tcW w:w="373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Confirmed by culture and/or Histology</w:t>
            </w:r>
          </w:p>
        </w:tc>
      </w:tr>
    </w:tbl>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tbl>
      <w:tblPr>
        <w:tblW w:w="0" w:type="auto"/>
        <w:jc w:val="center"/>
        <w:tblInd w:w="109" w:type="dxa"/>
        <w:tblLayout w:type="fixed"/>
        <w:tblCellMar>
          <w:left w:w="0" w:type="dxa"/>
          <w:right w:w="0" w:type="dxa"/>
        </w:tblCellMar>
        <w:tblLook w:val="01E0" w:firstRow="1" w:lastRow="1" w:firstColumn="1" w:lastColumn="1" w:noHBand="0" w:noVBand="0"/>
      </w:tblPr>
      <w:tblGrid>
        <w:gridCol w:w="2447"/>
        <w:gridCol w:w="3780"/>
        <w:gridCol w:w="3738"/>
      </w:tblGrid>
      <w:tr w:rsidR="00FF2CD0" w:rsidRPr="00C03FCA" w:rsidTr="00FF2CD0">
        <w:trPr>
          <w:trHeight w:hRule="exact" w:val="2249"/>
          <w:jc w:val="center"/>
        </w:trPr>
        <w:tc>
          <w:tcPr>
            <w:tcW w:w="244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before="12" w:after="0" w:line="240" w:lineRule="exact"/>
              <w:ind w:left="52" w:right="55"/>
              <w:rPr>
                <w:rFonts w:ascii="Arial" w:eastAsia="Times New Roman" w:hAnsi="Arial" w:cs="Arial"/>
              </w:rPr>
            </w:pPr>
            <w:r w:rsidRPr="00C03FCA">
              <w:rPr>
                <w:rFonts w:ascii="Arial" w:eastAsia="Times New Roman" w:hAnsi="Arial" w:cs="Arial"/>
                <w:color w:val="231F20"/>
              </w:rPr>
              <w:t>Oesophageal candidiasis (or candidiasis of trachea, bronchi or lungs</w:t>
            </w:r>
          </w:p>
        </w:tc>
        <w:tc>
          <w:tcPr>
            <w:tcW w:w="378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before="12" w:after="0" w:line="240" w:lineRule="exact"/>
              <w:ind w:left="52" w:right="471"/>
              <w:rPr>
                <w:rFonts w:ascii="Arial" w:eastAsia="Times New Roman" w:hAnsi="Arial" w:cs="Arial"/>
              </w:rPr>
            </w:pPr>
            <w:r w:rsidRPr="00C03FCA">
              <w:rPr>
                <w:rFonts w:ascii="Arial" w:eastAsia="Times New Roman" w:hAnsi="Arial" w:cs="Arial"/>
                <w:color w:val="231F20"/>
              </w:rPr>
              <w:t>Chest pain and dysphagia (difficulty in swallowing), odynophagia (pain on swallowing food and fluids),or</w:t>
            </w:r>
          </w:p>
          <w:p w:rsidR="00FF2CD0" w:rsidRPr="00C03FCA" w:rsidRDefault="00FF2CD0" w:rsidP="00FF2CD0">
            <w:pPr>
              <w:spacing w:after="0" w:line="240" w:lineRule="exact"/>
              <w:ind w:left="52" w:right="99"/>
              <w:rPr>
                <w:rFonts w:ascii="Arial" w:eastAsia="Times New Roman" w:hAnsi="Arial" w:cs="Arial"/>
              </w:rPr>
            </w:pPr>
            <w:r w:rsidRPr="00C03FCA">
              <w:rPr>
                <w:rFonts w:ascii="Arial" w:eastAsia="Times New Roman" w:hAnsi="Arial" w:cs="Arial"/>
                <w:color w:val="231F20"/>
              </w:rPr>
              <w:t>retrosternal pain worse on swallowing (food and fluids)responds to specific treatment. In young children, suspect particularly if oral candida observed and food refusal occurs and/or difficulties/ crying when feeding.</w:t>
            </w:r>
          </w:p>
        </w:tc>
        <w:tc>
          <w:tcPr>
            <w:tcW w:w="373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before="12" w:after="0" w:line="240" w:lineRule="exact"/>
              <w:ind w:left="52" w:right="185"/>
              <w:jc w:val="both"/>
              <w:rPr>
                <w:rFonts w:ascii="Arial" w:eastAsia="Times New Roman" w:hAnsi="Arial" w:cs="Arial"/>
              </w:rPr>
            </w:pPr>
            <w:r w:rsidRPr="00C03FCA">
              <w:rPr>
                <w:rFonts w:ascii="Arial" w:eastAsia="Times New Roman" w:hAnsi="Arial" w:cs="Arial"/>
                <w:color w:val="231F20"/>
              </w:rPr>
              <w:t>Confirmed by macroscopic appearance at endoscop</w:t>
            </w:r>
            <w:r w:rsidRPr="00C03FCA">
              <w:rPr>
                <w:rFonts w:ascii="Arial" w:eastAsia="Times New Roman" w:hAnsi="Arial" w:cs="Arial"/>
                <w:color w:val="231F20"/>
                <w:spacing w:val="-14"/>
              </w:rPr>
              <w:t>y</w:t>
            </w:r>
            <w:r w:rsidRPr="00C03FCA">
              <w:rPr>
                <w:rFonts w:ascii="Arial" w:eastAsia="Times New Roman" w:hAnsi="Arial" w:cs="Arial"/>
                <w:color w:val="231F20"/>
              </w:rPr>
              <w:t>, microscopy of specimen from tissue or macroscopic appearance at bronchoscopy or histolog</w:t>
            </w:r>
            <w:r w:rsidRPr="00C03FCA">
              <w:rPr>
                <w:rFonts w:ascii="Arial" w:eastAsia="Times New Roman" w:hAnsi="Arial" w:cs="Arial"/>
                <w:color w:val="231F20"/>
                <w:spacing w:val="-15"/>
              </w:rPr>
              <w:t>y</w:t>
            </w:r>
            <w:r w:rsidRPr="00C03FCA">
              <w:rPr>
                <w:rFonts w:ascii="Arial" w:eastAsia="Times New Roman" w:hAnsi="Arial" w:cs="Arial"/>
                <w:color w:val="231F20"/>
              </w:rPr>
              <w:t>.</w:t>
            </w:r>
          </w:p>
        </w:tc>
      </w:tr>
      <w:tr w:rsidR="00FF2CD0" w:rsidRPr="00C03FCA" w:rsidTr="00FF2CD0">
        <w:trPr>
          <w:trHeight w:hRule="exact" w:val="1252"/>
          <w:jc w:val="center"/>
        </w:trPr>
        <w:tc>
          <w:tcPr>
            <w:tcW w:w="244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Extra-pulmonary/</w:t>
            </w:r>
          </w:p>
          <w:p w:rsidR="00FF2CD0" w:rsidRPr="00C03FCA" w:rsidRDefault="00FF2CD0" w:rsidP="00FF2CD0">
            <w:pPr>
              <w:spacing w:after="0" w:line="240" w:lineRule="exact"/>
              <w:ind w:left="52" w:right="-20"/>
              <w:rPr>
                <w:rFonts w:ascii="Arial" w:eastAsia="Times New Roman" w:hAnsi="Arial" w:cs="Arial"/>
              </w:rPr>
            </w:pPr>
            <w:r w:rsidRPr="00C03FCA">
              <w:rPr>
                <w:rFonts w:ascii="Arial" w:eastAsia="Times New Roman" w:hAnsi="Arial" w:cs="Arial"/>
                <w:color w:val="231F20"/>
              </w:rPr>
              <w:t>DisseminatedTB</w:t>
            </w:r>
          </w:p>
        </w:tc>
        <w:tc>
          <w:tcPr>
            <w:tcW w:w="378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before="12" w:after="0" w:line="240" w:lineRule="exact"/>
              <w:ind w:left="52" w:right="101"/>
              <w:rPr>
                <w:rFonts w:ascii="Arial" w:eastAsia="Times New Roman" w:hAnsi="Arial" w:cs="Arial"/>
              </w:rPr>
            </w:pPr>
            <w:r w:rsidRPr="00C03FCA">
              <w:rPr>
                <w:rFonts w:ascii="Arial" w:eastAsia="Times New Roman" w:hAnsi="Arial" w:cs="Arial"/>
                <w:color w:val="231F20"/>
              </w:rPr>
              <w:t>Systemic illness usually with prolonged feve</w:t>
            </w:r>
            <w:r w:rsidRPr="00C03FCA">
              <w:rPr>
                <w:rFonts w:ascii="Arial" w:eastAsia="Times New Roman" w:hAnsi="Arial" w:cs="Arial"/>
                <w:color w:val="231F20"/>
                <w:spacing w:val="-9"/>
              </w:rPr>
              <w:t>r</w:t>
            </w:r>
            <w:r w:rsidRPr="00C03FCA">
              <w:rPr>
                <w:rFonts w:ascii="Arial" w:eastAsia="Times New Roman" w:hAnsi="Arial" w:cs="Arial"/>
                <w:color w:val="231F20"/>
              </w:rPr>
              <w:t>, night sweats, weight loss. Clinical features of o</w:t>
            </w:r>
            <w:r w:rsidRPr="00C03FCA">
              <w:rPr>
                <w:rFonts w:ascii="Arial" w:eastAsia="Times New Roman" w:hAnsi="Arial" w:cs="Arial"/>
                <w:color w:val="231F20"/>
                <w:spacing w:val="-4"/>
              </w:rPr>
              <w:t>r</w:t>
            </w:r>
            <w:r w:rsidRPr="00C03FCA">
              <w:rPr>
                <w:rFonts w:ascii="Arial" w:eastAsia="Times New Roman" w:hAnsi="Arial" w:cs="Arial"/>
                <w:color w:val="231F20"/>
              </w:rPr>
              <w:t>gans involved, e.g sterile pyuria, pericardits, ascites, pleural e</w:t>
            </w:r>
            <w:r w:rsidRPr="00C03FCA">
              <w:rPr>
                <w:rFonts w:ascii="Arial" w:eastAsia="Times New Roman" w:hAnsi="Arial" w:cs="Arial"/>
                <w:color w:val="231F20"/>
                <w:spacing w:val="-4"/>
              </w:rPr>
              <w:t>f</w:t>
            </w:r>
            <w:r w:rsidRPr="00C03FCA">
              <w:rPr>
                <w:rFonts w:ascii="Arial" w:eastAsia="Times New Roman" w:hAnsi="Arial" w:cs="Arial"/>
                <w:color w:val="231F20"/>
              </w:rPr>
              <w:t>fusion, meningitis, arthritis, orchitis</w:t>
            </w:r>
          </w:p>
        </w:tc>
        <w:tc>
          <w:tcPr>
            <w:tcW w:w="373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before="12" w:after="0" w:line="240" w:lineRule="exact"/>
              <w:ind w:left="52" w:right="93"/>
              <w:rPr>
                <w:rFonts w:ascii="Arial" w:eastAsia="Times New Roman" w:hAnsi="Arial" w:cs="Arial"/>
              </w:rPr>
            </w:pPr>
            <w:r w:rsidRPr="00C03FCA">
              <w:rPr>
                <w:rFonts w:ascii="Arial" w:eastAsia="Times New Roman" w:hAnsi="Arial" w:cs="Arial"/>
                <w:color w:val="231F20"/>
              </w:rPr>
              <w:t>Positive microscopy showing AFB or culture of Mycobacterium TB from blood or other relevant specimen except sputum or BAL. Biopsy and histolog</w:t>
            </w:r>
            <w:r w:rsidRPr="00C03FCA">
              <w:rPr>
                <w:rFonts w:ascii="Arial" w:eastAsia="Times New Roman" w:hAnsi="Arial" w:cs="Arial"/>
                <w:color w:val="231F20"/>
                <w:spacing w:val="-15"/>
              </w:rPr>
              <w:t>y</w:t>
            </w:r>
            <w:r w:rsidRPr="00C03FCA">
              <w:rPr>
                <w:rFonts w:ascii="Arial" w:eastAsia="Times New Roman" w:hAnsi="Arial" w:cs="Arial"/>
                <w:color w:val="231F20"/>
              </w:rPr>
              <w:t>.</w:t>
            </w:r>
          </w:p>
        </w:tc>
      </w:tr>
      <w:tr w:rsidR="00FF2CD0" w:rsidRPr="00C03FCA" w:rsidTr="00FF2CD0">
        <w:trPr>
          <w:trHeight w:hRule="exact" w:val="1271"/>
          <w:jc w:val="center"/>
        </w:trPr>
        <w:tc>
          <w:tcPr>
            <w:tcW w:w="244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Kaposi</w:t>
            </w:r>
            <w:r w:rsidRPr="00C03FCA">
              <w:rPr>
                <w:rFonts w:ascii="Arial" w:eastAsia="Times New Roman" w:hAnsi="Arial" w:cs="Arial"/>
                <w:color w:val="231F20"/>
                <w:spacing w:val="-12"/>
              </w:rPr>
              <w:t>’</w:t>
            </w:r>
            <w:r w:rsidRPr="00C03FCA">
              <w:rPr>
                <w:rFonts w:ascii="Arial" w:eastAsia="Times New Roman" w:hAnsi="Arial" w:cs="Arial"/>
                <w:color w:val="231F20"/>
              </w:rPr>
              <w:t>s sarcoma</w:t>
            </w:r>
          </w:p>
        </w:tc>
        <w:tc>
          <w:tcPr>
            <w:tcW w:w="378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before="12" w:after="0" w:line="240" w:lineRule="exact"/>
              <w:ind w:left="52" w:right="71"/>
              <w:rPr>
                <w:rFonts w:ascii="Arial" w:eastAsia="Times New Roman" w:hAnsi="Arial" w:cs="Arial"/>
              </w:rPr>
            </w:pPr>
            <w:r w:rsidRPr="00C03FCA">
              <w:rPr>
                <w:rFonts w:ascii="Arial" w:eastAsia="Times New Roman" w:hAnsi="Arial" w:cs="Arial"/>
                <w:color w:val="231F20"/>
                <w:spacing w:val="-15"/>
              </w:rPr>
              <w:t>T</w:t>
            </w:r>
            <w:r w:rsidRPr="00C03FCA">
              <w:rPr>
                <w:rFonts w:ascii="Arial" w:eastAsia="Times New Roman" w:hAnsi="Arial" w:cs="Arial"/>
                <w:color w:val="231F20"/>
              </w:rPr>
              <w:t>ypical appearance in skin or orapharynx of persistent, initially flat, patches with a pink or blood-bruise colo</w:t>
            </w:r>
            <w:r w:rsidRPr="00C03FCA">
              <w:rPr>
                <w:rFonts w:ascii="Arial" w:eastAsia="Times New Roman" w:hAnsi="Arial" w:cs="Arial"/>
                <w:color w:val="231F20"/>
                <w:spacing w:val="-9"/>
              </w:rPr>
              <w:t>r</w:t>
            </w:r>
            <w:r w:rsidRPr="00C03FCA">
              <w:rPr>
                <w:rFonts w:ascii="Arial" w:eastAsia="Times New Roman" w:hAnsi="Arial" w:cs="Arial"/>
                <w:color w:val="231F20"/>
              </w:rPr>
              <w:t>, skin lesions that usually develop into nodules.</w:t>
            </w:r>
          </w:p>
        </w:tc>
        <w:tc>
          <w:tcPr>
            <w:tcW w:w="373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before="12" w:after="0" w:line="240" w:lineRule="exact"/>
              <w:ind w:left="52" w:right="-6"/>
              <w:rPr>
                <w:rFonts w:ascii="Arial" w:eastAsia="Times New Roman" w:hAnsi="Arial" w:cs="Arial"/>
              </w:rPr>
            </w:pPr>
            <w:r w:rsidRPr="00C03FCA">
              <w:rPr>
                <w:rFonts w:ascii="Arial" w:eastAsia="Times New Roman" w:hAnsi="Arial" w:cs="Arial"/>
                <w:color w:val="231F20"/>
              </w:rPr>
              <w:t>Macroscopic appearance or by histology: typical red-purple lesions   seen on bronchoscopy or  endoscopy; Dense masses in lymph  nodes, viscera or lungs by  palpation or radiology; Histology</w:t>
            </w:r>
          </w:p>
        </w:tc>
      </w:tr>
      <w:tr w:rsidR="00FF2CD0" w:rsidRPr="00C03FCA" w:rsidTr="00FF2CD0">
        <w:trPr>
          <w:trHeight w:hRule="exact" w:val="2461"/>
          <w:jc w:val="center"/>
        </w:trPr>
        <w:tc>
          <w:tcPr>
            <w:tcW w:w="244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before="12" w:after="0" w:line="240" w:lineRule="exact"/>
              <w:ind w:left="52" w:right="309"/>
              <w:rPr>
                <w:rFonts w:ascii="Arial" w:eastAsia="Times New Roman" w:hAnsi="Arial" w:cs="Arial"/>
              </w:rPr>
            </w:pPr>
            <w:r w:rsidRPr="00C03FCA">
              <w:rPr>
                <w:rFonts w:ascii="Arial" w:eastAsia="Times New Roman" w:hAnsi="Arial" w:cs="Arial"/>
                <w:color w:val="231F20"/>
              </w:rPr>
              <w:t>CMVretinitis or CMV infection a</w:t>
            </w:r>
            <w:r w:rsidRPr="00C03FCA">
              <w:rPr>
                <w:rFonts w:ascii="Arial" w:eastAsia="Times New Roman" w:hAnsi="Arial" w:cs="Arial"/>
                <w:color w:val="231F20"/>
                <w:spacing w:val="-4"/>
              </w:rPr>
              <w:t>f</w:t>
            </w:r>
            <w:r w:rsidRPr="00C03FCA">
              <w:rPr>
                <w:rFonts w:ascii="Arial" w:eastAsia="Times New Roman" w:hAnsi="Arial" w:cs="Arial"/>
                <w:color w:val="231F20"/>
              </w:rPr>
              <w:t>fecting another o</w:t>
            </w:r>
            <w:r w:rsidRPr="00C03FCA">
              <w:rPr>
                <w:rFonts w:ascii="Arial" w:eastAsia="Times New Roman" w:hAnsi="Arial" w:cs="Arial"/>
                <w:color w:val="231F20"/>
                <w:spacing w:val="-4"/>
              </w:rPr>
              <w:t>r</w:t>
            </w:r>
            <w:r w:rsidRPr="00C03FCA">
              <w:rPr>
                <w:rFonts w:ascii="Arial" w:eastAsia="Times New Roman" w:hAnsi="Arial" w:cs="Arial"/>
                <w:color w:val="231F20"/>
              </w:rPr>
              <w:t>gan, with onset at age over</w:t>
            </w:r>
          </w:p>
          <w:p w:rsidR="00FF2CD0" w:rsidRPr="00C03FCA" w:rsidRDefault="00FF2CD0" w:rsidP="00FF2CD0">
            <w:pPr>
              <w:spacing w:after="0" w:line="240" w:lineRule="exact"/>
              <w:ind w:left="52" w:right="-20"/>
              <w:rPr>
                <w:rFonts w:ascii="Arial" w:eastAsia="Times New Roman" w:hAnsi="Arial" w:cs="Arial"/>
              </w:rPr>
            </w:pPr>
            <w:r w:rsidRPr="00C03FCA">
              <w:rPr>
                <w:rFonts w:ascii="Arial" w:eastAsia="Times New Roman" w:hAnsi="Arial" w:cs="Arial"/>
                <w:color w:val="231F20"/>
              </w:rPr>
              <w:t>1 month</w:t>
            </w:r>
          </w:p>
        </w:tc>
        <w:tc>
          <w:tcPr>
            <w:tcW w:w="378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before="12" w:after="0" w:line="240" w:lineRule="exact"/>
              <w:ind w:left="52" w:right="385"/>
              <w:jc w:val="both"/>
              <w:rPr>
                <w:rFonts w:ascii="Arial" w:eastAsia="Times New Roman" w:hAnsi="Arial" w:cs="Arial"/>
              </w:rPr>
            </w:pPr>
            <w:r w:rsidRPr="00C03FCA">
              <w:rPr>
                <w:rFonts w:ascii="Arial" w:eastAsia="Times New Roman" w:hAnsi="Arial" w:cs="Arial"/>
                <w:color w:val="231F20"/>
              </w:rPr>
              <w:t>Retinitis onl</w:t>
            </w:r>
            <w:r w:rsidRPr="00C03FCA">
              <w:rPr>
                <w:rFonts w:ascii="Arial" w:eastAsia="Times New Roman" w:hAnsi="Arial" w:cs="Arial"/>
                <w:color w:val="231F20"/>
                <w:spacing w:val="-15"/>
              </w:rPr>
              <w:t>y</w:t>
            </w:r>
            <w:r w:rsidRPr="00C03FCA">
              <w:rPr>
                <w:rFonts w:ascii="Arial" w:eastAsia="Times New Roman" w:hAnsi="Arial" w:cs="Arial"/>
                <w:color w:val="231F20"/>
              </w:rPr>
              <w:t>. CMV retinitis may be diagnosed by experienced clinicians: progressive floaters in fieldof vision, light flashes and scotoma; typical</w:t>
            </w:r>
          </w:p>
          <w:p w:rsidR="00FF2CD0" w:rsidRPr="00C03FCA" w:rsidRDefault="00FF2CD0" w:rsidP="00FF2CD0">
            <w:pPr>
              <w:spacing w:after="0" w:line="240" w:lineRule="exact"/>
              <w:ind w:left="52" w:right="168"/>
              <w:rPr>
                <w:rFonts w:ascii="Arial" w:eastAsia="Times New Roman" w:hAnsi="Arial" w:cs="Arial"/>
              </w:rPr>
            </w:pPr>
            <w:r w:rsidRPr="00C03FCA">
              <w:rPr>
                <w:rFonts w:ascii="Arial" w:eastAsia="Times New Roman" w:hAnsi="Arial" w:cs="Arial"/>
                <w:color w:val="231F20"/>
              </w:rPr>
              <w:t>eye lesions on serial fundoscopic examination; discrete patches of retinal whitening with distinct borders, spreading centrifugall</w:t>
            </w:r>
            <w:r w:rsidRPr="00C03FCA">
              <w:rPr>
                <w:rFonts w:ascii="Arial" w:eastAsia="Times New Roman" w:hAnsi="Arial" w:cs="Arial"/>
                <w:color w:val="231F20"/>
                <w:spacing w:val="-15"/>
              </w:rPr>
              <w:t>y</w:t>
            </w:r>
            <w:r w:rsidRPr="00C03FCA">
              <w:rPr>
                <w:rFonts w:ascii="Arial" w:eastAsia="Times New Roman" w:hAnsi="Arial" w:cs="Arial"/>
                <w:color w:val="231F20"/>
              </w:rPr>
              <w:t>, often following blood vessels, associated with retinal vasculitis, haemorrhage and necrosis.</w:t>
            </w:r>
          </w:p>
        </w:tc>
        <w:tc>
          <w:tcPr>
            <w:tcW w:w="373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Definitive diagnosis required for other sites. Histology or CMV</w:t>
            </w:r>
          </w:p>
          <w:p w:rsidR="00FF2CD0" w:rsidRPr="00C03FCA" w:rsidRDefault="00FF2CD0" w:rsidP="00FF2CD0">
            <w:pPr>
              <w:spacing w:after="0" w:line="240" w:lineRule="exact"/>
              <w:ind w:left="52" w:right="-20"/>
              <w:rPr>
                <w:rFonts w:ascii="Arial" w:eastAsia="Times New Roman" w:hAnsi="Arial" w:cs="Arial"/>
              </w:rPr>
            </w:pPr>
            <w:r w:rsidRPr="00C03FCA">
              <w:rPr>
                <w:rFonts w:ascii="Arial" w:eastAsia="Times New Roman" w:hAnsi="Arial" w:cs="Arial"/>
                <w:color w:val="231F20"/>
              </w:rPr>
              <w:t>demonstrated in CSF by culture or DNA</w:t>
            </w:r>
          </w:p>
          <w:p w:rsidR="00FF2CD0" w:rsidRPr="00C03FCA" w:rsidRDefault="00FF2CD0" w:rsidP="00FF2CD0">
            <w:pPr>
              <w:spacing w:after="0" w:line="240" w:lineRule="exact"/>
              <w:ind w:left="52" w:right="-20"/>
              <w:rPr>
                <w:rFonts w:ascii="Arial" w:eastAsia="Times New Roman" w:hAnsi="Arial" w:cs="Arial"/>
              </w:rPr>
            </w:pPr>
            <w:r w:rsidRPr="00C03FCA">
              <w:rPr>
                <w:rFonts w:ascii="Arial" w:eastAsia="Times New Roman" w:hAnsi="Arial" w:cs="Arial"/>
                <w:color w:val="231F20"/>
              </w:rPr>
              <w:t>- PCR</w:t>
            </w:r>
          </w:p>
        </w:tc>
      </w:tr>
    </w:tbl>
    <w:p w:rsidR="00FF2CD0" w:rsidRPr="00C203F3" w:rsidRDefault="00FF2CD0" w:rsidP="00FF2CD0">
      <w:pPr>
        <w:ind w:left="720"/>
        <w:jc w:val="center"/>
        <w:rPr>
          <w:rFonts w:ascii="Arial Narrow" w:hAnsi="Arial Narrow"/>
          <w:sz w:val="24"/>
          <w:szCs w:val="24"/>
        </w:rPr>
      </w:pPr>
    </w:p>
    <w:tbl>
      <w:tblPr>
        <w:tblpPr w:leftFromText="180" w:rightFromText="180" w:vertAnchor="text" w:horzAnchor="margin" w:tblpX="275" w:tblpYSpec="outside"/>
        <w:tblW w:w="0" w:type="auto"/>
        <w:tblLayout w:type="fixed"/>
        <w:tblCellMar>
          <w:left w:w="0" w:type="dxa"/>
          <w:right w:w="0" w:type="dxa"/>
        </w:tblCellMar>
        <w:tblLook w:val="01E0" w:firstRow="1" w:lastRow="1" w:firstColumn="1" w:lastColumn="1" w:noHBand="0" w:noVBand="0"/>
      </w:tblPr>
      <w:tblGrid>
        <w:gridCol w:w="2430"/>
        <w:gridCol w:w="3780"/>
        <w:gridCol w:w="3780"/>
      </w:tblGrid>
      <w:tr w:rsidR="00FF2CD0" w:rsidRPr="00C03FCA" w:rsidTr="00FF2CD0">
        <w:trPr>
          <w:trHeight w:hRule="exact" w:val="912"/>
        </w:trPr>
        <w:tc>
          <w:tcPr>
            <w:tcW w:w="243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CNS toxoplasmosis</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with onset at age over</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1 month</w:t>
            </w:r>
          </w:p>
        </w:tc>
        <w:tc>
          <w:tcPr>
            <w:tcW w:w="378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Feve</w:t>
            </w:r>
            <w:r w:rsidRPr="00C03FCA">
              <w:rPr>
                <w:rFonts w:ascii="Arial" w:eastAsia="Times New Roman" w:hAnsi="Arial" w:cs="Arial"/>
                <w:color w:val="231F20"/>
                <w:spacing w:val="-9"/>
              </w:rPr>
              <w:t>r</w:t>
            </w:r>
            <w:r w:rsidRPr="00C03FCA">
              <w:rPr>
                <w:rFonts w:ascii="Arial" w:eastAsia="Times New Roman" w:hAnsi="Arial" w:cs="Arial"/>
                <w:color w:val="231F20"/>
              </w:rPr>
              <w:t>, headache, focal neurological signs, convulsions. Usually responds within 10 days to specific therap</w:t>
            </w:r>
            <w:r w:rsidRPr="00C03FCA">
              <w:rPr>
                <w:rFonts w:ascii="Arial" w:eastAsia="Times New Roman" w:hAnsi="Arial" w:cs="Arial"/>
                <w:color w:val="231F20"/>
                <w:spacing w:val="-15"/>
              </w:rPr>
              <w:t>y</w:t>
            </w:r>
            <w:r w:rsidRPr="00C03FCA">
              <w:rPr>
                <w:rFonts w:ascii="Arial" w:eastAsia="Times New Roman" w:hAnsi="Arial" w:cs="Arial"/>
                <w:color w:val="231F20"/>
              </w:rPr>
              <w:t>.</w:t>
            </w:r>
          </w:p>
        </w:tc>
        <w:tc>
          <w:tcPr>
            <w:tcW w:w="378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 xml:space="preserve">Positive serum </w:t>
            </w:r>
            <w:r w:rsidRPr="00C03FCA">
              <w:rPr>
                <w:rFonts w:ascii="Arial" w:eastAsia="Times New Roman" w:hAnsi="Arial" w:cs="Arial"/>
                <w:color w:val="231F20"/>
                <w:spacing w:val="-15"/>
              </w:rPr>
              <w:t>T</w:t>
            </w:r>
            <w:r w:rsidRPr="00C03FCA">
              <w:rPr>
                <w:rFonts w:ascii="Arial" w:eastAsia="Times New Roman" w:hAnsi="Arial" w:cs="Arial"/>
                <w:color w:val="231F20"/>
              </w:rPr>
              <w:t>oxoplasma antibody and</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available, neuroimaging showing single/</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multiple intracranial mass lesions</w:t>
            </w:r>
          </w:p>
        </w:tc>
      </w:tr>
      <w:tr w:rsidR="00FF2CD0" w:rsidRPr="00C03FCA" w:rsidTr="00FF2CD0">
        <w:trPr>
          <w:trHeight w:hRule="exact" w:val="1586"/>
        </w:trPr>
        <w:tc>
          <w:tcPr>
            <w:tcW w:w="243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Extra-pulmonary</w:t>
            </w:r>
          </w:p>
          <w:p w:rsidR="00FF2CD0" w:rsidRPr="00C03FCA" w:rsidRDefault="00FF2CD0" w:rsidP="00FF2CD0">
            <w:pPr>
              <w:spacing w:before="3" w:after="0" w:line="242" w:lineRule="auto"/>
              <w:ind w:left="52" w:right="232"/>
              <w:rPr>
                <w:rFonts w:ascii="Arial" w:eastAsia="Times New Roman" w:hAnsi="Arial" w:cs="Arial"/>
              </w:rPr>
            </w:pPr>
            <w:r w:rsidRPr="00C03FCA">
              <w:rPr>
                <w:rFonts w:ascii="Arial" w:eastAsia="Times New Roman" w:hAnsi="Arial" w:cs="Arial"/>
                <w:color w:val="231F20"/>
              </w:rPr>
              <w:t>Cryptococcus including meningitis</w:t>
            </w:r>
          </w:p>
        </w:tc>
        <w:tc>
          <w:tcPr>
            <w:tcW w:w="378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Meningitis: usually sub acute, fever with increasing severe headache, meanings, confusion, behavioral changes that responds to cryptococcal therap</w:t>
            </w:r>
            <w:r w:rsidRPr="00C03FCA">
              <w:rPr>
                <w:rFonts w:ascii="Arial" w:eastAsia="Times New Roman" w:hAnsi="Arial" w:cs="Arial"/>
                <w:color w:val="231F20"/>
                <w:spacing w:val="-14"/>
              </w:rPr>
              <w:t>y</w:t>
            </w:r>
            <w:r w:rsidRPr="00C03FCA">
              <w:rPr>
                <w:rFonts w:ascii="Arial" w:eastAsia="Times New Roman" w:hAnsi="Arial" w:cs="Arial"/>
                <w:color w:val="231F20"/>
              </w:rPr>
              <w:t>.</w:t>
            </w:r>
          </w:p>
        </w:tc>
        <w:tc>
          <w:tcPr>
            <w:tcW w:w="378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57"/>
              <w:jc w:val="both"/>
              <w:rPr>
                <w:rFonts w:ascii="Arial" w:eastAsia="Times New Roman" w:hAnsi="Arial" w:cs="Arial"/>
              </w:rPr>
            </w:pPr>
            <w:r w:rsidRPr="00C03FCA">
              <w:rPr>
                <w:rFonts w:ascii="Arial" w:eastAsia="Times New Roman" w:hAnsi="Arial" w:cs="Arial"/>
                <w:color w:val="231F20"/>
              </w:rPr>
              <w:t>Isolation of Cryptococcus neoformans from extra pulmonary site or positive cryptococcal antigen test (CRAG) in CSF or blood.</w:t>
            </w:r>
          </w:p>
        </w:tc>
      </w:tr>
      <w:tr w:rsidR="00FF2CD0" w:rsidRPr="00C03FCA" w:rsidTr="00FF2CD0">
        <w:trPr>
          <w:trHeight w:hRule="exact" w:val="2999"/>
        </w:trPr>
        <w:tc>
          <w:tcPr>
            <w:tcW w:w="243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HIV encephalopathy</w:t>
            </w:r>
          </w:p>
        </w:tc>
        <w:tc>
          <w:tcPr>
            <w:tcW w:w="378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At least one of the following, progressing</w:t>
            </w:r>
          </w:p>
          <w:p w:rsidR="00FF2CD0" w:rsidRPr="00C03FCA" w:rsidRDefault="00FF2CD0" w:rsidP="00FF2CD0">
            <w:pPr>
              <w:spacing w:before="3" w:after="0" w:line="242" w:lineRule="auto"/>
              <w:ind w:left="52" w:right="208"/>
              <w:rPr>
                <w:rFonts w:ascii="Arial" w:eastAsia="Times New Roman" w:hAnsi="Arial" w:cs="Arial"/>
              </w:rPr>
            </w:pPr>
            <w:r w:rsidRPr="00C03FCA">
              <w:rPr>
                <w:rFonts w:ascii="Arial" w:eastAsia="Times New Roman" w:hAnsi="Arial" w:cs="Arial"/>
                <w:color w:val="231F20"/>
              </w:rPr>
              <w:t>over at least two months in the absence of another illness: failure to attain, or loss of, developmental milestones, loss of intellectual ability; or progressive impaired brain growth demonstrated by stagnation of head circumference; or Acquired symmetric motor deficit accompanied by two or more of the following: paresis, pathological reflexes, ataxia, gait disturbances.</w:t>
            </w:r>
          </w:p>
        </w:tc>
        <w:tc>
          <w:tcPr>
            <w:tcW w:w="378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rPr>
                <w:rFonts w:ascii="Arial" w:hAnsi="Arial" w:cs="Arial"/>
              </w:rPr>
            </w:pPr>
          </w:p>
        </w:tc>
      </w:tr>
    </w:tbl>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p w:rsidR="00FF2CD0" w:rsidRPr="00C203F3" w:rsidRDefault="00FF2CD0" w:rsidP="00FF2CD0">
      <w:pPr>
        <w:ind w:left="720"/>
        <w:jc w:val="center"/>
        <w:rPr>
          <w:rFonts w:ascii="Arial Narrow" w:hAnsi="Arial Narrow"/>
          <w:sz w:val="24"/>
          <w:szCs w:val="24"/>
        </w:rPr>
      </w:pPr>
    </w:p>
    <w:p w:rsidR="00FF2CD0" w:rsidRPr="00C203F3" w:rsidRDefault="00FF2CD0" w:rsidP="00FF2CD0">
      <w:pPr>
        <w:pStyle w:val="Heading2"/>
        <w:rPr>
          <w:rFonts w:ascii="Arial Narrow" w:eastAsia="Arial" w:hAnsi="Arial Narrow"/>
          <w:sz w:val="24"/>
          <w:szCs w:val="24"/>
        </w:rPr>
      </w:pPr>
      <w:bookmarkStart w:id="1110" w:name="_Toc378258350"/>
      <w:bookmarkStart w:id="1111" w:name="_Toc382214191"/>
      <w:r w:rsidRPr="00C203F3">
        <w:rPr>
          <w:rFonts w:ascii="Arial Narrow" w:eastAsia="Arial" w:hAnsi="Arial Narrow"/>
          <w:sz w:val="24"/>
          <w:szCs w:val="24"/>
        </w:rPr>
        <w:t>ANNEX 4. DOSAGES OF</w:t>
      </w:r>
      <w:r w:rsidR="000815A7">
        <w:rPr>
          <w:rFonts w:ascii="Arial Narrow" w:eastAsia="Arial" w:hAnsi="Arial Narrow"/>
          <w:sz w:val="24"/>
          <w:szCs w:val="24"/>
        </w:rPr>
        <w:t xml:space="preserve"> </w:t>
      </w:r>
      <w:r w:rsidRPr="00C203F3">
        <w:rPr>
          <w:rFonts w:ascii="Arial Narrow" w:eastAsia="Arial" w:hAnsi="Arial Narrow"/>
          <w:sz w:val="24"/>
          <w:szCs w:val="24"/>
        </w:rPr>
        <w:t>ANTIRETROVIRAL</w:t>
      </w:r>
      <w:r w:rsidR="000815A7">
        <w:rPr>
          <w:rFonts w:ascii="Arial Narrow" w:eastAsia="Arial" w:hAnsi="Arial Narrow"/>
          <w:sz w:val="24"/>
          <w:szCs w:val="24"/>
        </w:rPr>
        <w:t xml:space="preserve"> </w:t>
      </w:r>
      <w:r w:rsidRPr="00C203F3">
        <w:rPr>
          <w:rFonts w:ascii="Arial Narrow" w:eastAsia="Arial" w:hAnsi="Arial Narrow"/>
          <w:sz w:val="24"/>
          <w:szCs w:val="24"/>
        </w:rPr>
        <w:t>DRUGS FOR</w:t>
      </w:r>
      <w:r w:rsidR="000815A7">
        <w:rPr>
          <w:rFonts w:ascii="Arial Narrow" w:eastAsia="Arial" w:hAnsi="Arial Narrow"/>
          <w:sz w:val="24"/>
          <w:szCs w:val="24"/>
        </w:rPr>
        <w:t xml:space="preserve"> </w:t>
      </w:r>
      <w:r w:rsidRPr="00C203F3">
        <w:rPr>
          <w:rFonts w:ascii="Arial Narrow" w:eastAsia="Arial" w:hAnsi="Arial Narrow"/>
          <w:sz w:val="24"/>
          <w:szCs w:val="24"/>
        </w:rPr>
        <w:t>ADU</w:t>
      </w:r>
      <w:r w:rsidRPr="00C203F3">
        <w:rPr>
          <w:rFonts w:ascii="Arial Narrow" w:eastAsia="Arial" w:hAnsi="Arial Narrow"/>
          <w:spacing w:val="-19"/>
          <w:sz w:val="24"/>
          <w:szCs w:val="24"/>
        </w:rPr>
        <w:t>L</w:t>
      </w:r>
      <w:r w:rsidRPr="00C203F3">
        <w:rPr>
          <w:rFonts w:ascii="Arial Narrow" w:eastAsia="Arial" w:hAnsi="Arial Narrow"/>
          <w:sz w:val="24"/>
          <w:szCs w:val="24"/>
        </w:rPr>
        <w:t>TS</w:t>
      </w:r>
      <w:r w:rsidR="000815A7">
        <w:rPr>
          <w:rFonts w:ascii="Arial Narrow" w:eastAsia="Arial" w:hAnsi="Arial Narrow"/>
          <w:sz w:val="24"/>
          <w:szCs w:val="24"/>
        </w:rPr>
        <w:t xml:space="preserve"> </w:t>
      </w:r>
      <w:r w:rsidRPr="00C203F3">
        <w:rPr>
          <w:rFonts w:ascii="Arial Narrow" w:eastAsia="Arial" w:hAnsi="Arial Narrow"/>
          <w:sz w:val="24"/>
          <w:szCs w:val="24"/>
        </w:rPr>
        <w:t>AND ADOLESCENTS</w:t>
      </w:r>
      <w:bookmarkEnd w:id="1110"/>
      <w:bookmarkEnd w:id="1111"/>
    </w:p>
    <w:p w:rsidR="00FF2CD0" w:rsidRPr="00C203F3" w:rsidRDefault="00FF2CD0" w:rsidP="00FF2CD0">
      <w:pPr>
        <w:ind w:left="720"/>
        <w:jc w:val="center"/>
        <w:rPr>
          <w:rFonts w:ascii="Arial Narrow" w:hAnsi="Arial Narrow"/>
          <w:sz w:val="24"/>
          <w:szCs w:val="24"/>
        </w:rPr>
      </w:pPr>
    </w:p>
    <w:tbl>
      <w:tblPr>
        <w:tblW w:w="0" w:type="auto"/>
        <w:tblInd w:w="107" w:type="dxa"/>
        <w:tblLayout w:type="fixed"/>
        <w:tblCellMar>
          <w:left w:w="0" w:type="dxa"/>
          <w:right w:w="0" w:type="dxa"/>
        </w:tblCellMar>
        <w:tblLook w:val="01E0" w:firstRow="1" w:lastRow="1" w:firstColumn="1" w:lastColumn="1" w:noHBand="0" w:noVBand="0"/>
      </w:tblPr>
      <w:tblGrid>
        <w:gridCol w:w="3351"/>
        <w:gridCol w:w="6267"/>
      </w:tblGrid>
      <w:tr w:rsidR="00FF2CD0" w:rsidRPr="00C03FCA" w:rsidTr="00FF2CD0">
        <w:trPr>
          <w:trHeight w:hRule="exact" w:val="262"/>
        </w:trPr>
        <w:tc>
          <w:tcPr>
            <w:tcW w:w="3351" w:type="dxa"/>
            <w:tcBorders>
              <w:top w:val="single" w:sz="4" w:space="0" w:color="231F20"/>
              <w:left w:val="single" w:sz="4" w:space="0" w:color="231F20"/>
              <w:bottom w:val="single" w:sz="4" w:space="0" w:color="231F20"/>
              <w:right w:val="single" w:sz="4" w:space="0" w:color="231F20"/>
            </w:tcBorders>
            <w:shd w:val="clear" w:color="auto" w:fill="00AEEF"/>
          </w:tcPr>
          <w:p w:rsidR="00FF2CD0" w:rsidRPr="00C03FCA" w:rsidRDefault="00FF2CD0" w:rsidP="00FF2CD0">
            <w:pPr>
              <w:spacing w:after="0" w:line="248" w:lineRule="exact"/>
              <w:ind w:left="52" w:right="-20"/>
              <w:rPr>
                <w:rFonts w:ascii="Arial" w:eastAsia="Times New Roman" w:hAnsi="Arial" w:cs="Arial"/>
              </w:rPr>
            </w:pPr>
            <w:r w:rsidRPr="00C03FCA">
              <w:rPr>
                <w:rFonts w:ascii="Arial" w:eastAsia="Times New Roman" w:hAnsi="Arial" w:cs="Arial"/>
                <w:b/>
                <w:bCs/>
                <w:color w:val="FFFFFF"/>
              </w:rPr>
              <w:t>Generic Name</w:t>
            </w:r>
          </w:p>
        </w:tc>
        <w:tc>
          <w:tcPr>
            <w:tcW w:w="6267" w:type="dxa"/>
            <w:tcBorders>
              <w:top w:val="single" w:sz="4" w:space="0" w:color="231F20"/>
              <w:left w:val="single" w:sz="4" w:space="0" w:color="231F20"/>
              <w:bottom w:val="single" w:sz="4" w:space="0" w:color="231F20"/>
              <w:right w:val="single" w:sz="4" w:space="0" w:color="231F20"/>
            </w:tcBorders>
            <w:shd w:val="clear" w:color="auto" w:fill="00AEEF"/>
          </w:tcPr>
          <w:p w:rsidR="00FF2CD0" w:rsidRPr="00C03FCA" w:rsidRDefault="00FF2CD0" w:rsidP="00FF2CD0">
            <w:pPr>
              <w:spacing w:after="0" w:line="248" w:lineRule="exact"/>
              <w:ind w:left="52" w:right="-20"/>
              <w:rPr>
                <w:rFonts w:ascii="Arial" w:eastAsia="Times New Roman" w:hAnsi="Arial" w:cs="Arial"/>
              </w:rPr>
            </w:pPr>
            <w:r w:rsidRPr="00C03FCA">
              <w:rPr>
                <w:rFonts w:ascii="Arial" w:eastAsia="Times New Roman" w:hAnsi="Arial" w:cs="Arial"/>
                <w:b/>
                <w:bCs/>
                <w:color w:val="FFFFFF"/>
              </w:rPr>
              <w:t>St</w:t>
            </w:r>
            <w:r w:rsidRPr="00C03FCA">
              <w:rPr>
                <w:rFonts w:ascii="Arial" w:eastAsia="Times New Roman" w:hAnsi="Arial" w:cs="Arial"/>
                <w:b/>
                <w:bCs/>
                <w:color w:val="FFFFFF"/>
                <w:spacing w:val="-4"/>
              </w:rPr>
              <w:t>r</w:t>
            </w:r>
            <w:r w:rsidRPr="00C03FCA">
              <w:rPr>
                <w:rFonts w:ascii="Arial" w:eastAsia="Times New Roman" w:hAnsi="Arial" w:cs="Arial"/>
                <w:b/>
                <w:bCs/>
                <w:color w:val="FFFFFF"/>
              </w:rPr>
              <w:t>ength and Dose</w:t>
            </w:r>
          </w:p>
        </w:tc>
      </w:tr>
      <w:tr w:rsidR="00FF2CD0" w:rsidRPr="00C03FCA" w:rsidTr="00FF2CD0">
        <w:trPr>
          <w:trHeight w:hRule="exact" w:val="266"/>
        </w:trPr>
        <w:tc>
          <w:tcPr>
            <w:tcW w:w="9618" w:type="dxa"/>
            <w:gridSpan w:val="2"/>
            <w:tcBorders>
              <w:top w:val="single" w:sz="4" w:space="0" w:color="231F20"/>
              <w:left w:val="single" w:sz="4" w:space="0" w:color="231F20"/>
              <w:bottom w:val="single" w:sz="4" w:space="0" w:color="231F20"/>
              <w:right w:val="single" w:sz="4" w:space="0" w:color="231F20"/>
            </w:tcBorders>
            <w:shd w:val="clear" w:color="auto" w:fill="92D050"/>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shd w:val="clear" w:color="auto" w:fill="92D050"/>
              </w:rPr>
              <w:t>NUCLEOSIDE REVERSETRANSCRIP</w:t>
            </w:r>
            <w:r w:rsidRPr="00C03FCA">
              <w:rPr>
                <w:rFonts w:ascii="Arial" w:eastAsia="Times New Roman" w:hAnsi="Arial" w:cs="Arial"/>
                <w:color w:val="231F20"/>
                <w:spacing w:val="-18"/>
                <w:shd w:val="clear" w:color="auto" w:fill="92D050"/>
              </w:rPr>
              <w:t>T</w:t>
            </w:r>
            <w:r w:rsidRPr="00C03FCA">
              <w:rPr>
                <w:rFonts w:ascii="Arial" w:eastAsia="Times New Roman" w:hAnsi="Arial" w:cs="Arial"/>
                <w:color w:val="231F20"/>
                <w:shd w:val="clear" w:color="auto" w:fill="92D050"/>
              </w:rPr>
              <w:t>ASE</w:t>
            </w:r>
            <w:r w:rsidRPr="00C03FCA">
              <w:rPr>
                <w:rFonts w:ascii="Arial" w:eastAsia="Times New Roman" w:hAnsi="Arial" w:cs="Arial"/>
                <w:color w:val="231F20"/>
              </w:rPr>
              <w:t xml:space="preserve"> INHIBI</w:t>
            </w:r>
            <w:r w:rsidRPr="00C03FCA">
              <w:rPr>
                <w:rFonts w:ascii="Arial" w:eastAsia="Times New Roman" w:hAnsi="Arial" w:cs="Arial"/>
                <w:color w:val="231F20"/>
                <w:spacing w:val="-4"/>
              </w:rPr>
              <w:t>T</w:t>
            </w:r>
            <w:r w:rsidRPr="00C03FCA">
              <w:rPr>
                <w:rFonts w:ascii="Arial" w:eastAsia="Times New Roman" w:hAnsi="Arial" w:cs="Arial"/>
                <w:color w:val="231F20"/>
              </w:rPr>
              <w:t>ORS</w:t>
            </w:r>
          </w:p>
        </w:tc>
      </w:tr>
      <w:tr w:rsidR="00FF2CD0" w:rsidRPr="00C03FCA" w:rsidTr="00FF2CD0">
        <w:trPr>
          <w:trHeight w:hRule="exact" w:val="266"/>
        </w:trPr>
        <w:tc>
          <w:tcPr>
            <w:tcW w:w="3351"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Abacavir (ABC)</w:t>
            </w:r>
          </w:p>
        </w:tc>
        <w:tc>
          <w:tcPr>
            <w:tcW w:w="626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300 mg twice daily or 600 mg once daily</w:t>
            </w:r>
          </w:p>
        </w:tc>
      </w:tr>
      <w:tr w:rsidR="00FF2CD0" w:rsidRPr="00C03FCA" w:rsidTr="00FF2CD0">
        <w:trPr>
          <w:trHeight w:hRule="exact" w:val="368"/>
        </w:trPr>
        <w:tc>
          <w:tcPr>
            <w:tcW w:w="3351"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Zidovudine (AZT)</w:t>
            </w:r>
          </w:p>
        </w:tc>
        <w:tc>
          <w:tcPr>
            <w:tcW w:w="626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300 mg twice daily</w:t>
            </w:r>
          </w:p>
        </w:tc>
      </w:tr>
      <w:tr w:rsidR="00FF2CD0" w:rsidRPr="00C03FCA" w:rsidTr="00FF2CD0">
        <w:trPr>
          <w:trHeight w:hRule="exact" w:val="266"/>
        </w:trPr>
        <w:tc>
          <w:tcPr>
            <w:tcW w:w="3351"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Emtricitabine (FTC)</w:t>
            </w:r>
          </w:p>
        </w:tc>
        <w:tc>
          <w:tcPr>
            <w:tcW w:w="626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107" w:right="-20"/>
              <w:rPr>
                <w:rFonts w:ascii="Arial" w:eastAsia="Times New Roman" w:hAnsi="Arial" w:cs="Arial"/>
              </w:rPr>
            </w:pPr>
            <w:r w:rsidRPr="00C03FCA">
              <w:rPr>
                <w:rFonts w:ascii="Arial" w:eastAsia="Times New Roman" w:hAnsi="Arial" w:cs="Arial"/>
                <w:color w:val="231F20"/>
              </w:rPr>
              <w:t>200mg once daily</w:t>
            </w:r>
          </w:p>
        </w:tc>
      </w:tr>
      <w:tr w:rsidR="00FF2CD0" w:rsidRPr="00C03FCA" w:rsidTr="00FF2CD0">
        <w:trPr>
          <w:trHeight w:hRule="exact" w:val="1052"/>
        </w:trPr>
        <w:tc>
          <w:tcPr>
            <w:tcW w:w="3351"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Didanosine (ddI)</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Bu</w:t>
            </w:r>
            <w:r w:rsidRPr="00C03FCA">
              <w:rPr>
                <w:rFonts w:ascii="Arial" w:eastAsia="Times New Roman" w:hAnsi="Arial" w:cs="Arial"/>
                <w:color w:val="231F20"/>
                <w:spacing w:val="-4"/>
              </w:rPr>
              <w:t>f</w:t>
            </w:r>
            <w:r w:rsidRPr="00C03FCA">
              <w:rPr>
                <w:rFonts w:ascii="Arial" w:eastAsia="Times New Roman" w:hAnsi="Arial" w:cs="Arial"/>
                <w:color w:val="231F20"/>
              </w:rPr>
              <w:t>fered tablets or enteric coated</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(EC) capsules</w:t>
            </w:r>
          </w:p>
        </w:tc>
        <w:tc>
          <w:tcPr>
            <w:tcW w:w="626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&gt;60 kg: 400gm once daily</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&lt;60 kg: 250 mg once daily</w:t>
            </w:r>
          </w:p>
        </w:tc>
      </w:tr>
      <w:tr w:rsidR="00FF2CD0" w:rsidRPr="00C03FCA" w:rsidTr="00FF2CD0">
        <w:trPr>
          <w:trHeight w:hRule="exact" w:val="326"/>
        </w:trPr>
        <w:tc>
          <w:tcPr>
            <w:tcW w:w="3351"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Lamivudine (3TC)</w:t>
            </w:r>
          </w:p>
        </w:tc>
        <w:tc>
          <w:tcPr>
            <w:tcW w:w="626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150 gm twice daily or</w:t>
            </w:r>
          </w:p>
        </w:tc>
      </w:tr>
      <w:tr w:rsidR="00FF2CD0" w:rsidRPr="00C03FCA" w:rsidTr="00FF2CD0">
        <w:trPr>
          <w:trHeight w:hRule="exact" w:val="266"/>
        </w:trPr>
        <w:tc>
          <w:tcPr>
            <w:tcW w:w="3351"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Stavudine (d4T) 30 mg twice daily</w:t>
            </w:r>
          </w:p>
        </w:tc>
        <w:tc>
          <w:tcPr>
            <w:tcW w:w="626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30 mg twice daily</w:t>
            </w:r>
          </w:p>
        </w:tc>
      </w:tr>
      <w:tr w:rsidR="00FF2CD0" w:rsidRPr="00C03FCA" w:rsidTr="00FF2CD0">
        <w:trPr>
          <w:trHeight w:hRule="exact" w:val="266"/>
        </w:trPr>
        <w:tc>
          <w:tcPr>
            <w:tcW w:w="9618" w:type="dxa"/>
            <w:gridSpan w:val="2"/>
            <w:tcBorders>
              <w:top w:val="single" w:sz="4" w:space="0" w:color="231F20"/>
              <w:left w:val="single" w:sz="4" w:space="0" w:color="231F20"/>
              <w:bottom w:val="single" w:sz="4" w:space="0" w:color="231F20"/>
              <w:right w:val="single" w:sz="4" w:space="0" w:color="231F20"/>
            </w:tcBorders>
            <w:shd w:val="clear" w:color="auto" w:fill="92D050"/>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NUCLEOTIDE REVERSETRANSCRIP</w:t>
            </w:r>
            <w:r w:rsidRPr="00C03FCA">
              <w:rPr>
                <w:rFonts w:ascii="Arial" w:eastAsia="Times New Roman" w:hAnsi="Arial" w:cs="Arial"/>
                <w:color w:val="231F20"/>
                <w:spacing w:val="-18"/>
              </w:rPr>
              <w:t>T</w:t>
            </w:r>
            <w:r w:rsidRPr="00C03FCA">
              <w:rPr>
                <w:rFonts w:ascii="Arial" w:eastAsia="Times New Roman" w:hAnsi="Arial" w:cs="Arial"/>
                <w:color w:val="231F20"/>
              </w:rPr>
              <w:t>ASE INHIBI</w:t>
            </w:r>
            <w:r w:rsidRPr="00C03FCA">
              <w:rPr>
                <w:rFonts w:ascii="Arial" w:eastAsia="Times New Roman" w:hAnsi="Arial" w:cs="Arial"/>
                <w:color w:val="231F20"/>
                <w:spacing w:val="-4"/>
              </w:rPr>
              <w:t>T</w:t>
            </w:r>
            <w:r w:rsidRPr="00C03FCA">
              <w:rPr>
                <w:rFonts w:ascii="Arial" w:eastAsia="Times New Roman" w:hAnsi="Arial" w:cs="Arial"/>
                <w:color w:val="231F20"/>
              </w:rPr>
              <w:t>ORS</w:t>
            </w:r>
          </w:p>
        </w:tc>
      </w:tr>
      <w:tr w:rsidR="00FF2CD0" w:rsidRPr="00C03FCA" w:rsidTr="00FF2CD0">
        <w:trPr>
          <w:trHeight w:hRule="exact" w:val="266"/>
        </w:trPr>
        <w:tc>
          <w:tcPr>
            <w:tcW w:w="3351"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spacing w:val="-15"/>
              </w:rPr>
              <w:t>T</w:t>
            </w:r>
            <w:r w:rsidRPr="00C03FCA">
              <w:rPr>
                <w:rFonts w:ascii="Arial" w:eastAsia="Times New Roman" w:hAnsi="Arial" w:cs="Arial"/>
                <w:color w:val="231F20"/>
              </w:rPr>
              <w:t>enofovir (TDF)</w:t>
            </w:r>
          </w:p>
        </w:tc>
        <w:tc>
          <w:tcPr>
            <w:tcW w:w="626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300 mg once daily</w:t>
            </w:r>
          </w:p>
        </w:tc>
      </w:tr>
      <w:tr w:rsidR="00FF2CD0" w:rsidRPr="00C03FCA" w:rsidTr="00FF2CD0">
        <w:trPr>
          <w:trHeight w:hRule="exact" w:val="266"/>
        </w:trPr>
        <w:tc>
          <w:tcPr>
            <w:tcW w:w="9618" w:type="dxa"/>
            <w:gridSpan w:val="2"/>
            <w:tcBorders>
              <w:top w:val="single" w:sz="4" w:space="0" w:color="231F20"/>
              <w:left w:val="single" w:sz="4" w:space="0" w:color="231F20"/>
              <w:bottom w:val="single" w:sz="4" w:space="0" w:color="231F20"/>
              <w:right w:val="single" w:sz="4" w:space="0" w:color="231F20"/>
            </w:tcBorders>
            <w:shd w:val="clear" w:color="auto" w:fill="92D050"/>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NON – NUCLEOSIDE REVERSETRANSCRIP</w:t>
            </w:r>
            <w:r w:rsidRPr="00C03FCA">
              <w:rPr>
                <w:rFonts w:ascii="Arial" w:eastAsia="Times New Roman" w:hAnsi="Arial" w:cs="Arial"/>
                <w:color w:val="231F20"/>
                <w:spacing w:val="-18"/>
              </w:rPr>
              <w:t>T</w:t>
            </w:r>
            <w:r w:rsidRPr="00C03FCA">
              <w:rPr>
                <w:rFonts w:ascii="Arial" w:eastAsia="Times New Roman" w:hAnsi="Arial" w:cs="Arial"/>
                <w:color w:val="231F20"/>
              </w:rPr>
              <w:t>ASE INHIBI</w:t>
            </w:r>
            <w:r w:rsidRPr="00C03FCA">
              <w:rPr>
                <w:rFonts w:ascii="Arial" w:eastAsia="Times New Roman" w:hAnsi="Arial" w:cs="Arial"/>
                <w:color w:val="231F20"/>
                <w:spacing w:val="-4"/>
              </w:rPr>
              <w:t>T</w:t>
            </w:r>
            <w:r w:rsidRPr="00C03FCA">
              <w:rPr>
                <w:rFonts w:ascii="Arial" w:eastAsia="Times New Roman" w:hAnsi="Arial" w:cs="Arial"/>
                <w:color w:val="231F20"/>
              </w:rPr>
              <w:t>ORS</w:t>
            </w:r>
          </w:p>
        </w:tc>
      </w:tr>
      <w:tr w:rsidR="00FF2CD0" w:rsidRPr="00C03FCA" w:rsidTr="00FF2CD0">
        <w:trPr>
          <w:trHeight w:hRule="exact" w:val="485"/>
        </w:trPr>
        <w:tc>
          <w:tcPr>
            <w:tcW w:w="3351"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Efavirenz (EFV)</w:t>
            </w:r>
          </w:p>
        </w:tc>
        <w:tc>
          <w:tcPr>
            <w:tcW w:w="626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600 mg once daily</w:t>
            </w:r>
          </w:p>
        </w:tc>
      </w:tr>
      <w:tr w:rsidR="00FF2CD0" w:rsidRPr="00C03FCA" w:rsidTr="00FF2CD0">
        <w:trPr>
          <w:trHeight w:hRule="exact" w:val="522"/>
        </w:trPr>
        <w:tc>
          <w:tcPr>
            <w:tcW w:w="3351"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Nevirapine (NVP)</w:t>
            </w:r>
          </w:p>
        </w:tc>
        <w:tc>
          <w:tcPr>
            <w:tcW w:w="626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200 mg once daily for 14 days, followed by</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200 mg twice daily</w:t>
            </w:r>
          </w:p>
        </w:tc>
      </w:tr>
      <w:tr w:rsidR="00FF2CD0" w:rsidRPr="00C03FCA" w:rsidTr="00FF2CD0">
        <w:trPr>
          <w:trHeight w:hRule="exact" w:val="266"/>
        </w:trPr>
        <w:tc>
          <w:tcPr>
            <w:tcW w:w="9618" w:type="dxa"/>
            <w:gridSpan w:val="2"/>
            <w:tcBorders>
              <w:top w:val="single" w:sz="4" w:space="0" w:color="231F20"/>
              <w:left w:val="single" w:sz="4" w:space="0" w:color="231F20"/>
              <w:bottom w:val="single" w:sz="4" w:space="0" w:color="231F20"/>
              <w:right w:val="single" w:sz="4" w:space="0" w:color="231F20"/>
            </w:tcBorders>
            <w:shd w:val="clear" w:color="auto" w:fill="92D050"/>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PROTEASES INHIBI</w:t>
            </w:r>
            <w:r w:rsidRPr="00C03FCA">
              <w:rPr>
                <w:rFonts w:ascii="Arial" w:eastAsia="Times New Roman" w:hAnsi="Arial" w:cs="Arial"/>
                <w:color w:val="231F20"/>
                <w:spacing w:val="-4"/>
              </w:rPr>
              <w:t>T</w:t>
            </w:r>
            <w:r w:rsidRPr="00C03FCA">
              <w:rPr>
                <w:rFonts w:ascii="Arial" w:eastAsia="Times New Roman" w:hAnsi="Arial" w:cs="Arial"/>
                <w:color w:val="231F20"/>
              </w:rPr>
              <w:t>ORS</w:t>
            </w:r>
          </w:p>
        </w:tc>
      </w:tr>
      <w:tr w:rsidR="00FF2CD0" w:rsidRPr="00C03FCA" w:rsidTr="00FF2CD0">
        <w:trPr>
          <w:trHeight w:hRule="exact" w:val="318"/>
        </w:trPr>
        <w:tc>
          <w:tcPr>
            <w:tcW w:w="3351"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Atazanavir + ritonavir(</w:t>
            </w:r>
            <w:r w:rsidRPr="00C03FCA">
              <w:rPr>
                <w:rFonts w:ascii="Arial" w:eastAsia="Times New Roman" w:hAnsi="Arial" w:cs="Arial"/>
                <w:color w:val="231F20"/>
                <w:spacing w:val="-25"/>
              </w:rPr>
              <w:t>A</w:t>
            </w:r>
            <w:r w:rsidRPr="00C03FCA">
              <w:rPr>
                <w:rFonts w:ascii="Arial" w:eastAsia="Times New Roman" w:hAnsi="Arial" w:cs="Arial"/>
                <w:color w:val="231F20"/>
              </w:rPr>
              <w:t>TV/r</w:t>
            </w:r>
          </w:p>
        </w:tc>
        <w:tc>
          <w:tcPr>
            <w:tcW w:w="626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300 mg + 100 mg once daily</w:t>
            </w:r>
          </w:p>
        </w:tc>
      </w:tr>
      <w:tr w:rsidR="00FF2CD0" w:rsidRPr="00C03FCA" w:rsidTr="00FF2CD0">
        <w:trPr>
          <w:trHeight w:hRule="exact" w:val="2773"/>
        </w:trPr>
        <w:tc>
          <w:tcPr>
            <w:tcW w:w="3351"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color w:val="231F20"/>
              </w:rPr>
            </w:pPr>
            <w:r w:rsidRPr="00C03FCA">
              <w:rPr>
                <w:rFonts w:ascii="Arial" w:eastAsia="Palatino Linotype" w:hAnsi="Arial" w:cs="Arial"/>
                <w:color w:val="231F20"/>
                <w:position w:val="1"/>
              </w:rPr>
              <w:t>Lopinavir/ritonavir (LPV/r</w:t>
            </w:r>
            <w:r w:rsidRPr="00C03FCA">
              <w:rPr>
                <w:rFonts w:ascii="Arial" w:eastAsia="Times New Roman" w:hAnsi="Arial" w:cs="Arial"/>
                <w:color w:val="231F20"/>
                <w:position w:val="1"/>
              </w:rPr>
              <w:t>)</w:t>
            </w:r>
          </w:p>
        </w:tc>
        <w:tc>
          <w:tcPr>
            <w:tcW w:w="6267"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tabs>
                <w:tab w:val="left" w:pos="3520"/>
              </w:tabs>
              <w:spacing w:after="0" w:line="309" w:lineRule="exact"/>
              <w:ind w:left="115" w:right="-20"/>
              <w:rPr>
                <w:rFonts w:ascii="Arial" w:eastAsia="Palatino Linotype" w:hAnsi="Arial" w:cs="Arial"/>
                <w:b/>
                <w:color w:val="231F20"/>
                <w:position w:val="1"/>
              </w:rPr>
            </w:pPr>
            <w:r w:rsidRPr="00C03FCA">
              <w:rPr>
                <w:rFonts w:ascii="Arial" w:eastAsia="Palatino Linotype" w:hAnsi="Arial" w:cs="Arial"/>
                <w:b/>
                <w:color w:val="231F20"/>
                <w:spacing w:val="-17"/>
                <w:position w:val="1"/>
              </w:rPr>
              <w:t>T</w:t>
            </w:r>
            <w:r w:rsidRPr="00C03FCA">
              <w:rPr>
                <w:rFonts w:ascii="Arial" w:eastAsia="Palatino Linotype" w:hAnsi="Arial" w:cs="Arial"/>
                <w:b/>
                <w:color w:val="231F20"/>
                <w:position w:val="1"/>
              </w:rPr>
              <w:t>reatment–naï</w:t>
            </w:r>
            <w:r w:rsidRPr="00C03FCA">
              <w:rPr>
                <w:rFonts w:ascii="Arial" w:eastAsia="Palatino Linotype" w:hAnsi="Arial" w:cs="Arial"/>
                <w:b/>
                <w:color w:val="231F20"/>
                <w:spacing w:val="-4"/>
                <w:position w:val="1"/>
              </w:rPr>
              <w:t>v</w:t>
            </w:r>
            <w:r w:rsidRPr="00C03FCA">
              <w:rPr>
                <w:rFonts w:ascii="Arial" w:eastAsia="Palatino Linotype" w:hAnsi="Arial" w:cs="Arial"/>
                <w:b/>
                <w:color w:val="231F20"/>
                <w:position w:val="1"/>
              </w:rPr>
              <w:t xml:space="preserve">e patients </w:t>
            </w:r>
          </w:p>
          <w:p w:rsidR="00FF2CD0" w:rsidRPr="00C03FCA" w:rsidRDefault="00FF2CD0" w:rsidP="00FF2CD0">
            <w:pPr>
              <w:tabs>
                <w:tab w:val="left" w:pos="3520"/>
              </w:tabs>
              <w:spacing w:after="0" w:line="309" w:lineRule="exact"/>
              <w:ind w:left="115" w:right="-20"/>
              <w:rPr>
                <w:rFonts w:ascii="Arial" w:eastAsia="Palatino Linotype" w:hAnsi="Arial" w:cs="Arial"/>
                <w:color w:val="231F20"/>
                <w:position w:val="2"/>
              </w:rPr>
            </w:pPr>
            <w:r w:rsidRPr="00C03FCA">
              <w:rPr>
                <w:rFonts w:ascii="Arial" w:eastAsia="Palatino Linotype" w:hAnsi="Arial" w:cs="Arial"/>
                <w:color w:val="231F20"/>
                <w:spacing w:val="-17"/>
                <w:position w:val="1"/>
              </w:rPr>
              <w:t>Two tablets</w:t>
            </w:r>
            <w:r w:rsidRPr="00C03FCA">
              <w:rPr>
                <w:rFonts w:ascii="Arial" w:eastAsia="Palatino Linotype" w:hAnsi="Arial" w:cs="Arial"/>
                <w:color w:val="231F20"/>
                <w:position w:val="2"/>
              </w:rPr>
              <w:t xml:space="preserve"> twice daily irrespecti</w:t>
            </w:r>
            <w:r w:rsidRPr="00C03FCA">
              <w:rPr>
                <w:rFonts w:ascii="Arial" w:eastAsia="Palatino Linotype" w:hAnsi="Arial" w:cs="Arial"/>
                <w:color w:val="231F20"/>
                <w:spacing w:val="-4"/>
                <w:position w:val="2"/>
              </w:rPr>
              <w:t>v</w:t>
            </w:r>
            <w:r w:rsidRPr="00C03FCA">
              <w:rPr>
                <w:rFonts w:ascii="Arial" w:eastAsia="Palatino Linotype" w:hAnsi="Arial" w:cs="Arial"/>
                <w:color w:val="231F20"/>
                <w:position w:val="2"/>
              </w:rPr>
              <w:t xml:space="preserve">e of co administration with EFV or NVP(400/100 mg twice daily) </w:t>
            </w:r>
          </w:p>
          <w:p w:rsidR="00FF2CD0" w:rsidRPr="00C03FCA" w:rsidRDefault="00FF2CD0" w:rsidP="00FF2CD0">
            <w:pPr>
              <w:tabs>
                <w:tab w:val="left" w:pos="3520"/>
              </w:tabs>
              <w:spacing w:after="0" w:line="309" w:lineRule="exact"/>
              <w:ind w:left="115" w:right="-20"/>
              <w:rPr>
                <w:rFonts w:ascii="Arial" w:eastAsia="Times New Roman" w:hAnsi="Arial" w:cs="Arial"/>
                <w:color w:val="231F20"/>
              </w:rPr>
            </w:pPr>
            <w:r w:rsidRPr="00C03FCA">
              <w:rPr>
                <w:rFonts w:ascii="Arial" w:eastAsia="Times New Roman" w:hAnsi="Arial" w:cs="Arial"/>
                <w:b/>
                <w:bCs/>
                <w:color w:val="231F20"/>
              </w:rPr>
              <w:t>T</w:t>
            </w:r>
            <w:r w:rsidRPr="00C03FCA">
              <w:rPr>
                <w:rFonts w:ascii="Arial" w:eastAsia="Times New Roman" w:hAnsi="Arial" w:cs="Arial"/>
                <w:color w:val="231F20"/>
              </w:rPr>
              <w:t xml:space="preserve">ablets (heat-stable formulation) Lopinavir 200 mg /ritonavir 50 mg </w:t>
            </w:r>
          </w:p>
          <w:p w:rsidR="00FF2CD0" w:rsidRPr="00C03FCA" w:rsidRDefault="00FF2CD0" w:rsidP="00FF2CD0">
            <w:pPr>
              <w:tabs>
                <w:tab w:val="left" w:pos="3520"/>
              </w:tabs>
              <w:spacing w:after="0" w:line="309" w:lineRule="exact"/>
              <w:ind w:left="115" w:right="-20"/>
              <w:rPr>
                <w:rFonts w:ascii="Arial" w:eastAsia="Palatino Linotype" w:hAnsi="Arial" w:cs="Arial"/>
                <w:b/>
                <w:color w:val="231F20"/>
              </w:rPr>
            </w:pPr>
            <w:r w:rsidRPr="00C03FCA">
              <w:rPr>
                <w:rFonts w:ascii="Arial" w:eastAsia="Palatino Linotype" w:hAnsi="Arial" w:cs="Arial"/>
                <w:b/>
                <w:color w:val="231F20"/>
                <w:spacing w:val="-17"/>
              </w:rPr>
              <w:t>T</w:t>
            </w:r>
            <w:r w:rsidRPr="00C03FCA">
              <w:rPr>
                <w:rFonts w:ascii="Arial" w:eastAsia="Palatino Linotype" w:hAnsi="Arial" w:cs="Arial"/>
                <w:b/>
                <w:color w:val="231F20"/>
              </w:rPr>
              <w:t xml:space="preserve">reatment-experienced patients </w:t>
            </w:r>
          </w:p>
          <w:p w:rsidR="00FF2CD0" w:rsidRPr="00C03FCA" w:rsidRDefault="00FF2CD0" w:rsidP="00FF2CD0">
            <w:pPr>
              <w:tabs>
                <w:tab w:val="left" w:pos="3520"/>
              </w:tabs>
              <w:spacing w:after="0" w:line="309" w:lineRule="exact"/>
              <w:ind w:left="115" w:right="-20"/>
              <w:rPr>
                <w:rFonts w:ascii="Arial" w:eastAsia="Palatino Linotype" w:hAnsi="Arial" w:cs="Arial"/>
              </w:rPr>
            </w:pPr>
            <w:r w:rsidRPr="00C03FCA">
              <w:rPr>
                <w:rFonts w:ascii="Arial" w:eastAsia="Palatino Linotype" w:hAnsi="Arial" w:cs="Arial"/>
                <w:color w:val="231F20"/>
              </w:rPr>
              <w:t>Three tablets twice daily when combined with EFV or NVP(600/150 mg twice daily)</w:t>
            </w:r>
          </w:p>
          <w:p w:rsidR="00FF2CD0" w:rsidRPr="00C03FCA" w:rsidRDefault="00FF2CD0" w:rsidP="00FF2CD0">
            <w:pPr>
              <w:spacing w:after="0" w:line="252" w:lineRule="exact"/>
              <w:ind w:left="52" w:right="-20"/>
              <w:rPr>
                <w:rFonts w:ascii="Arial" w:eastAsia="Times New Roman" w:hAnsi="Arial" w:cs="Arial"/>
                <w:color w:val="231F20"/>
              </w:rPr>
            </w:pPr>
          </w:p>
        </w:tc>
      </w:tr>
    </w:tbl>
    <w:p w:rsidR="00FF2CD0" w:rsidRPr="00C203F3" w:rsidRDefault="00FF2CD0" w:rsidP="00FF2CD0">
      <w:pPr>
        <w:tabs>
          <w:tab w:val="left" w:pos="1700"/>
        </w:tabs>
        <w:spacing w:before="76" w:after="0" w:line="240" w:lineRule="auto"/>
        <w:ind w:left="261" w:right="-20"/>
        <w:rPr>
          <w:rFonts w:ascii="Arial Narrow" w:eastAsia="Arial" w:hAnsi="Arial Narrow" w:cs="Arial"/>
          <w:b/>
          <w:bCs/>
          <w:color w:val="00AEEF"/>
          <w:sz w:val="24"/>
          <w:szCs w:val="24"/>
        </w:rPr>
      </w:pPr>
    </w:p>
    <w:p w:rsidR="00FF2CD0" w:rsidRPr="00C203F3" w:rsidRDefault="00FF2CD0" w:rsidP="00FF2CD0">
      <w:pPr>
        <w:tabs>
          <w:tab w:val="left" w:pos="1700"/>
        </w:tabs>
        <w:spacing w:before="76" w:after="0" w:line="240" w:lineRule="auto"/>
        <w:ind w:left="261" w:right="-20"/>
        <w:rPr>
          <w:rFonts w:ascii="Arial Narrow" w:eastAsia="Arial" w:hAnsi="Arial Narrow" w:cs="Arial"/>
          <w:b/>
          <w:bCs/>
          <w:color w:val="00AEEF"/>
          <w:sz w:val="24"/>
          <w:szCs w:val="24"/>
        </w:rPr>
      </w:pPr>
    </w:p>
    <w:p w:rsidR="00FF2CD0" w:rsidRDefault="00FF2CD0" w:rsidP="00FF2CD0">
      <w:pPr>
        <w:tabs>
          <w:tab w:val="left" w:pos="1700"/>
        </w:tabs>
        <w:spacing w:before="76" w:after="0" w:line="240" w:lineRule="auto"/>
        <w:ind w:left="261" w:right="-20"/>
        <w:rPr>
          <w:rFonts w:ascii="Arial Narrow" w:eastAsia="Arial" w:hAnsi="Arial Narrow" w:cs="Arial"/>
          <w:b/>
          <w:bCs/>
          <w:color w:val="00AEEF"/>
          <w:sz w:val="24"/>
          <w:szCs w:val="24"/>
        </w:rPr>
      </w:pPr>
    </w:p>
    <w:p w:rsidR="00FF2CD0" w:rsidRDefault="00FF2CD0" w:rsidP="00FF2CD0">
      <w:pPr>
        <w:tabs>
          <w:tab w:val="left" w:pos="1700"/>
        </w:tabs>
        <w:spacing w:before="76" w:after="0" w:line="240" w:lineRule="auto"/>
        <w:ind w:left="261" w:right="-20"/>
        <w:rPr>
          <w:rFonts w:ascii="Arial Narrow" w:eastAsia="Arial" w:hAnsi="Arial Narrow" w:cs="Arial"/>
          <w:b/>
          <w:bCs/>
          <w:color w:val="00AEEF"/>
          <w:sz w:val="24"/>
          <w:szCs w:val="24"/>
        </w:rPr>
      </w:pPr>
    </w:p>
    <w:p w:rsidR="00FF2CD0" w:rsidRDefault="00FF2CD0" w:rsidP="00FF2CD0">
      <w:pPr>
        <w:tabs>
          <w:tab w:val="left" w:pos="1700"/>
        </w:tabs>
        <w:spacing w:before="76" w:after="0" w:line="240" w:lineRule="auto"/>
        <w:ind w:left="261" w:right="-20"/>
        <w:rPr>
          <w:rFonts w:ascii="Arial Narrow" w:eastAsia="Arial" w:hAnsi="Arial Narrow" w:cs="Arial"/>
          <w:b/>
          <w:bCs/>
          <w:color w:val="00AEEF"/>
          <w:sz w:val="24"/>
          <w:szCs w:val="24"/>
        </w:rPr>
      </w:pPr>
    </w:p>
    <w:p w:rsidR="00FF2CD0" w:rsidRDefault="00FF2CD0" w:rsidP="00FF2CD0">
      <w:pPr>
        <w:tabs>
          <w:tab w:val="left" w:pos="1700"/>
        </w:tabs>
        <w:spacing w:before="76" w:after="0" w:line="240" w:lineRule="auto"/>
        <w:ind w:left="261" w:right="-20"/>
        <w:rPr>
          <w:rFonts w:ascii="Arial Narrow" w:eastAsia="Arial" w:hAnsi="Arial Narrow" w:cs="Arial"/>
          <w:b/>
          <w:bCs/>
          <w:color w:val="00AEEF"/>
          <w:sz w:val="24"/>
          <w:szCs w:val="24"/>
        </w:rPr>
      </w:pPr>
    </w:p>
    <w:p w:rsidR="00FF2CD0" w:rsidRDefault="00FF2CD0" w:rsidP="00FF2CD0">
      <w:pPr>
        <w:tabs>
          <w:tab w:val="left" w:pos="1700"/>
        </w:tabs>
        <w:spacing w:before="76" w:after="0" w:line="240" w:lineRule="auto"/>
        <w:ind w:left="261" w:right="-20"/>
        <w:rPr>
          <w:rFonts w:ascii="Arial Narrow" w:eastAsia="Arial" w:hAnsi="Arial Narrow" w:cs="Arial"/>
          <w:b/>
          <w:bCs/>
          <w:color w:val="00AEEF"/>
          <w:sz w:val="24"/>
          <w:szCs w:val="24"/>
        </w:rPr>
      </w:pPr>
    </w:p>
    <w:p w:rsidR="00FF2CD0" w:rsidRDefault="00FF2CD0" w:rsidP="00FF2CD0">
      <w:pPr>
        <w:tabs>
          <w:tab w:val="left" w:pos="1700"/>
        </w:tabs>
        <w:spacing w:before="76" w:after="0" w:line="240" w:lineRule="auto"/>
        <w:ind w:left="261" w:right="-20"/>
        <w:rPr>
          <w:rFonts w:ascii="Arial Narrow" w:eastAsia="Arial" w:hAnsi="Arial Narrow" w:cs="Arial"/>
          <w:b/>
          <w:bCs/>
          <w:color w:val="00AEEF"/>
          <w:sz w:val="24"/>
          <w:szCs w:val="24"/>
        </w:rPr>
      </w:pPr>
    </w:p>
    <w:p w:rsidR="00FF2CD0" w:rsidRDefault="00FF2CD0" w:rsidP="00FF2CD0">
      <w:pPr>
        <w:tabs>
          <w:tab w:val="left" w:pos="1700"/>
        </w:tabs>
        <w:spacing w:before="76" w:after="0" w:line="240" w:lineRule="auto"/>
        <w:ind w:left="261" w:right="-20"/>
        <w:rPr>
          <w:rFonts w:ascii="Arial Narrow" w:eastAsia="Arial" w:hAnsi="Arial Narrow" w:cs="Arial"/>
          <w:b/>
          <w:bCs/>
          <w:color w:val="00AEEF"/>
          <w:sz w:val="24"/>
          <w:szCs w:val="24"/>
        </w:rPr>
      </w:pPr>
    </w:p>
    <w:p w:rsidR="00FF2CD0" w:rsidRDefault="00FF2CD0" w:rsidP="00FF2CD0">
      <w:pPr>
        <w:tabs>
          <w:tab w:val="left" w:pos="1700"/>
        </w:tabs>
        <w:spacing w:before="76" w:after="0" w:line="240" w:lineRule="auto"/>
        <w:ind w:left="261" w:right="-20"/>
        <w:rPr>
          <w:rFonts w:ascii="Arial Narrow" w:eastAsia="Arial" w:hAnsi="Arial Narrow" w:cs="Arial"/>
          <w:b/>
          <w:bCs/>
          <w:color w:val="00AEEF"/>
          <w:sz w:val="24"/>
          <w:szCs w:val="24"/>
        </w:rPr>
      </w:pPr>
    </w:p>
    <w:p w:rsidR="00FF2CD0" w:rsidRDefault="00FF2CD0" w:rsidP="00FF2CD0">
      <w:pPr>
        <w:tabs>
          <w:tab w:val="left" w:pos="1700"/>
        </w:tabs>
        <w:spacing w:before="76" w:after="0" w:line="240" w:lineRule="auto"/>
        <w:ind w:left="261" w:right="-20"/>
        <w:rPr>
          <w:rFonts w:ascii="Arial Narrow" w:eastAsia="Arial" w:hAnsi="Arial Narrow" w:cs="Arial"/>
          <w:b/>
          <w:bCs/>
          <w:color w:val="00AEEF"/>
          <w:sz w:val="24"/>
          <w:szCs w:val="24"/>
        </w:rPr>
      </w:pPr>
    </w:p>
    <w:p w:rsidR="00FF2CD0" w:rsidRDefault="00FF2CD0" w:rsidP="00FF2CD0">
      <w:pPr>
        <w:tabs>
          <w:tab w:val="left" w:pos="1700"/>
        </w:tabs>
        <w:spacing w:before="76" w:after="0" w:line="240" w:lineRule="auto"/>
        <w:ind w:left="261" w:right="-20"/>
        <w:rPr>
          <w:rFonts w:ascii="Arial Narrow" w:eastAsia="Arial" w:hAnsi="Arial Narrow" w:cs="Arial"/>
          <w:b/>
          <w:bCs/>
          <w:color w:val="00AEEF"/>
          <w:sz w:val="24"/>
          <w:szCs w:val="24"/>
        </w:rPr>
      </w:pPr>
    </w:p>
    <w:p w:rsidR="00FF2CD0" w:rsidRDefault="00FF2CD0" w:rsidP="00FF2CD0">
      <w:pPr>
        <w:tabs>
          <w:tab w:val="left" w:pos="1700"/>
        </w:tabs>
        <w:spacing w:before="76" w:after="0" w:line="240" w:lineRule="auto"/>
        <w:ind w:left="261" w:right="-20"/>
        <w:rPr>
          <w:rFonts w:ascii="Arial Narrow" w:eastAsia="Arial" w:hAnsi="Arial Narrow" w:cs="Arial"/>
          <w:b/>
          <w:bCs/>
          <w:color w:val="00AEEF"/>
          <w:sz w:val="24"/>
          <w:szCs w:val="24"/>
        </w:rPr>
      </w:pPr>
    </w:p>
    <w:p w:rsidR="00FF2CD0" w:rsidRDefault="00FF2CD0" w:rsidP="00FF2CD0">
      <w:pPr>
        <w:tabs>
          <w:tab w:val="left" w:pos="1700"/>
        </w:tabs>
        <w:spacing w:before="76" w:after="0" w:line="240" w:lineRule="auto"/>
        <w:ind w:left="261" w:right="-20"/>
        <w:rPr>
          <w:rFonts w:ascii="Arial Narrow" w:eastAsia="Arial" w:hAnsi="Arial Narrow" w:cs="Arial"/>
          <w:b/>
          <w:bCs/>
          <w:color w:val="00AEEF"/>
          <w:sz w:val="24"/>
          <w:szCs w:val="24"/>
        </w:rPr>
      </w:pPr>
    </w:p>
    <w:p w:rsidR="00FF2CD0" w:rsidRDefault="00FF2CD0" w:rsidP="00FF2CD0">
      <w:pPr>
        <w:tabs>
          <w:tab w:val="left" w:pos="1700"/>
        </w:tabs>
        <w:spacing w:before="76" w:after="0" w:line="240" w:lineRule="auto"/>
        <w:ind w:left="261" w:right="-20"/>
        <w:rPr>
          <w:rFonts w:ascii="Arial Narrow" w:eastAsia="Arial" w:hAnsi="Arial Narrow" w:cs="Arial"/>
          <w:b/>
          <w:bCs/>
          <w:color w:val="00AEEF"/>
          <w:sz w:val="24"/>
          <w:szCs w:val="24"/>
        </w:rPr>
      </w:pPr>
    </w:p>
    <w:p w:rsidR="00FF2CD0" w:rsidRPr="00C203F3" w:rsidRDefault="00AA771C" w:rsidP="00FF2CD0">
      <w:pPr>
        <w:pStyle w:val="Heading2"/>
        <w:rPr>
          <w:rFonts w:eastAsia="Arial"/>
        </w:rPr>
      </w:pPr>
      <w:r>
        <w:rPr>
          <w:rFonts w:eastAsiaTheme="minorHAnsi" w:cstheme="minorBidi"/>
          <w:noProof/>
        </w:rPr>
        <mc:AlternateContent>
          <mc:Choice Requires="wpg">
            <w:drawing>
              <wp:anchor distT="0" distB="0" distL="114300" distR="114300" simplePos="0" relativeHeight="251745280" behindDoc="1" locked="0" layoutInCell="1" allowOverlap="1">
                <wp:simplePos x="0" y="0"/>
                <wp:positionH relativeFrom="page">
                  <wp:posOffset>7827010</wp:posOffset>
                </wp:positionH>
                <wp:positionV relativeFrom="page">
                  <wp:posOffset>0</wp:posOffset>
                </wp:positionV>
                <wp:extent cx="1270" cy="190500"/>
                <wp:effectExtent l="0" t="0" r="17780" b="19050"/>
                <wp:wrapNone/>
                <wp:docPr id="947"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12326" y="0"/>
                          <a:chExt cx="2" cy="300"/>
                        </a:xfrm>
                      </wpg:grpSpPr>
                      <wps:wsp>
                        <wps:cNvPr id="948" name="Freeform 611"/>
                        <wps:cNvSpPr>
                          <a:spLocks/>
                        </wps:cNvSpPr>
                        <wps:spPr bwMode="auto">
                          <a:xfrm>
                            <a:off x="12326"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0" o:spid="_x0000_s1026" style="position:absolute;margin-left:616.3pt;margin-top:0;width:.1pt;height:15pt;z-index:-251571200;mso-position-horizontal-relative:page;mso-position-vertical-relative:page" coordorigin="12326"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">
                <v:shape id="Freeform 611" o:spid="_x0000_s1027" style="position:absolute;left:12326;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VAsEA&#10;AADcAAAADwAAAGRycy9kb3ducmV2LnhtbERPTYvCMBC9C/sfwix4EU0VWdzaKMui4MFLVdjr0IxN&#10;aTMpTWzrvzcHYY+P953tR9uInjpfOVawXCQgiAunKy4V3K7H+QaED8gaG8ek4Eke9ruPSYapdgPn&#10;1F9CKWII+xQVmBDaVEpfGLLoF64ljtzddRZDhF0pdYdDDLeNXCXJl7RYcWww2NKvoaK+PKyCXI7n&#10;2dW09tCH4S8vNsn5/qiVmn6OP1sQgcbwL367T1rB9zqujWfiE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LlQLBAAAA3AAAAA8AAAAAAAAAAAAAAAAAmAIAAGRycy9kb3du&#10;cmV2LnhtbFBLBQYAAAAABAAEAPUAAACGAwAAAAA=&#10;" path="m,300l,e" filled="f" strokeweight=".25pt">
                  <v:path arrowok="t" o:connecttype="custom" o:connectlocs="0,300;0,0" o:connectangles="0,0"/>
                </v:shape>
                <w10:wrap anchorx="page" anchory="page"/>
              </v:group>
            </w:pict>
          </mc:Fallback>
        </mc:AlternateContent>
      </w:r>
      <w:r>
        <w:rPr>
          <w:rFonts w:eastAsiaTheme="minorHAnsi" w:cstheme="minorBidi"/>
          <w:noProof/>
        </w:rPr>
        <mc:AlternateContent>
          <mc:Choice Requires="wpg">
            <w:drawing>
              <wp:anchor distT="0" distB="0" distL="114300" distR="114300" simplePos="0" relativeHeight="251746304" behindDoc="1" locked="0" layoutInCell="1" allowOverlap="1">
                <wp:simplePos x="0" y="0"/>
                <wp:positionH relativeFrom="page">
                  <wp:posOffset>7827010</wp:posOffset>
                </wp:positionH>
                <wp:positionV relativeFrom="page">
                  <wp:posOffset>5671185</wp:posOffset>
                </wp:positionV>
                <wp:extent cx="1270" cy="190500"/>
                <wp:effectExtent l="0" t="0" r="17780" b="19050"/>
                <wp:wrapNone/>
                <wp:docPr id="945"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12326" y="8931"/>
                          <a:chExt cx="2" cy="300"/>
                        </a:xfrm>
                      </wpg:grpSpPr>
                      <wps:wsp>
                        <wps:cNvPr id="946" name="Freeform 609"/>
                        <wps:cNvSpPr>
                          <a:spLocks/>
                        </wps:cNvSpPr>
                        <wps:spPr bwMode="auto">
                          <a:xfrm>
                            <a:off x="12326" y="8931"/>
                            <a:ext cx="2" cy="300"/>
                          </a:xfrm>
                          <a:custGeom>
                            <a:avLst/>
                            <a:gdLst>
                              <a:gd name="T0" fmla="+- 0 8931 8931"/>
                              <a:gd name="T1" fmla="*/ 8931 h 300"/>
                              <a:gd name="T2" fmla="+- 0 9231 8931"/>
                              <a:gd name="T3" fmla="*/ 9231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 o:spid="_x0000_s1026" style="position:absolute;margin-left:616.3pt;margin-top:446.55pt;width:.1pt;height:15pt;z-index:-251570176;mso-position-horizontal-relative:page;mso-position-vertical-relative:page" coordorigin="12326,8931"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">
                <v:shape id="Freeform 609" o:spid="_x0000_s1027" style="position:absolute;left:12326;top:8931;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ik68MA&#10;AADcAAAADwAAAGRycy9kb3ducmV2LnhtbESPQYvCMBSE78L+h/AW9iJrqoho1ygiCnvwUit4fTTP&#10;pti8lCa23X+/EQSPw8x8w6y3g61FR62vHCuYThIQxIXTFZcKLvnxewnCB2SNtWNS8EcetpuP0RpT&#10;7XrOqDuHUkQI+xQVmBCaVEpfGLLoJ64hjt7NtRZDlG0pdYt9hNtazpJkIS1WHBcMNrQ3VNzPD6sg&#10;k8NpnJvGHrrQX7NimZxuj7tSX5/D7gdEoCG8w6/2r1awmi/ge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ik68MAAADcAAAADwAAAAAAAAAAAAAAAACYAgAAZHJzL2Rv&#10;d25yZXYueG1sUEsFBgAAAAAEAAQA9QAAAIgDAAAAAA==&#10;" path="m,l,300e" filled="f" strokeweight=".25pt">
                  <v:path arrowok="t" o:connecttype="custom" o:connectlocs="0,8931;0,9231" o:connectangles="0,0"/>
                </v:shape>
                <w10:wrap anchorx="page" anchory="page"/>
              </v:group>
            </w:pict>
          </mc:Fallback>
        </mc:AlternateContent>
      </w:r>
      <w:r>
        <w:rPr>
          <w:rFonts w:eastAsiaTheme="minorHAnsi" w:cstheme="minorBidi"/>
          <w:noProof/>
        </w:rPr>
        <mc:AlternateContent>
          <mc:Choice Requires="wpg">
            <w:drawing>
              <wp:anchor distT="0" distB="0" distL="114300" distR="114300" simplePos="0" relativeHeight="251747328" behindDoc="1" locked="0" layoutInCell="1" allowOverlap="1">
                <wp:simplePos x="0" y="0"/>
                <wp:positionH relativeFrom="page">
                  <wp:posOffset>7903210</wp:posOffset>
                </wp:positionH>
                <wp:positionV relativeFrom="page">
                  <wp:posOffset>266700</wp:posOffset>
                </wp:positionV>
                <wp:extent cx="190500" cy="1270"/>
                <wp:effectExtent l="0" t="0" r="19050" b="17780"/>
                <wp:wrapNone/>
                <wp:docPr id="941"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2446" y="420"/>
                          <a:chExt cx="300" cy="2"/>
                        </a:xfrm>
                      </wpg:grpSpPr>
                      <wps:wsp>
                        <wps:cNvPr id="942" name="Freeform 605"/>
                        <wps:cNvSpPr>
                          <a:spLocks/>
                        </wps:cNvSpPr>
                        <wps:spPr bwMode="auto">
                          <a:xfrm>
                            <a:off x="12446" y="420"/>
                            <a:ext cx="300" cy="2"/>
                          </a:xfrm>
                          <a:custGeom>
                            <a:avLst/>
                            <a:gdLst>
                              <a:gd name="T0" fmla="+- 0 12446 12446"/>
                              <a:gd name="T1" fmla="*/ T0 w 300"/>
                              <a:gd name="T2" fmla="+- 0 12746 12446"/>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4" o:spid="_x0000_s1026" style="position:absolute;margin-left:622.3pt;margin-top:21pt;width:15pt;height:.1pt;z-index:-251569152;mso-position-horizontal-relative:page;mso-position-vertical-relative:page" coordorigin="12446,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">
                <v:shape id="Freeform 605" o:spid="_x0000_s1027" style="position:absolute;left:12446;top:420;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pMsQA&#10;AADcAAAADwAAAGRycy9kb3ducmV2LnhtbESPT2vCQBTE7wW/w/KE3urGKFWjq2hBmnoQ/Hd/ZJ9J&#10;MPs27K6afvtuodDjMDO/YRarzjTiQc7XlhUMBwkI4sLqmksF59P2bQrCB2SNjWVS8E0eVsveywIz&#10;bZ98oMcxlCJC2GeooAqhzaT0RUUG/cC2xNG7WmcwROlKqR0+I9w0Mk2Sd2mw5rhQYUsfFRW3490o&#10;2O/ZObyO0uGnmY12k834kn/lSr32u/UcRKAu/If/2rlWMBu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76TLEAAAA3AAAAA8AAAAAAAAAAAAAAAAAmAIAAGRycy9k&#10;b3ducmV2LnhtbFBLBQYAAAAABAAEAPUAAACJAwAAAAA=&#10;" path="m,l300,e" filled="f" strokeweight=".25pt">
                  <v:path arrowok="t" o:connecttype="custom" o:connectlocs="0,0;300,0" o:connectangles="0,0"/>
                </v:shape>
                <w10:wrap anchorx="page" anchory="page"/>
              </v:group>
            </w:pict>
          </mc:Fallback>
        </mc:AlternateContent>
      </w:r>
      <w:r>
        <w:rPr>
          <w:rFonts w:eastAsiaTheme="minorHAnsi" w:cstheme="minorBidi"/>
          <w:noProof/>
        </w:rPr>
        <mc:AlternateContent>
          <mc:Choice Requires="wpg">
            <w:drawing>
              <wp:anchor distT="0" distB="0" distL="114300" distR="114300" simplePos="0" relativeHeight="251748352" behindDoc="1" locked="0" layoutInCell="1" allowOverlap="1">
                <wp:simplePos x="0" y="0"/>
                <wp:positionH relativeFrom="page">
                  <wp:posOffset>7903210</wp:posOffset>
                </wp:positionH>
                <wp:positionV relativeFrom="page">
                  <wp:posOffset>5594985</wp:posOffset>
                </wp:positionV>
                <wp:extent cx="190500" cy="1270"/>
                <wp:effectExtent l="0" t="0" r="19050" b="17780"/>
                <wp:wrapNone/>
                <wp:docPr id="939"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2446" y="8811"/>
                          <a:chExt cx="300" cy="2"/>
                        </a:xfrm>
                      </wpg:grpSpPr>
                      <wps:wsp>
                        <wps:cNvPr id="940" name="Freeform 603"/>
                        <wps:cNvSpPr>
                          <a:spLocks/>
                        </wps:cNvSpPr>
                        <wps:spPr bwMode="auto">
                          <a:xfrm>
                            <a:off x="12446" y="8811"/>
                            <a:ext cx="300" cy="2"/>
                          </a:xfrm>
                          <a:custGeom>
                            <a:avLst/>
                            <a:gdLst>
                              <a:gd name="T0" fmla="+- 0 12446 12446"/>
                              <a:gd name="T1" fmla="*/ T0 w 300"/>
                              <a:gd name="T2" fmla="+- 0 12746 12446"/>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2" o:spid="_x0000_s1026" style="position:absolute;margin-left:622.3pt;margin-top:440.55pt;width:15pt;height:.1pt;z-index:-251568128;mso-position-horizontal-relative:page;mso-position-vertical-relative:page" coordorigin="12446,8811"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">
                <v:shape id="Freeform 603" o:spid="_x0000_s1027" style="position:absolute;left:12446;top:8811;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S3sIA&#10;AADcAAAADwAAAGRycy9kb3ducmV2LnhtbERPy2rCQBTdF/oPwxXcNRONtDU6SlsojV0E6mN/yVyT&#10;YOZOmBlj+vedhdDl4bzX29F0YiDnW8sKZkkKgriyuuVawfHw+fQKwgdkjZ1lUvBLHrabx4c15tre&#10;+IeGfahFDGGfo4ImhD6X0lcNGfSJ7Ykjd7bOYIjQ1VI7vMVw08l5mj5Lgy3HhgZ7+miouuyvRkFZ&#10;snN4zuazL7PMvl/eF6diVyg1nYxvKxCBxvAvvrsLrWC5iPP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dLewgAAANwAAAAPAAAAAAAAAAAAAAAAAJgCAABkcnMvZG93&#10;bnJldi54bWxQSwUGAAAAAAQABAD1AAAAhwMAAAAA&#10;" path="m,l300,e" filled="f" strokeweight=".25pt">
                  <v:path arrowok="t" o:connecttype="custom" o:connectlocs="0,0;300,0" o:connectangles="0,0"/>
                </v:shape>
                <w10:wrap anchorx="page" anchory="page"/>
              </v:group>
            </w:pict>
          </mc:Fallback>
        </mc:AlternateContent>
      </w:r>
      <w:r>
        <w:rPr>
          <w:rFonts w:eastAsiaTheme="minorHAnsi" w:cstheme="minorBidi"/>
          <w:noProof/>
        </w:rPr>
        <mc:AlternateContent>
          <mc:Choice Requires="wps">
            <w:drawing>
              <wp:anchor distT="0" distB="0" distL="114300" distR="114300" simplePos="0" relativeHeight="251749376" behindDoc="1" locked="0" layoutInCell="1" allowOverlap="1">
                <wp:simplePos x="0" y="0"/>
                <wp:positionH relativeFrom="page">
                  <wp:posOffset>411480</wp:posOffset>
                </wp:positionH>
                <wp:positionV relativeFrom="page">
                  <wp:posOffset>838200</wp:posOffset>
                </wp:positionV>
                <wp:extent cx="165100" cy="234950"/>
                <wp:effectExtent l="0" t="0" r="6350" b="12700"/>
                <wp:wrapNone/>
                <wp:docPr id="936"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sidP="00FF2CD0">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color w:val="FFFFFF"/>
                              </w:rPr>
                              <w:t>290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476" type="#_x0000_t202" style="position:absolute;margin-left:32.4pt;margin-top:66pt;width:13pt;height:18.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" filled="f" stroked="f">
                <v:textbox style="layout-flow:vertical" inset="0,0,0,0">
                  <w:txbxContent>
                    <w:p w:rsidR="00B247C9" w:rsidRDefault="00B247C9" w:rsidP="00FF2CD0">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color w:val="FFFFFF"/>
                        </w:rPr>
                        <w:t>290</w:t>
                      </w:r>
                    </w:p>
                  </w:txbxContent>
                </v:textbox>
                <w10:wrap anchorx="page" anchory="page"/>
              </v:shape>
            </w:pict>
          </mc:Fallback>
        </mc:AlternateContent>
      </w:r>
      <w:bookmarkStart w:id="1112" w:name="_Toc382214192"/>
      <w:r w:rsidR="00FF2CD0" w:rsidRPr="00C203F3">
        <w:rPr>
          <w:rFonts w:eastAsia="Arial"/>
        </w:rPr>
        <w:t>ANNEX 5:</w:t>
      </w:r>
      <w:r w:rsidR="00FF2CD0" w:rsidRPr="00C203F3">
        <w:rPr>
          <w:rFonts w:eastAsia="Arial"/>
        </w:rPr>
        <w:tab/>
      </w:r>
      <w:r w:rsidR="00FF2CD0" w:rsidRPr="00C203F3">
        <w:rPr>
          <w:rFonts w:eastAsia="Arial"/>
          <w:spacing w:val="-19"/>
        </w:rPr>
        <w:t>P</w:t>
      </w:r>
      <w:r w:rsidR="00FF2CD0" w:rsidRPr="00C203F3">
        <w:rPr>
          <w:rFonts w:eastAsia="Arial"/>
        </w:rPr>
        <w:t>AEDI</w:t>
      </w:r>
      <w:r w:rsidR="00FF2CD0" w:rsidRPr="00C203F3">
        <w:rPr>
          <w:rFonts w:eastAsia="Arial"/>
          <w:spacing w:val="-19"/>
        </w:rPr>
        <w:t>A</w:t>
      </w:r>
      <w:r w:rsidR="00FF2CD0" w:rsidRPr="00C203F3">
        <w:rPr>
          <w:rFonts w:eastAsia="Arial"/>
        </w:rPr>
        <w:t>TRIC ANTIRETROVIRAL DOSING</w:t>
      </w:r>
      <w:bookmarkEnd w:id="1112"/>
    </w:p>
    <w:p w:rsidR="00FF2CD0" w:rsidRPr="00C203F3" w:rsidRDefault="00AA771C" w:rsidP="00FF2CD0">
      <w:pPr>
        <w:spacing w:before="31" w:after="0" w:line="255" w:lineRule="auto"/>
        <w:ind w:left="3869" w:right="1059" w:hanging="2655"/>
        <w:rPr>
          <w:rFonts w:ascii="Arial Narrow" w:eastAsia="Times New Roman" w:hAnsi="Arial Narrow" w:cs="Times New Roman"/>
          <w:sz w:val="24"/>
          <w:szCs w:val="24"/>
        </w:rPr>
      </w:pPr>
      <w:r>
        <w:rPr>
          <w:rFonts w:ascii="Arial Narrow" w:hAnsi="Arial Narrow"/>
          <w:noProof/>
          <w:sz w:val="24"/>
          <w:szCs w:val="24"/>
        </w:rPr>
        <mc:AlternateContent>
          <mc:Choice Requires="wpg">
            <w:drawing>
              <wp:anchor distT="0" distB="0" distL="114300" distR="114300" simplePos="0" relativeHeight="251744256" behindDoc="1" locked="0" layoutInCell="1" allowOverlap="1">
                <wp:simplePos x="0" y="0"/>
                <wp:positionH relativeFrom="page">
                  <wp:posOffset>2466975</wp:posOffset>
                </wp:positionH>
                <wp:positionV relativeFrom="paragraph">
                  <wp:posOffset>394970</wp:posOffset>
                </wp:positionV>
                <wp:extent cx="4891405" cy="865505"/>
                <wp:effectExtent l="0" t="0" r="23495" b="0"/>
                <wp:wrapNone/>
                <wp:docPr id="934"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1405" cy="865505"/>
                          <a:chOff x="3885" y="622"/>
                          <a:chExt cx="7703" cy="1363"/>
                        </a:xfrm>
                      </wpg:grpSpPr>
                      <wps:wsp>
                        <wps:cNvPr id="935" name="Freeform 598"/>
                        <wps:cNvSpPr>
                          <a:spLocks/>
                        </wps:cNvSpPr>
                        <wps:spPr bwMode="auto">
                          <a:xfrm>
                            <a:off x="3885" y="622"/>
                            <a:ext cx="7703" cy="1363"/>
                          </a:xfrm>
                          <a:custGeom>
                            <a:avLst/>
                            <a:gdLst>
                              <a:gd name="T0" fmla="+- 0 11589 3885"/>
                              <a:gd name="T1" fmla="*/ T0 w 7703"/>
                              <a:gd name="T2" fmla="+- 0 1361 622"/>
                              <a:gd name="T3" fmla="*/ 1361 h 1363"/>
                              <a:gd name="T4" fmla="+- 0 11589 3885"/>
                              <a:gd name="T5" fmla="*/ T4 w 7703"/>
                              <a:gd name="T6" fmla="+- 0 622 622"/>
                              <a:gd name="T7" fmla="*/ 622 h 1363"/>
                              <a:gd name="T8" fmla="+- 0 3885 3885"/>
                              <a:gd name="T9" fmla="*/ T8 w 7703"/>
                              <a:gd name="T10" fmla="+- 0 622 622"/>
                              <a:gd name="T11" fmla="*/ 622 h 1363"/>
                              <a:gd name="T12" fmla="+- 0 3885 3885"/>
                              <a:gd name="T13" fmla="*/ T12 w 7703"/>
                              <a:gd name="T14" fmla="+- 0 977 622"/>
                              <a:gd name="T15" fmla="*/ 977 h 1363"/>
                              <a:gd name="T16" fmla="+- 0 9133 3885"/>
                              <a:gd name="T17" fmla="*/ T16 w 7703"/>
                              <a:gd name="T18" fmla="+- 0 977 622"/>
                              <a:gd name="T19" fmla="*/ 977 h 1363"/>
                              <a:gd name="T20" fmla="+- 0 9133 3885"/>
                              <a:gd name="T21" fmla="*/ T20 w 7703"/>
                              <a:gd name="T22" fmla="+- 0 1985 622"/>
                              <a:gd name="T23" fmla="*/ 1985 h 1363"/>
                              <a:gd name="T24" fmla="+- 0 10347 3885"/>
                              <a:gd name="T25" fmla="*/ T24 w 7703"/>
                              <a:gd name="T26" fmla="+- 0 1985 622"/>
                              <a:gd name="T27" fmla="*/ 1985 h 1363"/>
                              <a:gd name="T28" fmla="+- 0 10347 3885"/>
                              <a:gd name="T29" fmla="*/ T28 w 7703"/>
                              <a:gd name="T30" fmla="+- 0 1361 622"/>
                              <a:gd name="T31" fmla="*/ 1361 h 1363"/>
                              <a:gd name="T32" fmla="+- 0 11589 3885"/>
                              <a:gd name="T33" fmla="*/ T32 w 7703"/>
                              <a:gd name="T34" fmla="+- 0 1361 622"/>
                              <a:gd name="T35" fmla="*/ 1361 h 1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03" h="1363">
                                <a:moveTo>
                                  <a:pt x="7704" y="739"/>
                                </a:moveTo>
                                <a:lnTo>
                                  <a:pt x="7704" y="0"/>
                                </a:lnTo>
                                <a:lnTo>
                                  <a:pt x="0" y="0"/>
                                </a:lnTo>
                                <a:lnTo>
                                  <a:pt x="0" y="355"/>
                                </a:lnTo>
                                <a:lnTo>
                                  <a:pt x="5248" y="355"/>
                                </a:lnTo>
                                <a:lnTo>
                                  <a:pt x="5248" y="1363"/>
                                </a:lnTo>
                                <a:lnTo>
                                  <a:pt x="6462" y="1363"/>
                                </a:lnTo>
                                <a:lnTo>
                                  <a:pt x="6462" y="739"/>
                                </a:lnTo>
                                <a:lnTo>
                                  <a:pt x="7704" y="739"/>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7" o:spid="_x0000_s1026" style="position:absolute;margin-left:194.25pt;margin-top:31.1pt;width:385.15pt;height:68.15pt;z-index:-251572224;mso-position-horizontal-relative:page" coordorigin="3885,622" coordsize="7703,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">
                <v:shape id="Freeform 598" o:spid="_x0000_s1027" style="position:absolute;left:3885;top:622;width:7703;height:1363;visibility:visible;mso-wrap-style:square;v-text-anchor:top" coordsize="7703,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hx8UA&#10;AADcAAAADwAAAGRycy9kb3ducmV2LnhtbESP0WoCMRRE3wv+Q7gFX0pN1FrarVFEFFpBFm0/4LK5&#10;3Wzd3CxJ1O3fN4VCH4eZOcPMl71rxYVCbDxrGI8UCOLKm4ZrDR/v2/snEDEhG2w9k4ZvirBcDG7m&#10;WBh/5QNdjqkWGcKxQA02pa6QMlaWHMaR74iz9+mDw5RlqKUJeM1w18qJUo/SYcN5wWJHa0vV6Xh2&#10;Gt6+TtsHCvtyv9mNGyx3yt1ZpfXwtl+9gEjUp//wX/vVaHiezuD3TD4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HHxQAAANwAAAAPAAAAAAAAAAAAAAAAAJgCAABkcnMv&#10;ZG93bnJldi54bWxQSwUGAAAAAAQABAD1AAAAigMAAAAA&#10;" path="m7704,739l7704,,,,,355r5248,l5248,1363r1214,l6462,739r1242,e" fillcolor="#00aeef" stroked="f">
                  <v:path arrowok="t" o:connecttype="custom" o:connectlocs="7704,1361;7704,622;0,622;0,977;5248,977;5248,1985;6462,1985;6462,1361;7704,1361" o:connectangles="0,0,0,0,0,0,0,0,0"/>
                </v:shape>
                <w10:wrap anchorx="page"/>
              </v:group>
            </w:pict>
          </mc:Fallback>
        </mc:AlternateContent>
      </w:r>
      <w:r w:rsidR="00FF2CD0" w:rsidRPr="00C203F3">
        <w:rPr>
          <w:rFonts w:ascii="Arial Narrow" w:eastAsia="Times New Roman" w:hAnsi="Arial Narrow" w:cs="Times New Roman"/>
          <w:b/>
          <w:bCs/>
          <w:color w:val="231F20"/>
          <w:spacing w:val="7"/>
          <w:sz w:val="24"/>
          <w:szCs w:val="24"/>
        </w:rPr>
        <w:t>Simplifie</w:t>
      </w:r>
      <w:r w:rsidR="00FF2CD0" w:rsidRPr="00C203F3">
        <w:rPr>
          <w:rFonts w:ascii="Arial Narrow" w:eastAsia="Times New Roman" w:hAnsi="Arial Narrow" w:cs="Times New Roman"/>
          <w:b/>
          <w:bCs/>
          <w:color w:val="231F20"/>
          <w:sz w:val="24"/>
          <w:szCs w:val="24"/>
        </w:rPr>
        <w:t>d</w:t>
      </w:r>
      <w:r w:rsidR="00FF2CD0">
        <w:rPr>
          <w:rFonts w:ascii="Arial Narrow" w:eastAsia="Times New Roman" w:hAnsi="Arial Narrow" w:cs="Times New Roman"/>
          <w:b/>
          <w:bCs/>
          <w:color w:val="231F20"/>
          <w:sz w:val="24"/>
          <w:szCs w:val="24"/>
        </w:rPr>
        <w:t xml:space="preserve"> </w:t>
      </w:r>
      <w:r w:rsidR="00FF2CD0" w:rsidRPr="00C203F3">
        <w:rPr>
          <w:rFonts w:ascii="Arial Narrow" w:eastAsia="Times New Roman" w:hAnsi="Arial Narrow" w:cs="Times New Roman"/>
          <w:b/>
          <w:bCs/>
          <w:color w:val="231F20"/>
          <w:sz w:val="24"/>
          <w:szCs w:val="24"/>
        </w:rPr>
        <w:t>table</w:t>
      </w:r>
      <w:r w:rsidR="00FF2CD0">
        <w:rPr>
          <w:rFonts w:ascii="Arial Narrow" w:eastAsia="Times New Roman" w:hAnsi="Arial Narrow" w:cs="Times New Roman"/>
          <w:b/>
          <w:bCs/>
          <w:color w:val="231F20"/>
          <w:sz w:val="24"/>
          <w:szCs w:val="24"/>
        </w:rPr>
        <w:t xml:space="preserve"> </w:t>
      </w:r>
      <w:r w:rsidR="00FF2CD0" w:rsidRPr="00C203F3">
        <w:rPr>
          <w:rFonts w:ascii="Arial Narrow" w:eastAsia="Times New Roman" w:hAnsi="Arial Narrow" w:cs="Times New Roman"/>
          <w:b/>
          <w:bCs/>
          <w:color w:val="231F20"/>
          <w:sz w:val="24"/>
          <w:szCs w:val="24"/>
        </w:rPr>
        <w:t xml:space="preserve">giving </w:t>
      </w:r>
      <w:r w:rsidR="00FF2CD0" w:rsidRPr="00C203F3">
        <w:rPr>
          <w:rFonts w:ascii="Arial Narrow" w:eastAsia="Times New Roman" w:hAnsi="Arial Narrow" w:cs="Times New Roman"/>
          <w:b/>
          <w:bCs/>
          <w:color w:val="231F20"/>
          <w:spacing w:val="7"/>
          <w:sz w:val="24"/>
          <w:szCs w:val="24"/>
        </w:rPr>
        <w:t>numbe</w:t>
      </w:r>
      <w:r w:rsidR="00FF2CD0" w:rsidRPr="00C203F3">
        <w:rPr>
          <w:rFonts w:ascii="Arial Narrow" w:eastAsia="Times New Roman" w:hAnsi="Arial Narrow" w:cs="Times New Roman"/>
          <w:b/>
          <w:bCs/>
          <w:color w:val="231F20"/>
          <w:sz w:val="24"/>
          <w:szCs w:val="24"/>
        </w:rPr>
        <w:t xml:space="preserve">r </w:t>
      </w:r>
      <w:r w:rsidR="00FF2CD0" w:rsidRPr="00C203F3">
        <w:rPr>
          <w:rFonts w:ascii="Arial Narrow" w:eastAsia="Times New Roman" w:hAnsi="Arial Narrow" w:cs="Times New Roman"/>
          <w:b/>
          <w:bCs/>
          <w:color w:val="231F20"/>
          <w:spacing w:val="7"/>
          <w:sz w:val="24"/>
          <w:szCs w:val="24"/>
        </w:rPr>
        <w:t>o</w:t>
      </w:r>
      <w:r w:rsidR="00FF2CD0" w:rsidRPr="00C203F3">
        <w:rPr>
          <w:rFonts w:ascii="Arial Narrow" w:eastAsia="Times New Roman" w:hAnsi="Arial Narrow" w:cs="Times New Roman"/>
          <w:b/>
          <w:bCs/>
          <w:color w:val="231F20"/>
          <w:sz w:val="24"/>
          <w:szCs w:val="24"/>
        </w:rPr>
        <w:t xml:space="preserve">f </w:t>
      </w:r>
      <w:r w:rsidR="00FF2CD0" w:rsidRPr="00C203F3">
        <w:rPr>
          <w:rFonts w:ascii="Arial Narrow" w:eastAsia="Times New Roman" w:hAnsi="Arial Narrow" w:cs="Times New Roman"/>
          <w:b/>
          <w:bCs/>
          <w:color w:val="231F20"/>
          <w:spacing w:val="7"/>
          <w:sz w:val="24"/>
          <w:szCs w:val="24"/>
        </w:rPr>
        <w:t>tablet</w:t>
      </w:r>
      <w:r w:rsidR="00FF2CD0" w:rsidRPr="00C203F3">
        <w:rPr>
          <w:rFonts w:ascii="Arial Narrow" w:eastAsia="Times New Roman" w:hAnsi="Arial Narrow" w:cs="Times New Roman"/>
          <w:b/>
          <w:bCs/>
          <w:color w:val="231F20"/>
          <w:sz w:val="24"/>
          <w:szCs w:val="24"/>
        </w:rPr>
        <w:t xml:space="preserve">s </w:t>
      </w:r>
      <w:r w:rsidR="00FF2CD0" w:rsidRPr="00C203F3">
        <w:rPr>
          <w:rFonts w:ascii="Arial Narrow" w:eastAsia="Times New Roman" w:hAnsi="Arial Narrow" w:cs="Times New Roman"/>
          <w:b/>
          <w:bCs/>
          <w:color w:val="231F20"/>
          <w:spacing w:val="7"/>
          <w:sz w:val="24"/>
          <w:szCs w:val="24"/>
        </w:rPr>
        <w:t>o</w:t>
      </w:r>
      <w:r w:rsidR="00FF2CD0" w:rsidRPr="00C203F3">
        <w:rPr>
          <w:rFonts w:ascii="Arial Narrow" w:eastAsia="Times New Roman" w:hAnsi="Arial Narrow" w:cs="Times New Roman"/>
          <w:b/>
          <w:bCs/>
          <w:color w:val="231F20"/>
          <w:sz w:val="24"/>
          <w:szCs w:val="24"/>
        </w:rPr>
        <w:t xml:space="preserve">f </w:t>
      </w:r>
      <w:r w:rsidR="00FF2CD0" w:rsidRPr="00C203F3">
        <w:rPr>
          <w:rFonts w:ascii="Arial Narrow" w:eastAsia="Times New Roman" w:hAnsi="Arial Narrow" w:cs="Times New Roman"/>
          <w:b/>
          <w:bCs/>
          <w:color w:val="231F20"/>
          <w:spacing w:val="7"/>
          <w:sz w:val="24"/>
          <w:szCs w:val="24"/>
        </w:rPr>
        <w:t>child-friendl</w:t>
      </w:r>
      <w:r w:rsidR="00FF2CD0" w:rsidRPr="00C203F3">
        <w:rPr>
          <w:rFonts w:ascii="Arial Narrow" w:eastAsia="Times New Roman" w:hAnsi="Arial Narrow" w:cs="Times New Roman"/>
          <w:b/>
          <w:bCs/>
          <w:color w:val="231F20"/>
          <w:sz w:val="24"/>
          <w:szCs w:val="24"/>
        </w:rPr>
        <w:t xml:space="preserve">y </w:t>
      </w:r>
      <w:r w:rsidR="00FF2CD0" w:rsidRPr="00C203F3">
        <w:rPr>
          <w:rFonts w:ascii="Arial Narrow" w:eastAsia="Times New Roman" w:hAnsi="Arial Narrow" w:cs="Times New Roman"/>
          <w:b/>
          <w:bCs/>
          <w:color w:val="231F20"/>
          <w:spacing w:val="7"/>
          <w:sz w:val="24"/>
          <w:szCs w:val="24"/>
        </w:rPr>
        <w:t>soli</w:t>
      </w:r>
      <w:r w:rsidR="00FF2CD0" w:rsidRPr="00C203F3">
        <w:rPr>
          <w:rFonts w:ascii="Arial Narrow" w:eastAsia="Times New Roman" w:hAnsi="Arial Narrow" w:cs="Times New Roman"/>
          <w:b/>
          <w:bCs/>
          <w:color w:val="231F20"/>
          <w:sz w:val="24"/>
          <w:szCs w:val="24"/>
        </w:rPr>
        <w:t xml:space="preserve">d </w:t>
      </w:r>
      <w:r w:rsidR="00FF2CD0" w:rsidRPr="00C203F3">
        <w:rPr>
          <w:rFonts w:ascii="Arial Narrow" w:eastAsia="Times New Roman" w:hAnsi="Arial Narrow" w:cs="Times New Roman"/>
          <w:b/>
          <w:bCs/>
          <w:color w:val="231F20"/>
          <w:spacing w:val="7"/>
          <w:sz w:val="24"/>
          <w:szCs w:val="24"/>
        </w:rPr>
        <w:t>formulation</w:t>
      </w:r>
      <w:r w:rsidR="00FF2CD0" w:rsidRPr="00C203F3">
        <w:rPr>
          <w:rFonts w:ascii="Arial Narrow" w:eastAsia="Times New Roman" w:hAnsi="Arial Narrow" w:cs="Times New Roman"/>
          <w:b/>
          <w:bCs/>
          <w:color w:val="231F20"/>
          <w:sz w:val="24"/>
          <w:szCs w:val="24"/>
        </w:rPr>
        <w:t xml:space="preserve">s </w:t>
      </w:r>
      <w:r w:rsidR="00FF2CD0" w:rsidRPr="00C203F3">
        <w:rPr>
          <w:rFonts w:ascii="Arial Narrow" w:eastAsia="Times New Roman" w:hAnsi="Arial Narrow" w:cs="Times New Roman"/>
          <w:b/>
          <w:bCs/>
          <w:color w:val="231F20"/>
          <w:spacing w:val="7"/>
          <w:w w:val="101"/>
          <w:sz w:val="24"/>
          <w:szCs w:val="24"/>
        </w:rPr>
        <w:t>fo</w:t>
      </w:r>
      <w:r w:rsidR="00FF2CD0" w:rsidRPr="00C203F3">
        <w:rPr>
          <w:rFonts w:ascii="Arial Narrow" w:eastAsia="Times New Roman" w:hAnsi="Arial Narrow" w:cs="Times New Roman"/>
          <w:b/>
          <w:bCs/>
          <w:color w:val="231F20"/>
          <w:w w:val="101"/>
          <w:sz w:val="24"/>
          <w:szCs w:val="24"/>
        </w:rPr>
        <w:t xml:space="preserve">r </w:t>
      </w:r>
      <w:r w:rsidR="00FF2CD0" w:rsidRPr="00C203F3">
        <w:rPr>
          <w:rFonts w:ascii="Arial Narrow" w:eastAsia="Times New Roman" w:hAnsi="Arial Narrow" w:cs="Times New Roman"/>
          <w:b/>
          <w:bCs/>
          <w:color w:val="231F20"/>
          <w:spacing w:val="7"/>
          <w:sz w:val="24"/>
          <w:szCs w:val="24"/>
        </w:rPr>
        <w:t>mornin</w:t>
      </w:r>
      <w:r w:rsidR="00FF2CD0" w:rsidRPr="00C203F3">
        <w:rPr>
          <w:rFonts w:ascii="Arial Narrow" w:eastAsia="Times New Roman" w:hAnsi="Arial Narrow" w:cs="Times New Roman"/>
          <w:b/>
          <w:bCs/>
          <w:color w:val="231F20"/>
          <w:sz w:val="24"/>
          <w:szCs w:val="24"/>
        </w:rPr>
        <w:t xml:space="preserve">g </w:t>
      </w:r>
      <w:r w:rsidR="00FF2CD0">
        <w:rPr>
          <w:rFonts w:ascii="Arial Narrow" w:eastAsia="Times New Roman" w:hAnsi="Arial Narrow" w:cs="Times New Roman"/>
          <w:b/>
          <w:bCs/>
          <w:color w:val="231F20"/>
          <w:sz w:val="24"/>
          <w:szCs w:val="24"/>
        </w:rPr>
        <w:t>and</w:t>
      </w:r>
      <w:r w:rsidR="00FF2CD0" w:rsidRPr="00C203F3">
        <w:rPr>
          <w:rFonts w:ascii="Arial Narrow" w:eastAsia="Times New Roman" w:hAnsi="Arial Narrow" w:cs="Times New Roman"/>
          <w:b/>
          <w:bCs/>
          <w:color w:val="231F20"/>
          <w:sz w:val="24"/>
          <w:szCs w:val="24"/>
        </w:rPr>
        <w:t xml:space="preserve"> </w:t>
      </w:r>
      <w:r w:rsidR="00FF2CD0" w:rsidRPr="00C203F3">
        <w:rPr>
          <w:rFonts w:ascii="Arial Narrow" w:eastAsia="Times New Roman" w:hAnsi="Arial Narrow" w:cs="Times New Roman"/>
          <w:b/>
          <w:bCs/>
          <w:color w:val="231F20"/>
          <w:spacing w:val="7"/>
          <w:sz w:val="24"/>
          <w:szCs w:val="24"/>
        </w:rPr>
        <w:t>evenin</w:t>
      </w:r>
      <w:r w:rsidR="00FF2CD0" w:rsidRPr="00C203F3">
        <w:rPr>
          <w:rFonts w:ascii="Arial Narrow" w:eastAsia="Times New Roman" w:hAnsi="Arial Narrow" w:cs="Times New Roman"/>
          <w:b/>
          <w:bCs/>
          <w:color w:val="231F20"/>
          <w:sz w:val="24"/>
          <w:szCs w:val="24"/>
        </w:rPr>
        <w:t xml:space="preserve">g </w:t>
      </w:r>
      <w:r w:rsidR="00FF2CD0" w:rsidRPr="00C203F3">
        <w:rPr>
          <w:rFonts w:ascii="Arial Narrow" w:eastAsia="Times New Roman" w:hAnsi="Arial Narrow" w:cs="Times New Roman"/>
          <w:b/>
          <w:bCs/>
          <w:color w:val="231F20"/>
          <w:spacing w:val="7"/>
          <w:w w:val="101"/>
          <w:sz w:val="24"/>
          <w:szCs w:val="24"/>
        </w:rPr>
        <w:t>dosin</w:t>
      </w:r>
      <w:r w:rsidR="00FF2CD0" w:rsidRPr="00C203F3">
        <w:rPr>
          <w:rFonts w:ascii="Arial Narrow" w:eastAsia="Times New Roman" w:hAnsi="Arial Narrow" w:cs="Times New Roman"/>
          <w:b/>
          <w:bCs/>
          <w:color w:val="231F20"/>
          <w:w w:val="101"/>
          <w:sz w:val="24"/>
          <w:szCs w:val="24"/>
        </w:rPr>
        <w:t>g</w:t>
      </w:r>
    </w:p>
    <w:p w:rsidR="00FF2CD0" w:rsidRPr="00C203F3" w:rsidRDefault="00FF2CD0" w:rsidP="00FF2CD0">
      <w:pPr>
        <w:spacing w:before="3" w:after="0" w:line="40" w:lineRule="exact"/>
        <w:rPr>
          <w:rFonts w:ascii="Arial Narrow" w:hAnsi="Arial Narrow"/>
          <w:sz w:val="24"/>
          <w:szCs w:val="24"/>
        </w:rPr>
      </w:pPr>
    </w:p>
    <w:tbl>
      <w:tblPr>
        <w:tblW w:w="0" w:type="auto"/>
        <w:tblInd w:w="137" w:type="dxa"/>
        <w:tblLayout w:type="fixed"/>
        <w:tblCellMar>
          <w:left w:w="0" w:type="dxa"/>
          <w:right w:w="0" w:type="dxa"/>
        </w:tblCellMar>
        <w:tblLook w:val="01E0" w:firstRow="1" w:lastRow="1" w:firstColumn="1" w:lastColumn="1" w:noHBand="0" w:noVBand="0"/>
      </w:tblPr>
      <w:tblGrid>
        <w:gridCol w:w="1478"/>
        <w:gridCol w:w="1070"/>
        <w:gridCol w:w="522"/>
        <w:gridCol w:w="535"/>
        <w:gridCol w:w="520"/>
        <w:gridCol w:w="535"/>
        <w:gridCol w:w="506"/>
        <w:gridCol w:w="491"/>
        <w:gridCol w:w="535"/>
        <w:gridCol w:w="520"/>
        <w:gridCol w:w="540"/>
        <w:gridCol w:w="543"/>
        <w:gridCol w:w="1214"/>
        <w:gridCol w:w="582"/>
        <w:gridCol w:w="660"/>
      </w:tblGrid>
      <w:tr w:rsidR="00FF2CD0" w:rsidRPr="00C203F3" w:rsidTr="00FF2CD0">
        <w:trPr>
          <w:trHeight w:hRule="exact" w:val="355"/>
        </w:trPr>
        <w:tc>
          <w:tcPr>
            <w:tcW w:w="1478" w:type="dxa"/>
            <w:vMerge w:val="restart"/>
            <w:tcBorders>
              <w:top w:val="single" w:sz="8" w:space="0" w:color="231F20"/>
              <w:left w:val="single" w:sz="8" w:space="0" w:color="231F20"/>
              <w:right w:val="single" w:sz="8" w:space="0" w:color="231F20"/>
            </w:tcBorders>
            <w:shd w:val="clear" w:color="auto" w:fill="00AEEF"/>
          </w:tcPr>
          <w:p w:rsidR="00FF2CD0" w:rsidRPr="00C203F3" w:rsidRDefault="00FF2CD0" w:rsidP="00FF2CD0">
            <w:pPr>
              <w:spacing w:before="19" w:after="0" w:line="240" w:lineRule="auto"/>
              <w:ind w:left="48"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10"/>
                <w:sz w:val="24"/>
                <w:szCs w:val="24"/>
              </w:rPr>
              <w:t>Drug</w:t>
            </w:r>
          </w:p>
        </w:tc>
        <w:tc>
          <w:tcPr>
            <w:tcW w:w="1070" w:type="dxa"/>
            <w:vMerge w:val="restart"/>
            <w:tcBorders>
              <w:top w:val="single" w:sz="8" w:space="0" w:color="231F20"/>
              <w:left w:val="single" w:sz="8" w:space="0" w:color="231F20"/>
              <w:right w:val="single" w:sz="8" w:space="0" w:color="231F20"/>
            </w:tcBorders>
            <w:shd w:val="clear" w:color="auto" w:fill="00AEEF"/>
          </w:tcPr>
          <w:p w:rsidR="00FF2CD0" w:rsidRPr="00C203F3" w:rsidRDefault="00FF2CD0" w:rsidP="00FF2CD0">
            <w:pPr>
              <w:spacing w:before="52" w:after="0" w:line="204" w:lineRule="exact"/>
              <w:ind w:left="87" w:right="67"/>
              <w:jc w:val="center"/>
              <w:rPr>
                <w:rFonts w:ascii="Arial Narrow" w:eastAsia="Times New Roman" w:hAnsi="Arial Narrow" w:cs="Times New Roman"/>
                <w:sz w:val="24"/>
                <w:szCs w:val="24"/>
              </w:rPr>
            </w:pPr>
            <w:r w:rsidRPr="00C203F3">
              <w:rPr>
                <w:rFonts w:ascii="Arial Narrow" w:eastAsia="Times New Roman" w:hAnsi="Arial Narrow" w:cs="Times New Roman"/>
                <w:color w:val="FFFFFF"/>
                <w:spacing w:val="-9"/>
                <w:w w:val="101"/>
                <w:sz w:val="24"/>
                <w:szCs w:val="24"/>
              </w:rPr>
              <w:t>S</w:t>
            </w:r>
            <w:r w:rsidRPr="00C203F3">
              <w:rPr>
                <w:rFonts w:ascii="Arial Narrow" w:eastAsia="Times New Roman" w:hAnsi="Arial Narrow" w:cs="Times New Roman"/>
                <w:color w:val="FFFFFF"/>
                <w:spacing w:val="-9"/>
                <w:w w:val="122"/>
                <w:sz w:val="24"/>
                <w:szCs w:val="24"/>
              </w:rPr>
              <w:t>t</w:t>
            </w:r>
            <w:r w:rsidRPr="00C203F3">
              <w:rPr>
                <w:rFonts w:ascii="Arial Narrow" w:eastAsia="Times New Roman" w:hAnsi="Arial Narrow" w:cs="Times New Roman"/>
                <w:color w:val="FFFFFF"/>
                <w:spacing w:val="-9"/>
                <w:w w:val="119"/>
                <w:sz w:val="24"/>
                <w:szCs w:val="24"/>
              </w:rPr>
              <w:t>r</w:t>
            </w:r>
            <w:r w:rsidRPr="00C203F3">
              <w:rPr>
                <w:rFonts w:ascii="Arial Narrow" w:eastAsia="Times New Roman" w:hAnsi="Arial Narrow" w:cs="Times New Roman"/>
                <w:color w:val="FFFFFF"/>
                <w:spacing w:val="-9"/>
                <w:w w:val="101"/>
                <w:sz w:val="24"/>
                <w:szCs w:val="24"/>
              </w:rPr>
              <w:t>e</w:t>
            </w:r>
            <w:r w:rsidRPr="00C203F3">
              <w:rPr>
                <w:rFonts w:ascii="Arial Narrow" w:eastAsia="Times New Roman" w:hAnsi="Arial Narrow" w:cs="Times New Roman"/>
                <w:color w:val="FFFFFF"/>
                <w:spacing w:val="-9"/>
                <w:w w:val="113"/>
                <w:sz w:val="24"/>
                <w:szCs w:val="24"/>
              </w:rPr>
              <w:t>n</w:t>
            </w:r>
            <w:r w:rsidRPr="00C203F3">
              <w:rPr>
                <w:rFonts w:ascii="Arial Narrow" w:eastAsia="Times New Roman" w:hAnsi="Arial Narrow" w:cs="Times New Roman"/>
                <w:color w:val="FFFFFF"/>
                <w:spacing w:val="-9"/>
                <w:w w:val="101"/>
                <w:sz w:val="24"/>
                <w:szCs w:val="24"/>
              </w:rPr>
              <w:t>g</w:t>
            </w:r>
            <w:r w:rsidRPr="00C203F3">
              <w:rPr>
                <w:rFonts w:ascii="Arial Narrow" w:eastAsia="Times New Roman" w:hAnsi="Arial Narrow" w:cs="Times New Roman"/>
                <w:color w:val="FFFFFF"/>
                <w:spacing w:val="-9"/>
                <w:w w:val="122"/>
                <w:sz w:val="24"/>
                <w:szCs w:val="24"/>
              </w:rPr>
              <w:t>t</w:t>
            </w:r>
            <w:r w:rsidRPr="00C203F3">
              <w:rPr>
                <w:rFonts w:ascii="Arial Narrow" w:eastAsia="Times New Roman" w:hAnsi="Arial Narrow" w:cs="Times New Roman"/>
                <w:color w:val="FFFFFF"/>
                <w:w w:val="113"/>
                <w:sz w:val="24"/>
                <w:szCs w:val="24"/>
              </w:rPr>
              <w:t xml:space="preserve">h </w:t>
            </w:r>
            <w:r w:rsidRPr="00C203F3">
              <w:rPr>
                <w:rFonts w:ascii="Arial Narrow" w:eastAsia="Times New Roman" w:hAnsi="Arial Narrow" w:cs="Times New Roman"/>
                <w:color w:val="FFFFFF"/>
                <w:spacing w:val="-9"/>
                <w:w w:val="101"/>
                <w:sz w:val="24"/>
                <w:szCs w:val="24"/>
              </w:rPr>
              <w:t>o</w:t>
            </w:r>
            <w:r w:rsidRPr="00C203F3">
              <w:rPr>
                <w:rFonts w:ascii="Arial Narrow" w:eastAsia="Times New Roman" w:hAnsi="Arial Narrow" w:cs="Times New Roman"/>
                <w:color w:val="FFFFFF"/>
                <w:w w:val="101"/>
                <w:sz w:val="24"/>
                <w:szCs w:val="24"/>
              </w:rPr>
              <w:t xml:space="preserve">f </w:t>
            </w:r>
            <w:r w:rsidRPr="00C203F3">
              <w:rPr>
                <w:rFonts w:ascii="Arial Narrow" w:eastAsia="Times New Roman" w:hAnsi="Arial Narrow" w:cs="Times New Roman"/>
                <w:color w:val="FFFFFF"/>
                <w:spacing w:val="-9"/>
                <w:w w:val="113"/>
                <w:sz w:val="24"/>
                <w:szCs w:val="24"/>
              </w:rPr>
              <w:t>p</w:t>
            </w:r>
            <w:r w:rsidRPr="00C203F3">
              <w:rPr>
                <w:rFonts w:ascii="Arial Narrow" w:eastAsia="Times New Roman" w:hAnsi="Arial Narrow" w:cs="Times New Roman"/>
                <w:color w:val="FFFFFF"/>
                <w:spacing w:val="-9"/>
                <w:w w:val="114"/>
                <w:sz w:val="24"/>
                <w:szCs w:val="24"/>
              </w:rPr>
              <w:t>a</w:t>
            </w:r>
            <w:r w:rsidRPr="00C203F3">
              <w:rPr>
                <w:rFonts w:ascii="Arial Narrow" w:eastAsia="Times New Roman" w:hAnsi="Arial Narrow" w:cs="Times New Roman"/>
                <w:color w:val="FFFFFF"/>
                <w:spacing w:val="-9"/>
                <w:w w:val="101"/>
                <w:sz w:val="24"/>
                <w:szCs w:val="24"/>
              </w:rPr>
              <w:t>e</w:t>
            </w:r>
            <w:r w:rsidRPr="00C203F3">
              <w:rPr>
                <w:rFonts w:ascii="Arial Narrow" w:eastAsia="Times New Roman" w:hAnsi="Arial Narrow" w:cs="Times New Roman"/>
                <w:color w:val="FFFFFF"/>
                <w:spacing w:val="-9"/>
                <w:w w:val="113"/>
                <w:sz w:val="24"/>
                <w:szCs w:val="24"/>
              </w:rPr>
              <w:t>d</w:t>
            </w:r>
            <w:r w:rsidRPr="00C203F3">
              <w:rPr>
                <w:rFonts w:ascii="Arial Narrow" w:eastAsia="Times New Roman" w:hAnsi="Arial Narrow" w:cs="Times New Roman"/>
                <w:color w:val="FFFFFF"/>
                <w:spacing w:val="-9"/>
                <w:w w:val="101"/>
                <w:sz w:val="24"/>
                <w:szCs w:val="24"/>
              </w:rPr>
              <w:t>i</w:t>
            </w:r>
            <w:r w:rsidRPr="00C203F3">
              <w:rPr>
                <w:rFonts w:ascii="Arial Narrow" w:eastAsia="Times New Roman" w:hAnsi="Arial Narrow" w:cs="Times New Roman"/>
                <w:color w:val="FFFFFF"/>
                <w:spacing w:val="-9"/>
                <w:w w:val="114"/>
                <w:sz w:val="24"/>
                <w:szCs w:val="24"/>
              </w:rPr>
              <w:t>a</w:t>
            </w:r>
            <w:r w:rsidRPr="00C203F3">
              <w:rPr>
                <w:rFonts w:ascii="Arial Narrow" w:eastAsia="Times New Roman" w:hAnsi="Arial Narrow" w:cs="Times New Roman"/>
                <w:color w:val="FFFFFF"/>
                <w:spacing w:val="-9"/>
                <w:w w:val="122"/>
                <w:sz w:val="24"/>
                <w:szCs w:val="24"/>
              </w:rPr>
              <w:t>t</w:t>
            </w:r>
            <w:r w:rsidRPr="00C203F3">
              <w:rPr>
                <w:rFonts w:ascii="Arial Narrow" w:eastAsia="Times New Roman" w:hAnsi="Arial Narrow" w:cs="Times New Roman"/>
                <w:color w:val="FFFFFF"/>
                <w:spacing w:val="-9"/>
                <w:w w:val="119"/>
                <w:sz w:val="24"/>
                <w:szCs w:val="24"/>
              </w:rPr>
              <w:t>r</w:t>
            </w:r>
            <w:r w:rsidRPr="00C203F3">
              <w:rPr>
                <w:rFonts w:ascii="Arial Narrow" w:eastAsia="Times New Roman" w:hAnsi="Arial Narrow" w:cs="Times New Roman"/>
                <w:color w:val="FFFFFF"/>
                <w:spacing w:val="-9"/>
                <w:w w:val="101"/>
                <w:sz w:val="24"/>
                <w:szCs w:val="24"/>
              </w:rPr>
              <w:t>i</w:t>
            </w:r>
            <w:r w:rsidRPr="00C203F3">
              <w:rPr>
                <w:rFonts w:ascii="Arial Narrow" w:eastAsia="Times New Roman" w:hAnsi="Arial Narrow" w:cs="Times New Roman"/>
                <w:color w:val="FFFFFF"/>
                <w:w w:val="101"/>
                <w:sz w:val="24"/>
                <w:szCs w:val="24"/>
              </w:rPr>
              <w:t xml:space="preserve">c </w:t>
            </w:r>
            <w:r w:rsidRPr="00C203F3">
              <w:rPr>
                <w:rFonts w:ascii="Arial Narrow" w:eastAsia="Times New Roman" w:hAnsi="Arial Narrow" w:cs="Times New Roman"/>
                <w:color w:val="FFFFFF"/>
                <w:spacing w:val="-9"/>
                <w:w w:val="122"/>
                <w:sz w:val="24"/>
                <w:szCs w:val="24"/>
              </w:rPr>
              <w:t>t</w:t>
            </w:r>
            <w:r w:rsidRPr="00C203F3">
              <w:rPr>
                <w:rFonts w:ascii="Arial Narrow" w:eastAsia="Times New Roman" w:hAnsi="Arial Narrow" w:cs="Times New Roman"/>
                <w:color w:val="FFFFFF"/>
                <w:spacing w:val="-9"/>
                <w:w w:val="114"/>
                <w:sz w:val="24"/>
                <w:szCs w:val="24"/>
              </w:rPr>
              <w:t>a</w:t>
            </w:r>
            <w:r w:rsidRPr="00C203F3">
              <w:rPr>
                <w:rFonts w:ascii="Arial Narrow" w:eastAsia="Times New Roman" w:hAnsi="Arial Narrow" w:cs="Times New Roman"/>
                <w:color w:val="FFFFFF"/>
                <w:w w:val="101"/>
                <w:sz w:val="24"/>
                <w:szCs w:val="24"/>
              </w:rPr>
              <w:t>b</w:t>
            </w:r>
          </w:p>
          <w:p w:rsidR="00FF2CD0" w:rsidRPr="00C203F3" w:rsidRDefault="00FF2CD0" w:rsidP="00FF2CD0">
            <w:pPr>
              <w:spacing w:after="0" w:line="209" w:lineRule="exact"/>
              <w:ind w:left="288" w:right="267"/>
              <w:jc w:val="center"/>
              <w:rPr>
                <w:rFonts w:ascii="Arial Narrow" w:eastAsia="Times New Roman" w:hAnsi="Arial Narrow" w:cs="Times New Roman"/>
                <w:sz w:val="24"/>
                <w:szCs w:val="24"/>
              </w:rPr>
            </w:pPr>
            <w:r w:rsidRPr="00C203F3">
              <w:rPr>
                <w:rFonts w:ascii="Arial Narrow" w:eastAsia="Times New Roman" w:hAnsi="Arial Narrow" w:cs="Times New Roman"/>
                <w:color w:val="FFFFFF"/>
                <w:spacing w:val="-9"/>
                <w:w w:val="101"/>
                <w:sz w:val="24"/>
                <w:szCs w:val="24"/>
              </w:rPr>
              <w:t>(</w:t>
            </w:r>
            <w:r w:rsidRPr="00C203F3">
              <w:rPr>
                <w:rFonts w:ascii="Arial Narrow" w:eastAsia="Times New Roman" w:hAnsi="Arial Narrow" w:cs="Times New Roman"/>
                <w:color w:val="FFFFFF"/>
                <w:spacing w:val="-9"/>
                <w:w w:val="109"/>
                <w:sz w:val="24"/>
                <w:szCs w:val="24"/>
              </w:rPr>
              <w:t>m</w:t>
            </w:r>
            <w:r w:rsidRPr="00C203F3">
              <w:rPr>
                <w:rFonts w:ascii="Arial Narrow" w:eastAsia="Times New Roman" w:hAnsi="Arial Narrow" w:cs="Times New Roman"/>
                <w:color w:val="FFFFFF"/>
                <w:spacing w:val="-9"/>
                <w:w w:val="101"/>
                <w:sz w:val="24"/>
                <w:szCs w:val="24"/>
              </w:rPr>
              <w:t>g</w:t>
            </w:r>
            <w:r w:rsidRPr="00C203F3">
              <w:rPr>
                <w:rFonts w:ascii="Arial Narrow" w:eastAsia="Times New Roman" w:hAnsi="Arial Narrow" w:cs="Times New Roman"/>
                <w:color w:val="FFFFFF"/>
                <w:w w:val="101"/>
                <w:sz w:val="24"/>
                <w:szCs w:val="24"/>
              </w:rPr>
              <w:t>)</w:t>
            </w:r>
          </w:p>
        </w:tc>
        <w:tc>
          <w:tcPr>
            <w:tcW w:w="5247" w:type="dxa"/>
            <w:gridSpan w:val="10"/>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before="19" w:after="0" w:line="240" w:lineRule="auto"/>
              <w:ind w:left="1043"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10"/>
                <w:sz w:val="24"/>
                <w:szCs w:val="24"/>
              </w:rPr>
              <w:t>Children</w:t>
            </w:r>
            <w:r w:rsidRPr="00C203F3">
              <w:rPr>
                <w:rFonts w:ascii="Arial Narrow" w:eastAsia="Times New Roman" w:hAnsi="Arial Narrow" w:cs="Times New Roman"/>
                <w:color w:val="FFFFFF"/>
                <w:sz w:val="24"/>
                <w:szCs w:val="24"/>
              </w:rPr>
              <w:t>6weeksofageand</w:t>
            </w:r>
            <w:r w:rsidRPr="00C203F3">
              <w:rPr>
                <w:rFonts w:ascii="Arial Narrow" w:eastAsia="Times New Roman" w:hAnsi="Arial Narrow" w:cs="Times New Roman"/>
                <w:color w:val="FFFFFF"/>
                <w:w w:val="104"/>
                <w:sz w:val="24"/>
                <w:szCs w:val="24"/>
              </w:rPr>
              <w:t>above</w:t>
            </w:r>
          </w:p>
        </w:tc>
        <w:tc>
          <w:tcPr>
            <w:tcW w:w="1214" w:type="dxa"/>
            <w:vMerge w:val="restart"/>
            <w:tcBorders>
              <w:top w:val="single" w:sz="8" w:space="0" w:color="231F20"/>
              <w:left w:val="single" w:sz="8" w:space="0" w:color="231F20"/>
              <w:right w:val="single" w:sz="8" w:space="0" w:color="231F20"/>
            </w:tcBorders>
          </w:tcPr>
          <w:p w:rsidR="00FF2CD0" w:rsidRPr="00C203F3" w:rsidRDefault="00FF2CD0" w:rsidP="00FF2CD0">
            <w:pPr>
              <w:spacing w:before="19" w:after="0" w:line="255" w:lineRule="auto"/>
              <w:ind w:left="70" w:right="50"/>
              <w:jc w:val="center"/>
              <w:rPr>
                <w:rFonts w:ascii="Arial Narrow" w:eastAsia="Times New Roman" w:hAnsi="Arial Narrow" w:cs="Times New Roman"/>
                <w:sz w:val="24"/>
                <w:szCs w:val="24"/>
              </w:rPr>
            </w:pPr>
            <w:r w:rsidRPr="00C203F3">
              <w:rPr>
                <w:rFonts w:ascii="Arial Narrow" w:eastAsia="Times New Roman" w:hAnsi="Arial Narrow" w:cs="Times New Roman"/>
                <w:color w:val="FFFFFF"/>
                <w:w w:val="110"/>
                <w:sz w:val="24"/>
                <w:szCs w:val="24"/>
              </w:rPr>
              <w:t>Strength</w:t>
            </w:r>
            <w:r w:rsidRPr="00C203F3">
              <w:rPr>
                <w:rFonts w:ascii="Arial Narrow" w:eastAsia="Times New Roman" w:hAnsi="Arial Narrow" w:cs="Times New Roman"/>
                <w:color w:val="FFFFFF"/>
                <w:w w:val="101"/>
                <w:sz w:val="24"/>
                <w:szCs w:val="24"/>
              </w:rPr>
              <w:t xml:space="preserve"> of</w:t>
            </w:r>
            <w:r>
              <w:rPr>
                <w:rFonts w:ascii="Arial Narrow" w:eastAsia="Times New Roman" w:hAnsi="Arial Narrow" w:cs="Times New Roman"/>
                <w:color w:val="FFFFFF"/>
                <w:w w:val="101"/>
                <w:sz w:val="24"/>
                <w:szCs w:val="24"/>
              </w:rPr>
              <w:t xml:space="preserve"> </w:t>
            </w:r>
            <w:r w:rsidRPr="00C203F3">
              <w:rPr>
                <w:rFonts w:ascii="Arial Narrow" w:eastAsia="Times New Roman" w:hAnsi="Arial Narrow" w:cs="Times New Roman"/>
                <w:color w:val="FFFFFF"/>
                <w:w w:val="113"/>
                <w:sz w:val="24"/>
                <w:szCs w:val="24"/>
              </w:rPr>
              <w:t>adult</w:t>
            </w:r>
          </w:p>
          <w:p w:rsidR="00FF2CD0" w:rsidRPr="00C203F3" w:rsidRDefault="00FF2CD0" w:rsidP="00FF2CD0">
            <w:pPr>
              <w:spacing w:after="0" w:line="240" w:lineRule="auto"/>
              <w:ind w:left="224" w:right="203"/>
              <w:jc w:val="center"/>
              <w:rPr>
                <w:rFonts w:ascii="Arial Narrow" w:eastAsia="Times New Roman" w:hAnsi="Arial Narrow" w:cs="Times New Roman"/>
                <w:sz w:val="24"/>
                <w:szCs w:val="24"/>
              </w:rPr>
            </w:pPr>
            <w:r w:rsidRPr="00C203F3">
              <w:rPr>
                <w:rFonts w:ascii="Arial Narrow" w:eastAsia="Times New Roman" w:hAnsi="Arial Narrow" w:cs="Times New Roman"/>
                <w:color w:val="FFFFFF"/>
                <w:sz w:val="24"/>
                <w:szCs w:val="24"/>
              </w:rPr>
              <w:t>tb</w:t>
            </w:r>
            <w:r w:rsidRPr="00C203F3">
              <w:rPr>
                <w:rFonts w:ascii="Arial Narrow" w:eastAsia="Times New Roman" w:hAnsi="Arial Narrow" w:cs="Times New Roman"/>
                <w:color w:val="FFFFFF"/>
                <w:w w:val="104"/>
                <w:sz w:val="24"/>
                <w:szCs w:val="24"/>
              </w:rPr>
              <w:t>(mg)</w:t>
            </w:r>
          </w:p>
        </w:tc>
        <w:tc>
          <w:tcPr>
            <w:tcW w:w="1242" w:type="dxa"/>
            <w:gridSpan w:val="2"/>
            <w:vMerge w:val="restart"/>
            <w:tcBorders>
              <w:top w:val="single" w:sz="8" w:space="0" w:color="231F20"/>
              <w:left w:val="single" w:sz="8" w:space="0" w:color="231F20"/>
              <w:right w:val="single" w:sz="8" w:space="0" w:color="231F20"/>
            </w:tcBorders>
          </w:tcPr>
          <w:p w:rsidR="00FF2CD0" w:rsidRPr="00C203F3" w:rsidRDefault="00FF2CD0" w:rsidP="00FF2CD0">
            <w:pPr>
              <w:spacing w:before="52" w:after="0" w:line="204" w:lineRule="exact"/>
              <w:ind w:left="30" w:right="9"/>
              <w:jc w:val="center"/>
              <w:rPr>
                <w:rFonts w:ascii="Arial Narrow" w:eastAsia="Times New Roman" w:hAnsi="Arial Narrow" w:cs="Times New Roman"/>
                <w:sz w:val="24"/>
                <w:szCs w:val="24"/>
              </w:rPr>
            </w:pPr>
            <w:r w:rsidRPr="00C203F3">
              <w:rPr>
                <w:rFonts w:ascii="Arial Narrow" w:eastAsia="Times New Roman" w:hAnsi="Arial Narrow" w:cs="Times New Roman"/>
                <w:color w:val="FFFFFF"/>
                <w:sz w:val="24"/>
                <w:szCs w:val="24"/>
              </w:rPr>
              <w:t xml:space="preserve">Number </w:t>
            </w:r>
            <w:r w:rsidRPr="00C203F3">
              <w:rPr>
                <w:rFonts w:ascii="Arial Narrow" w:eastAsia="Times New Roman" w:hAnsi="Arial Narrow" w:cs="Times New Roman"/>
                <w:color w:val="FFFFFF"/>
                <w:w w:val="101"/>
                <w:sz w:val="24"/>
                <w:szCs w:val="24"/>
              </w:rPr>
              <w:t xml:space="preserve">of </w:t>
            </w:r>
            <w:r w:rsidRPr="00C203F3">
              <w:rPr>
                <w:rFonts w:ascii="Arial Narrow" w:eastAsia="Times New Roman" w:hAnsi="Arial Narrow" w:cs="Times New Roman"/>
                <w:color w:val="FFFFFF"/>
                <w:sz w:val="24"/>
                <w:szCs w:val="24"/>
              </w:rPr>
              <w:t>tablets</w:t>
            </w:r>
            <w:r w:rsidRPr="00C203F3">
              <w:rPr>
                <w:rFonts w:ascii="Arial Narrow" w:eastAsia="Times New Roman" w:hAnsi="Arial Narrow" w:cs="Times New Roman"/>
                <w:color w:val="FFFFFF"/>
                <w:w w:val="101"/>
                <w:sz w:val="24"/>
                <w:szCs w:val="24"/>
              </w:rPr>
              <w:t xml:space="preserve"> by weig</w:t>
            </w:r>
            <w:r w:rsidRPr="00C203F3">
              <w:rPr>
                <w:rFonts w:ascii="Arial Narrow" w:eastAsia="Times New Roman" w:hAnsi="Arial Narrow" w:cs="Times New Roman"/>
                <w:color w:val="FFFFFF"/>
                <w:w w:val="113"/>
                <w:sz w:val="24"/>
                <w:szCs w:val="24"/>
              </w:rPr>
              <w:t>h</w:t>
            </w:r>
            <w:r w:rsidRPr="00C203F3">
              <w:rPr>
                <w:rFonts w:ascii="Arial Narrow" w:eastAsia="Times New Roman" w:hAnsi="Arial Narrow" w:cs="Times New Roman"/>
                <w:color w:val="FFFFFF"/>
                <w:w w:val="122"/>
                <w:sz w:val="24"/>
                <w:szCs w:val="24"/>
              </w:rPr>
              <w:t>t</w:t>
            </w:r>
            <w:r w:rsidRPr="00C203F3">
              <w:rPr>
                <w:rFonts w:ascii="Arial Narrow" w:eastAsia="Times New Roman" w:hAnsi="Arial Narrow" w:cs="Times New Roman"/>
                <w:color w:val="FFFFFF"/>
                <w:w w:val="101"/>
                <w:sz w:val="24"/>
                <w:szCs w:val="24"/>
              </w:rPr>
              <w:t>-b</w:t>
            </w:r>
            <w:r w:rsidRPr="00C203F3">
              <w:rPr>
                <w:rFonts w:ascii="Arial Narrow" w:eastAsia="Times New Roman" w:hAnsi="Arial Narrow" w:cs="Times New Roman"/>
                <w:color w:val="FFFFFF"/>
                <w:w w:val="114"/>
                <w:sz w:val="24"/>
                <w:szCs w:val="24"/>
              </w:rPr>
              <w:t>a</w:t>
            </w:r>
            <w:r w:rsidRPr="00C203F3">
              <w:rPr>
                <w:rFonts w:ascii="Arial Narrow" w:eastAsia="Times New Roman" w:hAnsi="Arial Narrow" w:cs="Times New Roman"/>
                <w:color w:val="FFFFFF"/>
                <w:w w:val="113"/>
                <w:sz w:val="24"/>
                <w:szCs w:val="24"/>
              </w:rPr>
              <w:t>nd</w:t>
            </w:r>
          </w:p>
        </w:tc>
      </w:tr>
      <w:tr w:rsidR="00FF2CD0" w:rsidRPr="00C203F3" w:rsidTr="00FF2CD0">
        <w:trPr>
          <w:trHeight w:hRule="exact" w:val="384"/>
        </w:trPr>
        <w:tc>
          <w:tcPr>
            <w:tcW w:w="1478" w:type="dxa"/>
            <w:vMerge/>
            <w:tcBorders>
              <w:left w:val="single" w:sz="8" w:space="0" w:color="231F20"/>
              <w:right w:val="single" w:sz="8" w:space="0" w:color="231F20"/>
            </w:tcBorders>
            <w:shd w:val="clear" w:color="auto" w:fill="00AEEF"/>
          </w:tcPr>
          <w:p w:rsidR="00FF2CD0" w:rsidRPr="00C203F3" w:rsidRDefault="00FF2CD0" w:rsidP="00FF2CD0">
            <w:pPr>
              <w:rPr>
                <w:rFonts w:ascii="Arial Narrow" w:hAnsi="Arial Narrow"/>
                <w:sz w:val="24"/>
                <w:szCs w:val="24"/>
              </w:rPr>
            </w:pPr>
          </w:p>
        </w:tc>
        <w:tc>
          <w:tcPr>
            <w:tcW w:w="1070" w:type="dxa"/>
            <w:vMerge/>
            <w:tcBorders>
              <w:left w:val="single" w:sz="8" w:space="0" w:color="231F20"/>
              <w:right w:val="single" w:sz="8" w:space="0" w:color="231F20"/>
            </w:tcBorders>
            <w:shd w:val="clear" w:color="auto" w:fill="00AEEF"/>
          </w:tcPr>
          <w:p w:rsidR="00FF2CD0" w:rsidRPr="00C203F3" w:rsidRDefault="00FF2CD0" w:rsidP="00FF2CD0">
            <w:pPr>
              <w:rPr>
                <w:rFonts w:ascii="Arial Narrow" w:hAnsi="Arial Narrow"/>
                <w:sz w:val="24"/>
                <w:szCs w:val="24"/>
              </w:rPr>
            </w:pPr>
          </w:p>
        </w:tc>
        <w:tc>
          <w:tcPr>
            <w:tcW w:w="5247" w:type="dxa"/>
            <w:gridSpan w:val="10"/>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9" w:after="0" w:line="240" w:lineRule="auto"/>
              <w:ind w:left="55" w:right="-20"/>
              <w:rPr>
                <w:rFonts w:ascii="Arial Narrow" w:eastAsia="Times New Roman" w:hAnsi="Arial Narrow" w:cs="Times New Roman"/>
                <w:sz w:val="24"/>
                <w:szCs w:val="24"/>
              </w:rPr>
            </w:pPr>
            <w:r w:rsidRPr="00C203F3">
              <w:rPr>
                <w:rFonts w:ascii="Arial Narrow" w:eastAsia="Times New Roman" w:hAnsi="Arial Narrow" w:cs="Times New Roman"/>
                <w:color w:val="FFFFFF"/>
                <w:sz w:val="24"/>
                <w:szCs w:val="24"/>
              </w:rPr>
              <w:t>Number of</w:t>
            </w:r>
            <w:r>
              <w:rPr>
                <w:rFonts w:ascii="Arial Narrow" w:eastAsia="Times New Roman" w:hAnsi="Arial Narrow" w:cs="Times New Roman"/>
                <w:color w:val="FFFFFF"/>
                <w:sz w:val="24"/>
                <w:szCs w:val="24"/>
              </w:rPr>
              <w:t xml:space="preserve"> </w:t>
            </w:r>
            <w:r w:rsidRPr="00C203F3">
              <w:rPr>
                <w:rFonts w:ascii="Arial Narrow" w:eastAsia="Times New Roman" w:hAnsi="Arial Narrow" w:cs="Times New Roman"/>
                <w:color w:val="FFFFFF"/>
                <w:sz w:val="24"/>
                <w:szCs w:val="24"/>
              </w:rPr>
              <w:t>tablets</w:t>
            </w:r>
            <w:r>
              <w:rPr>
                <w:rFonts w:ascii="Arial Narrow" w:eastAsia="Times New Roman" w:hAnsi="Arial Narrow" w:cs="Times New Roman"/>
                <w:color w:val="FFFFFF"/>
                <w:sz w:val="24"/>
                <w:szCs w:val="24"/>
              </w:rPr>
              <w:t xml:space="preserve"> </w:t>
            </w:r>
            <w:r w:rsidRPr="00C203F3">
              <w:rPr>
                <w:rFonts w:ascii="Arial Narrow" w:eastAsia="Times New Roman" w:hAnsi="Arial Narrow" w:cs="Times New Roman"/>
                <w:color w:val="FFFFFF"/>
                <w:sz w:val="24"/>
                <w:szCs w:val="24"/>
              </w:rPr>
              <w:t>by</w:t>
            </w:r>
            <w:r>
              <w:rPr>
                <w:rFonts w:ascii="Arial Narrow" w:eastAsia="Times New Roman" w:hAnsi="Arial Narrow" w:cs="Times New Roman"/>
                <w:color w:val="FFFFFF"/>
                <w:sz w:val="24"/>
                <w:szCs w:val="24"/>
              </w:rPr>
              <w:t xml:space="preserve"> </w:t>
            </w:r>
            <w:r w:rsidRPr="00C203F3">
              <w:rPr>
                <w:rFonts w:ascii="Arial Narrow" w:eastAsia="Times New Roman" w:hAnsi="Arial Narrow" w:cs="Times New Roman"/>
                <w:color w:val="FFFFFF"/>
                <w:w w:val="107"/>
                <w:sz w:val="24"/>
                <w:szCs w:val="24"/>
              </w:rPr>
              <w:t>weight-band</w:t>
            </w:r>
            <w:r>
              <w:rPr>
                <w:rFonts w:ascii="Arial Narrow" w:eastAsia="Times New Roman" w:hAnsi="Arial Narrow" w:cs="Times New Roman"/>
                <w:color w:val="FFFFFF"/>
                <w:w w:val="107"/>
                <w:sz w:val="24"/>
                <w:szCs w:val="24"/>
              </w:rPr>
              <w:t xml:space="preserve"> </w:t>
            </w:r>
            <w:r w:rsidRPr="00C203F3">
              <w:rPr>
                <w:rFonts w:ascii="Arial Narrow" w:eastAsia="Times New Roman" w:hAnsi="Arial Narrow" w:cs="Times New Roman"/>
                <w:color w:val="FFFFFF"/>
                <w:sz w:val="24"/>
                <w:szCs w:val="24"/>
              </w:rPr>
              <w:t>morning and</w:t>
            </w:r>
            <w:r>
              <w:rPr>
                <w:rFonts w:ascii="Arial Narrow" w:eastAsia="Times New Roman" w:hAnsi="Arial Narrow" w:cs="Times New Roman"/>
                <w:color w:val="FFFFFF"/>
                <w:sz w:val="24"/>
                <w:szCs w:val="24"/>
              </w:rPr>
              <w:t xml:space="preserve"> </w:t>
            </w:r>
            <w:r w:rsidRPr="00C203F3">
              <w:rPr>
                <w:rFonts w:ascii="Arial Narrow" w:eastAsia="Times New Roman" w:hAnsi="Arial Narrow" w:cs="Times New Roman"/>
                <w:color w:val="FFFFFF"/>
                <w:w w:val="105"/>
                <w:sz w:val="24"/>
                <w:szCs w:val="24"/>
              </w:rPr>
              <w:t>evening</w:t>
            </w:r>
          </w:p>
        </w:tc>
        <w:tc>
          <w:tcPr>
            <w:tcW w:w="1214" w:type="dxa"/>
            <w:vMerge/>
            <w:tcBorders>
              <w:left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1242" w:type="dxa"/>
            <w:gridSpan w:val="2"/>
            <w:vMerge/>
            <w:tcBorders>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r>
      <w:tr w:rsidR="00FF2CD0" w:rsidRPr="00C203F3" w:rsidTr="00FF2CD0">
        <w:trPr>
          <w:trHeight w:hRule="exact" w:val="301"/>
        </w:trPr>
        <w:tc>
          <w:tcPr>
            <w:tcW w:w="1478" w:type="dxa"/>
            <w:vMerge/>
            <w:tcBorders>
              <w:left w:val="single" w:sz="8" w:space="0" w:color="231F20"/>
              <w:right w:val="single" w:sz="8" w:space="0" w:color="231F20"/>
            </w:tcBorders>
            <w:shd w:val="clear" w:color="auto" w:fill="00AEEF"/>
          </w:tcPr>
          <w:p w:rsidR="00FF2CD0" w:rsidRPr="00C203F3" w:rsidRDefault="00FF2CD0" w:rsidP="00FF2CD0">
            <w:pPr>
              <w:rPr>
                <w:rFonts w:ascii="Arial Narrow" w:hAnsi="Arial Narrow"/>
                <w:sz w:val="24"/>
                <w:szCs w:val="24"/>
              </w:rPr>
            </w:pPr>
          </w:p>
        </w:tc>
        <w:tc>
          <w:tcPr>
            <w:tcW w:w="1070" w:type="dxa"/>
            <w:vMerge/>
            <w:tcBorders>
              <w:left w:val="single" w:sz="8" w:space="0" w:color="231F20"/>
              <w:right w:val="single" w:sz="8" w:space="0" w:color="231F20"/>
            </w:tcBorders>
            <w:shd w:val="clear" w:color="auto" w:fill="00AEEF"/>
          </w:tcPr>
          <w:p w:rsidR="00FF2CD0" w:rsidRPr="00C203F3" w:rsidRDefault="00FF2CD0" w:rsidP="00FF2CD0">
            <w:pPr>
              <w:rPr>
                <w:rFonts w:ascii="Arial Narrow" w:hAnsi="Arial Narrow"/>
                <w:sz w:val="24"/>
                <w:szCs w:val="24"/>
              </w:rPr>
            </w:pPr>
          </w:p>
        </w:tc>
        <w:tc>
          <w:tcPr>
            <w:tcW w:w="1056" w:type="dxa"/>
            <w:gridSpan w:val="2"/>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9" w:after="0" w:line="240" w:lineRule="auto"/>
              <w:ind w:left="155" w:right="-20"/>
              <w:rPr>
                <w:rFonts w:ascii="Arial Narrow" w:eastAsia="Times New Roman" w:hAnsi="Arial Narrow" w:cs="Times New Roman"/>
                <w:sz w:val="24"/>
                <w:szCs w:val="24"/>
              </w:rPr>
            </w:pPr>
            <w:r w:rsidRPr="00C203F3">
              <w:rPr>
                <w:rFonts w:ascii="Arial Narrow" w:eastAsia="Times New Roman" w:hAnsi="Arial Narrow" w:cs="Times New Roman"/>
                <w:color w:val="FFFFFF"/>
                <w:sz w:val="24"/>
                <w:szCs w:val="24"/>
              </w:rPr>
              <w:t>3-5.9</w:t>
            </w:r>
            <w:r w:rsidRPr="00C203F3">
              <w:rPr>
                <w:rFonts w:ascii="Arial Narrow" w:eastAsia="Times New Roman" w:hAnsi="Arial Narrow" w:cs="Times New Roman"/>
                <w:color w:val="FFFFFF"/>
                <w:w w:val="107"/>
                <w:sz w:val="24"/>
                <w:szCs w:val="24"/>
              </w:rPr>
              <w:t>kg</w:t>
            </w:r>
          </w:p>
        </w:tc>
        <w:tc>
          <w:tcPr>
            <w:tcW w:w="1055" w:type="dxa"/>
            <w:gridSpan w:val="2"/>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9" w:after="0" w:line="240" w:lineRule="auto"/>
              <w:ind w:left="155" w:right="-20"/>
              <w:rPr>
                <w:rFonts w:ascii="Arial Narrow" w:eastAsia="Times New Roman" w:hAnsi="Arial Narrow" w:cs="Times New Roman"/>
                <w:sz w:val="24"/>
                <w:szCs w:val="24"/>
              </w:rPr>
            </w:pPr>
            <w:r w:rsidRPr="00C203F3">
              <w:rPr>
                <w:rFonts w:ascii="Arial Narrow" w:eastAsia="Times New Roman" w:hAnsi="Arial Narrow" w:cs="Times New Roman"/>
                <w:color w:val="FFFFFF"/>
                <w:sz w:val="24"/>
                <w:szCs w:val="24"/>
              </w:rPr>
              <w:t>6-9.9</w:t>
            </w:r>
            <w:r w:rsidRPr="00C203F3">
              <w:rPr>
                <w:rFonts w:ascii="Arial Narrow" w:eastAsia="Times New Roman" w:hAnsi="Arial Narrow" w:cs="Times New Roman"/>
                <w:color w:val="FFFFFF"/>
                <w:w w:val="107"/>
                <w:sz w:val="24"/>
                <w:szCs w:val="24"/>
              </w:rPr>
              <w:t>kg</w:t>
            </w:r>
          </w:p>
        </w:tc>
        <w:tc>
          <w:tcPr>
            <w:tcW w:w="997" w:type="dxa"/>
            <w:gridSpan w:val="2"/>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9" w:after="0" w:line="240" w:lineRule="auto"/>
              <w:ind w:left="159"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01"/>
                <w:sz w:val="24"/>
                <w:szCs w:val="24"/>
              </w:rPr>
              <w:t>10-13.9</w:t>
            </w:r>
          </w:p>
        </w:tc>
        <w:tc>
          <w:tcPr>
            <w:tcW w:w="1055" w:type="dxa"/>
            <w:gridSpan w:val="2"/>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9" w:after="0" w:line="240" w:lineRule="auto"/>
              <w:ind w:left="188"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01"/>
                <w:sz w:val="24"/>
                <w:szCs w:val="24"/>
              </w:rPr>
              <w:t>14-19.9</w:t>
            </w:r>
          </w:p>
        </w:tc>
        <w:tc>
          <w:tcPr>
            <w:tcW w:w="1083" w:type="dxa"/>
            <w:gridSpan w:val="2"/>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9" w:after="0" w:line="240" w:lineRule="auto"/>
              <w:ind w:left="202"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01"/>
                <w:sz w:val="24"/>
                <w:szCs w:val="24"/>
              </w:rPr>
              <w:t>20-24.9</w:t>
            </w:r>
          </w:p>
        </w:tc>
        <w:tc>
          <w:tcPr>
            <w:tcW w:w="1214" w:type="dxa"/>
            <w:vMerge/>
            <w:tcBorders>
              <w:left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1242" w:type="dxa"/>
            <w:gridSpan w:val="2"/>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9" w:after="0" w:line="240" w:lineRule="auto"/>
              <w:ind w:left="281"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01"/>
                <w:sz w:val="24"/>
                <w:szCs w:val="24"/>
              </w:rPr>
              <w:t>25-34.9</w:t>
            </w:r>
          </w:p>
        </w:tc>
      </w:tr>
      <w:tr w:rsidR="00FF2CD0" w:rsidRPr="00C203F3" w:rsidTr="00FF2CD0">
        <w:trPr>
          <w:trHeight w:hRule="exact" w:val="324"/>
        </w:trPr>
        <w:tc>
          <w:tcPr>
            <w:tcW w:w="1478" w:type="dxa"/>
            <w:vMerge/>
            <w:tcBorders>
              <w:left w:val="single" w:sz="8" w:space="0" w:color="231F20"/>
              <w:bottom w:val="single" w:sz="8" w:space="0" w:color="231F20"/>
              <w:right w:val="single" w:sz="8" w:space="0" w:color="231F20"/>
            </w:tcBorders>
            <w:shd w:val="clear" w:color="auto" w:fill="00AEEF"/>
          </w:tcPr>
          <w:p w:rsidR="00FF2CD0" w:rsidRPr="00C203F3" w:rsidRDefault="00FF2CD0" w:rsidP="00FF2CD0">
            <w:pPr>
              <w:rPr>
                <w:rFonts w:ascii="Arial Narrow" w:hAnsi="Arial Narrow"/>
                <w:sz w:val="24"/>
                <w:szCs w:val="24"/>
              </w:rPr>
            </w:pPr>
          </w:p>
        </w:tc>
        <w:tc>
          <w:tcPr>
            <w:tcW w:w="1070" w:type="dxa"/>
            <w:vMerge/>
            <w:tcBorders>
              <w:left w:val="single" w:sz="8" w:space="0" w:color="231F20"/>
              <w:bottom w:val="single" w:sz="8" w:space="0" w:color="231F20"/>
              <w:right w:val="single" w:sz="8" w:space="0" w:color="231F20"/>
            </w:tcBorders>
            <w:shd w:val="clear" w:color="auto" w:fill="00AEEF"/>
          </w:tcPr>
          <w:p w:rsidR="00FF2CD0" w:rsidRPr="00C203F3" w:rsidRDefault="00FF2CD0" w:rsidP="00FF2CD0">
            <w:pPr>
              <w:rPr>
                <w:rFonts w:ascii="Arial Narrow" w:hAnsi="Arial Narrow"/>
                <w:sz w:val="24"/>
                <w:szCs w:val="24"/>
              </w:rPr>
            </w:pPr>
          </w:p>
        </w:tc>
        <w:tc>
          <w:tcPr>
            <w:tcW w:w="522" w:type="dxa"/>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9" w:after="0" w:line="240" w:lineRule="auto"/>
              <w:ind w:left="108"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11"/>
                <w:sz w:val="24"/>
                <w:szCs w:val="24"/>
              </w:rPr>
              <w:t>am</w:t>
            </w:r>
          </w:p>
        </w:tc>
        <w:tc>
          <w:tcPr>
            <w:tcW w:w="535" w:type="dxa"/>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9" w:after="0" w:line="240" w:lineRule="auto"/>
              <w:ind w:left="109"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10"/>
                <w:sz w:val="24"/>
                <w:szCs w:val="24"/>
              </w:rPr>
              <w:t>pm</w:t>
            </w:r>
          </w:p>
        </w:tc>
        <w:tc>
          <w:tcPr>
            <w:tcW w:w="520" w:type="dxa"/>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9" w:after="0" w:line="240" w:lineRule="auto"/>
              <w:ind w:left="107"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11"/>
                <w:sz w:val="24"/>
                <w:szCs w:val="24"/>
              </w:rPr>
              <w:t>am</w:t>
            </w:r>
          </w:p>
        </w:tc>
        <w:tc>
          <w:tcPr>
            <w:tcW w:w="535" w:type="dxa"/>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9" w:after="0" w:line="240" w:lineRule="auto"/>
              <w:ind w:left="109"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10"/>
                <w:sz w:val="24"/>
                <w:szCs w:val="24"/>
              </w:rPr>
              <w:t>pm</w:t>
            </w:r>
          </w:p>
        </w:tc>
        <w:tc>
          <w:tcPr>
            <w:tcW w:w="506" w:type="dxa"/>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9" w:after="0" w:line="240" w:lineRule="auto"/>
              <w:ind w:left="100"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11"/>
                <w:sz w:val="24"/>
                <w:szCs w:val="24"/>
              </w:rPr>
              <w:t>am</w:t>
            </w:r>
          </w:p>
        </w:tc>
        <w:tc>
          <w:tcPr>
            <w:tcW w:w="491" w:type="dxa"/>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9" w:after="0" w:line="240" w:lineRule="auto"/>
              <w:ind w:left="87"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10"/>
                <w:sz w:val="24"/>
                <w:szCs w:val="24"/>
              </w:rPr>
              <w:t>pm</w:t>
            </w:r>
          </w:p>
        </w:tc>
        <w:tc>
          <w:tcPr>
            <w:tcW w:w="535" w:type="dxa"/>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9" w:after="0" w:line="240" w:lineRule="auto"/>
              <w:ind w:left="115"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11"/>
                <w:sz w:val="24"/>
                <w:szCs w:val="24"/>
              </w:rPr>
              <w:t>am</w:t>
            </w:r>
          </w:p>
        </w:tc>
        <w:tc>
          <w:tcPr>
            <w:tcW w:w="520" w:type="dxa"/>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9" w:after="0" w:line="240" w:lineRule="auto"/>
              <w:ind w:left="101"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10"/>
                <w:sz w:val="24"/>
                <w:szCs w:val="24"/>
              </w:rPr>
              <w:t>pm</w:t>
            </w:r>
          </w:p>
        </w:tc>
        <w:tc>
          <w:tcPr>
            <w:tcW w:w="540" w:type="dxa"/>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9" w:after="0" w:line="240" w:lineRule="auto"/>
              <w:ind w:left="117"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11"/>
                <w:sz w:val="24"/>
                <w:szCs w:val="24"/>
              </w:rPr>
              <w:t>am</w:t>
            </w:r>
          </w:p>
        </w:tc>
        <w:tc>
          <w:tcPr>
            <w:tcW w:w="543" w:type="dxa"/>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9" w:after="0" w:line="240" w:lineRule="auto"/>
              <w:ind w:left="113"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10"/>
                <w:sz w:val="24"/>
                <w:szCs w:val="24"/>
              </w:rPr>
              <w:t>pm</w:t>
            </w:r>
          </w:p>
        </w:tc>
        <w:tc>
          <w:tcPr>
            <w:tcW w:w="1214" w:type="dxa"/>
            <w:vMerge/>
            <w:tcBorders>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582" w:type="dxa"/>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9" w:after="0" w:line="240" w:lineRule="auto"/>
              <w:ind w:left="138"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11"/>
                <w:sz w:val="24"/>
                <w:szCs w:val="24"/>
              </w:rPr>
              <w:t>am</w:t>
            </w:r>
          </w:p>
        </w:tc>
        <w:tc>
          <w:tcPr>
            <w:tcW w:w="660" w:type="dxa"/>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9" w:after="0" w:line="240" w:lineRule="auto"/>
              <w:ind w:left="171"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10"/>
                <w:sz w:val="24"/>
                <w:szCs w:val="24"/>
              </w:rPr>
              <w:t>pm</w:t>
            </w:r>
          </w:p>
        </w:tc>
      </w:tr>
      <w:tr w:rsidR="00FF2CD0" w:rsidRPr="00C203F3" w:rsidTr="00FF2CD0">
        <w:trPr>
          <w:trHeight w:hRule="exact" w:val="355"/>
        </w:trPr>
        <w:tc>
          <w:tcPr>
            <w:tcW w:w="10251" w:type="dxa"/>
            <w:gridSpan w:val="15"/>
            <w:tcBorders>
              <w:top w:val="single" w:sz="8" w:space="0" w:color="231F20"/>
              <w:left w:val="single" w:sz="8" w:space="0" w:color="231F20"/>
              <w:bottom w:val="single" w:sz="8" w:space="0" w:color="231F20"/>
              <w:right w:val="single" w:sz="8" w:space="0" w:color="231F20"/>
            </w:tcBorders>
            <w:shd w:val="clear" w:color="auto" w:fill="A2DEF9"/>
          </w:tcPr>
          <w:p w:rsidR="00FF2CD0" w:rsidRPr="00C203F3" w:rsidRDefault="00FF2CD0" w:rsidP="00FF2CD0">
            <w:pPr>
              <w:spacing w:before="19" w:after="0" w:line="240" w:lineRule="auto"/>
              <w:ind w:left="47"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 xml:space="preserve">SINGLE </w:t>
            </w:r>
            <w:r w:rsidRPr="00C203F3">
              <w:rPr>
                <w:rFonts w:ascii="Arial Narrow" w:eastAsia="Times New Roman" w:hAnsi="Arial Narrow" w:cs="Times New Roman"/>
                <w:color w:val="231F20"/>
                <w:w w:val="108"/>
                <w:sz w:val="24"/>
                <w:szCs w:val="24"/>
              </w:rPr>
              <w:t>DRUGS</w:t>
            </w:r>
          </w:p>
        </w:tc>
      </w:tr>
      <w:tr w:rsidR="00FF2CD0" w:rsidRPr="00C203F3" w:rsidTr="00FF2CD0">
        <w:trPr>
          <w:trHeight w:hRule="exact" w:val="385"/>
        </w:trPr>
        <w:tc>
          <w:tcPr>
            <w:tcW w:w="1478"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47"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AZT</w:t>
            </w:r>
          </w:p>
        </w:tc>
        <w:tc>
          <w:tcPr>
            <w:tcW w:w="107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381" w:right="362"/>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60</w:t>
            </w:r>
          </w:p>
        </w:tc>
        <w:tc>
          <w:tcPr>
            <w:tcW w:w="522"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61" w:right="14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67" w:right="148"/>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5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16"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1.5</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23"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1.5</w:t>
            </w:r>
          </w:p>
        </w:tc>
        <w:tc>
          <w:tcPr>
            <w:tcW w:w="50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53" w:right="134"/>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491"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45" w:right="126"/>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23"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2.5</w:t>
            </w:r>
          </w:p>
        </w:tc>
        <w:tc>
          <w:tcPr>
            <w:tcW w:w="5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16"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2.5</w:t>
            </w:r>
          </w:p>
        </w:tc>
        <w:tc>
          <w:tcPr>
            <w:tcW w:w="54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70" w:right="15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c>
          <w:tcPr>
            <w:tcW w:w="54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71" w:right="152"/>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c>
          <w:tcPr>
            <w:tcW w:w="1214"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400" w:right="38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300</w:t>
            </w:r>
          </w:p>
        </w:tc>
        <w:tc>
          <w:tcPr>
            <w:tcW w:w="582"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91" w:right="172"/>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c>
          <w:tcPr>
            <w:tcW w:w="66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229" w:right="21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r>
      <w:tr w:rsidR="00FF2CD0" w:rsidRPr="00C203F3" w:rsidTr="00FF2CD0">
        <w:trPr>
          <w:trHeight w:hRule="exact" w:val="283"/>
        </w:trPr>
        <w:tc>
          <w:tcPr>
            <w:tcW w:w="1478"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47"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ABC</w:t>
            </w:r>
          </w:p>
        </w:tc>
        <w:tc>
          <w:tcPr>
            <w:tcW w:w="107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381" w:right="362"/>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60</w:t>
            </w:r>
          </w:p>
        </w:tc>
        <w:tc>
          <w:tcPr>
            <w:tcW w:w="522"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60" w:right="142"/>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67" w:right="148"/>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5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15"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1.5</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22"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1.5</w:t>
            </w:r>
          </w:p>
        </w:tc>
        <w:tc>
          <w:tcPr>
            <w:tcW w:w="50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52" w:right="134"/>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491"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45" w:right="127"/>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22"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2.5</w:t>
            </w:r>
          </w:p>
        </w:tc>
        <w:tc>
          <w:tcPr>
            <w:tcW w:w="5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15"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2.5</w:t>
            </w:r>
          </w:p>
        </w:tc>
        <w:tc>
          <w:tcPr>
            <w:tcW w:w="54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69" w:right="15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c>
          <w:tcPr>
            <w:tcW w:w="54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71" w:right="153"/>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c>
          <w:tcPr>
            <w:tcW w:w="1214"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399" w:right="38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300</w:t>
            </w:r>
          </w:p>
        </w:tc>
        <w:tc>
          <w:tcPr>
            <w:tcW w:w="582"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90" w:right="172"/>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c>
          <w:tcPr>
            <w:tcW w:w="66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229" w:right="21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r>
      <w:tr w:rsidR="00FF2CD0" w:rsidRPr="00C203F3" w:rsidTr="00FF2CD0">
        <w:trPr>
          <w:trHeight w:hRule="exact" w:val="355"/>
        </w:trPr>
        <w:tc>
          <w:tcPr>
            <w:tcW w:w="1478"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47"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NVP</w:t>
            </w:r>
          </w:p>
        </w:tc>
        <w:tc>
          <w:tcPr>
            <w:tcW w:w="107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380" w:right="363"/>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50</w:t>
            </w:r>
          </w:p>
        </w:tc>
        <w:tc>
          <w:tcPr>
            <w:tcW w:w="522"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60" w:right="142"/>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66" w:right="149"/>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5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15"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1.5</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22"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1.5</w:t>
            </w:r>
          </w:p>
        </w:tc>
        <w:tc>
          <w:tcPr>
            <w:tcW w:w="50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52" w:right="134"/>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491"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45" w:right="127"/>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22"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2.5</w:t>
            </w:r>
          </w:p>
        </w:tc>
        <w:tc>
          <w:tcPr>
            <w:tcW w:w="5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15"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2.5</w:t>
            </w:r>
          </w:p>
        </w:tc>
        <w:tc>
          <w:tcPr>
            <w:tcW w:w="54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69" w:right="15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c>
          <w:tcPr>
            <w:tcW w:w="54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70" w:right="153"/>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c>
          <w:tcPr>
            <w:tcW w:w="1214"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399" w:right="382"/>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200</w:t>
            </w:r>
          </w:p>
        </w:tc>
        <w:tc>
          <w:tcPr>
            <w:tcW w:w="582"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190" w:right="173"/>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c>
          <w:tcPr>
            <w:tcW w:w="66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8" w:after="0" w:line="240" w:lineRule="auto"/>
              <w:ind w:left="228" w:right="21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r>
      <w:tr w:rsidR="00FF2CD0" w:rsidRPr="00C203F3" w:rsidTr="00FF2CD0">
        <w:trPr>
          <w:trHeight w:hRule="exact" w:val="295"/>
        </w:trPr>
        <w:tc>
          <w:tcPr>
            <w:tcW w:w="1478"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46"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ddl</w:t>
            </w:r>
          </w:p>
        </w:tc>
        <w:tc>
          <w:tcPr>
            <w:tcW w:w="107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380" w:right="363"/>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25</w:t>
            </w:r>
          </w:p>
        </w:tc>
        <w:tc>
          <w:tcPr>
            <w:tcW w:w="522"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7" w:after="0" w:line="240" w:lineRule="auto"/>
              <w:ind w:left="132" w:right="113"/>
              <w:jc w:val="center"/>
              <w:rPr>
                <w:rFonts w:ascii="Arial Narrow" w:eastAsia="Times New Roman" w:hAnsi="Arial Narrow" w:cs="Times New Roman"/>
                <w:sz w:val="24"/>
                <w:szCs w:val="24"/>
              </w:rPr>
            </w:pPr>
            <w:r w:rsidRPr="00C203F3">
              <w:rPr>
                <w:rFonts w:ascii="Arial Narrow" w:eastAsia="Times New Roman" w:hAnsi="Arial Narrow" w:cs="Times New Roman"/>
                <w:color w:val="231F20"/>
                <w:spacing w:val="1"/>
                <w:w w:val="102"/>
                <w:position w:val="-7"/>
                <w:sz w:val="24"/>
                <w:szCs w:val="24"/>
              </w:rPr>
              <w:t>2</w:t>
            </w:r>
            <w:r w:rsidRPr="00C203F3">
              <w:rPr>
                <w:rFonts w:ascii="Arial Narrow" w:eastAsia="Times New Roman" w:hAnsi="Arial Narrow" w:cs="Times New Roman"/>
                <w:color w:val="231F20"/>
                <w:w w:val="102"/>
                <w:sz w:val="24"/>
                <w:szCs w:val="24"/>
              </w:rPr>
              <w:t>a</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7" w:after="0" w:line="240" w:lineRule="auto"/>
              <w:ind w:left="140" w:right="120"/>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2"/>
                <w:position w:val="-7"/>
                <w:sz w:val="24"/>
                <w:szCs w:val="24"/>
              </w:rPr>
              <w:t>2</w:t>
            </w:r>
            <w:r w:rsidRPr="00C203F3">
              <w:rPr>
                <w:rFonts w:ascii="Arial Narrow" w:eastAsia="Times New Roman" w:hAnsi="Arial Narrow" w:cs="Times New Roman"/>
                <w:color w:val="231F20"/>
                <w:w w:val="102"/>
                <w:sz w:val="24"/>
                <w:szCs w:val="24"/>
              </w:rPr>
              <w:t>a</w:t>
            </w:r>
          </w:p>
        </w:tc>
        <w:tc>
          <w:tcPr>
            <w:tcW w:w="5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0" w:right="140"/>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8" w:right="148"/>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50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53" w:right="133"/>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c>
          <w:tcPr>
            <w:tcW w:w="491"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46" w:right="126"/>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8" w:right="148"/>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4</w:t>
            </w:r>
          </w:p>
        </w:tc>
        <w:tc>
          <w:tcPr>
            <w:tcW w:w="5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0" w:right="14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c>
          <w:tcPr>
            <w:tcW w:w="54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70" w:right="150"/>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4</w:t>
            </w:r>
          </w:p>
        </w:tc>
        <w:tc>
          <w:tcPr>
            <w:tcW w:w="54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72" w:right="152"/>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4</w:t>
            </w:r>
          </w:p>
        </w:tc>
        <w:tc>
          <w:tcPr>
            <w:tcW w:w="1214"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454" w:right="434"/>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25</w:t>
            </w:r>
          </w:p>
        </w:tc>
        <w:tc>
          <w:tcPr>
            <w:tcW w:w="582"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91" w:right="17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5</w:t>
            </w:r>
          </w:p>
        </w:tc>
        <w:tc>
          <w:tcPr>
            <w:tcW w:w="66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230" w:right="210"/>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5</w:t>
            </w:r>
          </w:p>
        </w:tc>
      </w:tr>
      <w:tr w:rsidR="00FF2CD0" w:rsidRPr="00C203F3" w:rsidTr="00FF2CD0">
        <w:trPr>
          <w:trHeight w:hRule="exact" w:val="355"/>
        </w:trPr>
        <w:tc>
          <w:tcPr>
            <w:tcW w:w="10251" w:type="dxa"/>
            <w:gridSpan w:val="15"/>
            <w:tcBorders>
              <w:top w:val="single" w:sz="8" w:space="0" w:color="231F20"/>
              <w:left w:val="single" w:sz="8" w:space="0" w:color="231F20"/>
              <w:bottom w:val="single" w:sz="8" w:space="0" w:color="231F20"/>
              <w:right w:val="single" w:sz="8" w:space="0" w:color="231F20"/>
            </w:tcBorders>
            <w:shd w:val="clear" w:color="auto" w:fill="A2DEF9"/>
          </w:tcPr>
          <w:p w:rsidR="00FF2CD0" w:rsidRPr="00C203F3" w:rsidRDefault="00FF2CD0" w:rsidP="00FF2CD0">
            <w:pPr>
              <w:spacing w:before="19" w:after="0" w:line="240" w:lineRule="auto"/>
              <w:ind w:left="47"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5"/>
                <w:sz w:val="24"/>
                <w:szCs w:val="24"/>
              </w:rPr>
              <w:t>COMBIN</w:t>
            </w:r>
            <w:r w:rsidRPr="00C203F3">
              <w:rPr>
                <w:rFonts w:ascii="Arial Narrow" w:eastAsia="Times New Roman" w:hAnsi="Arial Narrow" w:cs="Times New Roman"/>
                <w:color w:val="231F20"/>
                <w:spacing w:val="-16"/>
                <w:w w:val="105"/>
                <w:sz w:val="24"/>
                <w:szCs w:val="24"/>
              </w:rPr>
              <w:t>A</w:t>
            </w:r>
            <w:r w:rsidRPr="00C203F3">
              <w:rPr>
                <w:rFonts w:ascii="Arial Narrow" w:eastAsia="Times New Roman" w:hAnsi="Arial Narrow" w:cs="Times New Roman"/>
                <w:color w:val="231F20"/>
                <w:w w:val="107"/>
                <w:sz w:val="24"/>
                <w:szCs w:val="24"/>
              </w:rPr>
              <w:t>TIONS</w:t>
            </w:r>
          </w:p>
        </w:tc>
      </w:tr>
      <w:tr w:rsidR="00FF2CD0" w:rsidRPr="00C203F3" w:rsidTr="00FF2CD0">
        <w:trPr>
          <w:trHeight w:hRule="exact" w:val="339"/>
        </w:trPr>
        <w:tc>
          <w:tcPr>
            <w:tcW w:w="1478"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47"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4"/>
                <w:sz w:val="24"/>
                <w:szCs w:val="24"/>
              </w:rPr>
              <w:t>AZT/3</w:t>
            </w:r>
            <w:r w:rsidRPr="00C203F3">
              <w:rPr>
                <w:rFonts w:ascii="Arial Narrow" w:eastAsia="Times New Roman" w:hAnsi="Arial Narrow" w:cs="Times New Roman"/>
                <w:color w:val="231F20"/>
                <w:sz w:val="24"/>
                <w:szCs w:val="24"/>
              </w:rPr>
              <w:t>T</w:t>
            </w:r>
            <w:r w:rsidRPr="00C203F3">
              <w:rPr>
                <w:rFonts w:ascii="Arial Narrow" w:eastAsia="Times New Roman" w:hAnsi="Arial Narrow" w:cs="Times New Roman"/>
                <w:color w:val="231F20"/>
                <w:w w:val="101"/>
                <w:sz w:val="24"/>
                <w:szCs w:val="24"/>
              </w:rPr>
              <w:t>C</w:t>
            </w:r>
          </w:p>
        </w:tc>
        <w:tc>
          <w:tcPr>
            <w:tcW w:w="107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280"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60/30</w:t>
            </w:r>
          </w:p>
        </w:tc>
        <w:tc>
          <w:tcPr>
            <w:tcW w:w="522"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1" w:right="14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7" w:right="148"/>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c>
          <w:tcPr>
            <w:tcW w:w="5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16"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1.5</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23"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1.5</w:t>
            </w:r>
          </w:p>
        </w:tc>
        <w:tc>
          <w:tcPr>
            <w:tcW w:w="50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53" w:right="134"/>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491"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45" w:right="126"/>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23"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2.5</w:t>
            </w:r>
          </w:p>
        </w:tc>
        <w:tc>
          <w:tcPr>
            <w:tcW w:w="5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16"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2.5</w:t>
            </w:r>
          </w:p>
        </w:tc>
        <w:tc>
          <w:tcPr>
            <w:tcW w:w="54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9" w:right="15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c>
          <w:tcPr>
            <w:tcW w:w="54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71" w:right="152"/>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c>
          <w:tcPr>
            <w:tcW w:w="1214"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245"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300/150</w:t>
            </w:r>
          </w:p>
        </w:tc>
        <w:tc>
          <w:tcPr>
            <w:tcW w:w="582"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91" w:right="172"/>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c>
          <w:tcPr>
            <w:tcW w:w="66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229" w:right="21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r>
      <w:tr w:rsidR="00FF2CD0" w:rsidRPr="00C203F3" w:rsidTr="00FF2CD0">
        <w:trPr>
          <w:trHeight w:hRule="exact" w:val="299"/>
        </w:trPr>
        <w:tc>
          <w:tcPr>
            <w:tcW w:w="1478"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48"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16"/>
                <w:w w:val="99"/>
                <w:sz w:val="24"/>
                <w:szCs w:val="24"/>
              </w:rPr>
              <w:t>AZT/3</w:t>
            </w:r>
            <w:r w:rsidRPr="00C203F3">
              <w:rPr>
                <w:rFonts w:ascii="Arial Narrow" w:eastAsia="Times New Roman" w:hAnsi="Arial Narrow" w:cs="Times New Roman"/>
                <w:color w:val="231F20"/>
                <w:w w:val="99"/>
                <w:sz w:val="24"/>
                <w:szCs w:val="24"/>
              </w:rPr>
              <w:t>T</w:t>
            </w:r>
            <w:r w:rsidRPr="00C203F3">
              <w:rPr>
                <w:rFonts w:ascii="Arial Narrow" w:eastAsia="Times New Roman" w:hAnsi="Arial Narrow" w:cs="Times New Roman"/>
                <w:color w:val="231F20"/>
                <w:spacing w:val="-16"/>
                <w:sz w:val="24"/>
                <w:szCs w:val="24"/>
              </w:rPr>
              <w:t>C/NV</w:t>
            </w:r>
            <w:r w:rsidRPr="00C203F3">
              <w:rPr>
                <w:rFonts w:ascii="Arial Narrow" w:eastAsia="Times New Roman" w:hAnsi="Arial Narrow" w:cs="Times New Roman"/>
                <w:color w:val="231F20"/>
                <w:sz w:val="24"/>
                <w:szCs w:val="24"/>
              </w:rPr>
              <w:t>P</w:t>
            </w:r>
          </w:p>
        </w:tc>
        <w:tc>
          <w:tcPr>
            <w:tcW w:w="107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6"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6"/>
                <w:w w:val="101"/>
                <w:sz w:val="24"/>
                <w:szCs w:val="24"/>
              </w:rPr>
              <w:t>60/30/5</w:t>
            </w:r>
            <w:r w:rsidRPr="00C203F3">
              <w:rPr>
                <w:rFonts w:ascii="Arial Narrow" w:eastAsia="Times New Roman" w:hAnsi="Arial Narrow" w:cs="Times New Roman"/>
                <w:color w:val="231F20"/>
                <w:w w:val="101"/>
                <w:sz w:val="24"/>
                <w:szCs w:val="24"/>
              </w:rPr>
              <w:t>0</w:t>
            </w:r>
          </w:p>
        </w:tc>
        <w:tc>
          <w:tcPr>
            <w:tcW w:w="522"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1" w:right="14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8" w:right="148"/>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c>
          <w:tcPr>
            <w:tcW w:w="5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16"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1.5</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23"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1.5</w:t>
            </w:r>
          </w:p>
        </w:tc>
        <w:tc>
          <w:tcPr>
            <w:tcW w:w="50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53" w:right="133"/>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491"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46" w:right="126"/>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23"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2.5</w:t>
            </w:r>
          </w:p>
        </w:tc>
        <w:tc>
          <w:tcPr>
            <w:tcW w:w="5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16"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2.5</w:t>
            </w:r>
          </w:p>
        </w:tc>
        <w:tc>
          <w:tcPr>
            <w:tcW w:w="54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70" w:right="150"/>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c>
          <w:tcPr>
            <w:tcW w:w="54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72" w:right="152"/>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c>
          <w:tcPr>
            <w:tcW w:w="1214"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55"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300/150/200</w:t>
            </w:r>
          </w:p>
        </w:tc>
        <w:tc>
          <w:tcPr>
            <w:tcW w:w="582"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91" w:right="172"/>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c>
          <w:tcPr>
            <w:tcW w:w="66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230" w:right="210"/>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r>
      <w:tr w:rsidR="00FF2CD0" w:rsidRPr="00C203F3" w:rsidTr="00FF2CD0">
        <w:trPr>
          <w:trHeight w:hRule="exact" w:val="355"/>
        </w:trPr>
        <w:tc>
          <w:tcPr>
            <w:tcW w:w="1478"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47"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4"/>
                <w:w w:val="101"/>
                <w:sz w:val="24"/>
                <w:szCs w:val="24"/>
              </w:rPr>
              <w:t>ABC/AZT/3T</w:t>
            </w:r>
            <w:r w:rsidRPr="00C203F3">
              <w:rPr>
                <w:rFonts w:ascii="Arial Narrow" w:eastAsia="Times New Roman" w:hAnsi="Arial Narrow" w:cs="Times New Roman"/>
                <w:color w:val="231F20"/>
                <w:w w:val="101"/>
                <w:sz w:val="24"/>
                <w:szCs w:val="24"/>
              </w:rPr>
              <w:t>C</w:t>
            </w:r>
          </w:p>
        </w:tc>
        <w:tc>
          <w:tcPr>
            <w:tcW w:w="107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6"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6"/>
                <w:w w:val="101"/>
                <w:sz w:val="24"/>
                <w:szCs w:val="24"/>
              </w:rPr>
              <w:t>60/30/3</w:t>
            </w:r>
            <w:r w:rsidRPr="00C203F3">
              <w:rPr>
                <w:rFonts w:ascii="Arial Narrow" w:eastAsia="Times New Roman" w:hAnsi="Arial Narrow" w:cs="Times New Roman"/>
                <w:color w:val="231F20"/>
                <w:w w:val="101"/>
                <w:sz w:val="24"/>
                <w:szCs w:val="24"/>
              </w:rPr>
              <w:t>0</w:t>
            </w:r>
          </w:p>
        </w:tc>
        <w:tc>
          <w:tcPr>
            <w:tcW w:w="522"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1" w:right="14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7" w:right="148"/>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5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16"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1.5</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23"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1.5</w:t>
            </w:r>
          </w:p>
        </w:tc>
        <w:tc>
          <w:tcPr>
            <w:tcW w:w="50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53" w:right="134"/>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491"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45" w:right="127"/>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23"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2.5</w:t>
            </w:r>
          </w:p>
        </w:tc>
        <w:tc>
          <w:tcPr>
            <w:tcW w:w="5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15"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2.5</w:t>
            </w:r>
          </w:p>
        </w:tc>
        <w:tc>
          <w:tcPr>
            <w:tcW w:w="54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9" w:right="15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c>
          <w:tcPr>
            <w:tcW w:w="54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71" w:right="153"/>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c>
          <w:tcPr>
            <w:tcW w:w="1214"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55"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300/150/150</w:t>
            </w:r>
          </w:p>
        </w:tc>
        <w:tc>
          <w:tcPr>
            <w:tcW w:w="582"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90" w:right="172"/>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c>
          <w:tcPr>
            <w:tcW w:w="66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229" w:right="21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r>
      <w:tr w:rsidR="00FF2CD0" w:rsidRPr="00C203F3" w:rsidTr="00FF2CD0">
        <w:trPr>
          <w:trHeight w:hRule="exact" w:val="355"/>
        </w:trPr>
        <w:tc>
          <w:tcPr>
            <w:tcW w:w="1478"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47"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4"/>
                <w:w w:val="101"/>
                <w:sz w:val="24"/>
                <w:szCs w:val="24"/>
              </w:rPr>
              <w:t>ABC/3T</w:t>
            </w:r>
            <w:r w:rsidRPr="00C203F3">
              <w:rPr>
                <w:rFonts w:ascii="Arial Narrow" w:eastAsia="Times New Roman" w:hAnsi="Arial Narrow" w:cs="Times New Roman"/>
                <w:color w:val="231F20"/>
                <w:w w:val="101"/>
                <w:sz w:val="24"/>
                <w:szCs w:val="24"/>
              </w:rPr>
              <w:t>C</w:t>
            </w:r>
          </w:p>
        </w:tc>
        <w:tc>
          <w:tcPr>
            <w:tcW w:w="107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293"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6"/>
                <w:w w:val="101"/>
                <w:sz w:val="24"/>
                <w:szCs w:val="24"/>
              </w:rPr>
              <w:t>60/3</w:t>
            </w:r>
            <w:r w:rsidRPr="00C203F3">
              <w:rPr>
                <w:rFonts w:ascii="Arial Narrow" w:eastAsia="Times New Roman" w:hAnsi="Arial Narrow" w:cs="Times New Roman"/>
                <w:color w:val="231F20"/>
                <w:w w:val="101"/>
                <w:sz w:val="24"/>
                <w:szCs w:val="24"/>
              </w:rPr>
              <w:t>0</w:t>
            </w:r>
          </w:p>
        </w:tc>
        <w:tc>
          <w:tcPr>
            <w:tcW w:w="522"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0" w:right="142"/>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7" w:right="149"/>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c>
          <w:tcPr>
            <w:tcW w:w="5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15"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1.5</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22"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1.5</w:t>
            </w:r>
          </w:p>
        </w:tc>
        <w:tc>
          <w:tcPr>
            <w:tcW w:w="50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52" w:right="134"/>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491"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45" w:right="127"/>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22"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2.5</w:t>
            </w:r>
          </w:p>
        </w:tc>
        <w:tc>
          <w:tcPr>
            <w:tcW w:w="5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15"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2.5</w:t>
            </w:r>
          </w:p>
        </w:tc>
        <w:tc>
          <w:tcPr>
            <w:tcW w:w="54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9" w:right="15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c>
          <w:tcPr>
            <w:tcW w:w="54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71" w:right="153"/>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c>
          <w:tcPr>
            <w:tcW w:w="1214"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31" w:after="0" w:line="240" w:lineRule="auto"/>
              <w:ind w:left="530" w:right="510"/>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4"/>
                <w:sz w:val="24"/>
                <w:szCs w:val="24"/>
              </w:rPr>
              <w:t>b</w:t>
            </w:r>
          </w:p>
        </w:tc>
        <w:tc>
          <w:tcPr>
            <w:tcW w:w="582"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rPr>
                <w:rFonts w:ascii="Arial Narrow" w:hAnsi="Arial Narrow"/>
                <w:sz w:val="24"/>
                <w:szCs w:val="24"/>
              </w:rPr>
            </w:pPr>
          </w:p>
        </w:tc>
        <w:tc>
          <w:tcPr>
            <w:tcW w:w="66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rPr>
                <w:rFonts w:ascii="Arial Narrow" w:hAnsi="Arial Narrow"/>
                <w:sz w:val="24"/>
                <w:szCs w:val="24"/>
              </w:rPr>
            </w:pPr>
          </w:p>
        </w:tc>
      </w:tr>
      <w:tr w:rsidR="00FF2CD0" w:rsidRPr="00C203F3" w:rsidTr="00FF2CD0">
        <w:trPr>
          <w:trHeight w:hRule="exact" w:val="320"/>
        </w:trPr>
        <w:tc>
          <w:tcPr>
            <w:tcW w:w="1478"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48"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d4T/3TC</w:t>
            </w:r>
          </w:p>
        </w:tc>
        <w:tc>
          <w:tcPr>
            <w:tcW w:w="107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344"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6"/>
                <w:w w:val="101"/>
                <w:sz w:val="24"/>
                <w:szCs w:val="24"/>
              </w:rPr>
              <w:t>6/3</w:t>
            </w:r>
            <w:r w:rsidRPr="00C203F3">
              <w:rPr>
                <w:rFonts w:ascii="Arial Narrow" w:eastAsia="Times New Roman" w:hAnsi="Arial Narrow" w:cs="Times New Roman"/>
                <w:color w:val="231F20"/>
                <w:w w:val="101"/>
                <w:sz w:val="24"/>
                <w:szCs w:val="24"/>
              </w:rPr>
              <w:t>0</w:t>
            </w:r>
          </w:p>
        </w:tc>
        <w:tc>
          <w:tcPr>
            <w:tcW w:w="522"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1" w:right="14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8" w:right="148"/>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5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16"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1.5</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23"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1.5</w:t>
            </w:r>
          </w:p>
        </w:tc>
        <w:tc>
          <w:tcPr>
            <w:tcW w:w="50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53" w:right="133"/>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491"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46" w:right="126"/>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23"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2.5</w:t>
            </w:r>
          </w:p>
        </w:tc>
        <w:tc>
          <w:tcPr>
            <w:tcW w:w="5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16"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2.5</w:t>
            </w:r>
          </w:p>
        </w:tc>
        <w:tc>
          <w:tcPr>
            <w:tcW w:w="54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70" w:right="150"/>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c>
          <w:tcPr>
            <w:tcW w:w="54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72" w:right="152"/>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c>
          <w:tcPr>
            <w:tcW w:w="1214"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299"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30/150</w:t>
            </w:r>
          </w:p>
        </w:tc>
        <w:tc>
          <w:tcPr>
            <w:tcW w:w="582"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91" w:right="172"/>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c>
          <w:tcPr>
            <w:tcW w:w="66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230" w:right="210"/>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r>
      <w:tr w:rsidR="00FF2CD0" w:rsidRPr="00C203F3" w:rsidTr="00FF2CD0">
        <w:trPr>
          <w:trHeight w:hRule="exact" w:val="347"/>
        </w:trPr>
        <w:tc>
          <w:tcPr>
            <w:tcW w:w="1478"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47"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d4T/3TC</w:t>
            </w:r>
          </w:p>
        </w:tc>
        <w:tc>
          <w:tcPr>
            <w:tcW w:w="107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216"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6"/>
                <w:w w:val="101"/>
                <w:sz w:val="24"/>
                <w:szCs w:val="24"/>
              </w:rPr>
              <w:t>6/30/5</w:t>
            </w:r>
            <w:r w:rsidRPr="00C203F3">
              <w:rPr>
                <w:rFonts w:ascii="Arial Narrow" w:eastAsia="Times New Roman" w:hAnsi="Arial Narrow" w:cs="Times New Roman"/>
                <w:color w:val="231F20"/>
                <w:w w:val="101"/>
                <w:sz w:val="24"/>
                <w:szCs w:val="24"/>
              </w:rPr>
              <w:t>0</w:t>
            </w:r>
          </w:p>
        </w:tc>
        <w:tc>
          <w:tcPr>
            <w:tcW w:w="522"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1" w:right="14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7" w:right="148"/>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c>
          <w:tcPr>
            <w:tcW w:w="5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16"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1.5</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23"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1.5</w:t>
            </w:r>
          </w:p>
        </w:tc>
        <w:tc>
          <w:tcPr>
            <w:tcW w:w="50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53" w:right="134"/>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491"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45" w:right="127"/>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23"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2.5</w:t>
            </w:r>
          </w:p>
        </w:tc>
        <w:tc>
          <w:tcPr>
            <w:tcW w:w="5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15"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2.5</w:t>
            </w:r>
          </w:p>
        </w:tc>
        <w:tc>
          <w:tcPr>
            <w:tcW w:w="54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9" w:right="15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c>
          <w:tcPr>
            <w:tcW w:w="54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71" w:right="153"/>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c>
          <w:tcPr>
            <w:tcW w:w="1214"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08"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30/150/200</w:t>
            </w:r>
          </w:p>
        </w:tc>
        <w:tc>
          <w:tcPr>
            <w:tcW w:w="582"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90" w:right="172"/>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c>
          <w:tcPr>
            <w:tcW w:w="66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229" w:right="21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r>
      <w:tr w:rsidR="00FF2CD0" w:rsidRPr="00C203F3" w:rsidTr="00FF2CD0">
        <w:trPr>
          <w:trHeight w:hRule="exact" w:val="355"/>
        </w:trPr>
        <w:tc>
          <w:tcPr>
            <w:tcW w:w="1478"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47"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LPV/</w:t>
            </w:r>
            <w:r w:rsidRPr="00C203F3">
              <w:rPr>
                <w:rFonts w:ascii="Arial Narrow" w:eastAsia="Times New Roman" w:hAnsi="Arial Narrow" w:cs="Times New Roman"/>
                <w:color w:val="231F20"/>
                <w:spacing w:val="1"/>
                <w:w w:val="101"/>
                <w:sz w:val="24"/>
                <w:szCs w:val="24"/>
              </w:rPr>
              <w:t>r</w:t>
            </w:r>
            <w:r w:rsidRPr="00C203F3">
              <w:rPr>
                <w:rFonts w:ascii="Arial Narrow" w:eastAsia="Times New Roman" w:hAnsi="Arial Narrow" w:cs="Times New Roman"/>
                <w:color w:val="231F20"/>
                <w:w w:val="104"/>
                <w:position w:val="7"/>
                <w:sz w:val="24"/>
                <w:szCs w:val="24"/>
              </w:rPr>
              <w:t>c</w:t>
            </w:r>
          </w:p>
        </w:tc>
        <w:tc>
          <w:tcPr>
            <w:tcW w:w="107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243"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6"/>
                <w:w w:val="101"/>
                <w:sz w:val="24"/>
                <w:szCs w:val="24"/>
              </w:rPr>
              <w:t>100/5</w:t>
            </w:r>
            <w:r w:rsidRPr="00C203F3">
              <w:rPr>
                <w:rFonts w:ascii="Arial Narrow" w:eastAsia="Times New Roman" w:hAnsi="Arial Narrow" w:cs="Times New Roman"/>
                <w:color w:val="231F20"/>
                <w:w w:val="101"/>
                <w:sz w:val="24"/>
                <w:szCs w:val="24"/>
              </w:rPr>
              <w:t>0</w:t>
            </w:r>
          </w:p>
        </w:tc>
        <w:tc>
          <w:tcPr>
            <w:tcW w:w="522"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02"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NR</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09"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NR</w:t>
            </w:r>
          </w:p>
        </w:tc>
        <w:tc>
          <w:tcPr>
            <w:tcW w:w="5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0" w:right="140"/>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8" w:right="148"/>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w:t>
            </w:r>
          </w:p>
        </w:tc>
        <w:tc>
          <w:tcPr>
            <w:tcW w:w="50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53" w:right="133"/>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491"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46" w:right="126"/>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53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8" w:right="148"/>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5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60" w:right="14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54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70" w:right="150"/>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54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72" w:right="152"/>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2</w:t>
            </w:r>
          </w:p>
        </w:tc>
        <w:tc>
          <w:tcPr>
            <w:tcW w:w="1214"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299" w:right="-20"/>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100/25</w:t>
            </w:r>
          </w:p>
        </w:tc>
        <w:tc>
          <w:tcPr>
            <w:tcW w:w="582"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191" w:right="17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c>
          <w:tcPr>
            <w:tcW w:w="66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9" w:after="0" w:line="240" w:lineRule="auto"/>
              <w:ind w:left="230" w:right="210"/>
              <w:jc w:val="center"/>
              <w:rPr>
                <w:rFonts w:ascii="Arial Narrow" w:eastAsia="Times New Roman" w:hAnsi="Arial Narrow" w:cs="Times New Roman"/>
                <w:sz w:val="24"/>
                <w:szCs w:val="24"/>
              </w:rPr>
            </w:pPr>
            <w:r w:rsidRPr="00C203F3">
              <w:rPr>
                <w:rFonts w:ascii="Arial Narrow" w:eastAsia="Times New Roman" w:hAnsi="Arial Narrow" w:cs="Times New Roman"/>
                <w:color w:val="231F20"/>
                <w:w w:val="101"/>
                <w:sz w:val="24"/>
                <w:szCs w:val="24"/>
              </w:rPr>
              <w:t>3</w:t>
            </w:r>
          </w:p>
        </w:tc>
      </w:tr>
    </w:tbl>
    <w:p w:rsidR="00FF2CD0" w:rsidRPr="00C203F3" w:rsidRDefault="00FF2CD0" w:rsidP="00FF2CD0">
      <w:pPr>
        <w:spacing w:before="33" w:after="0" w:line="240" w:lineRule="auto"/>
        <w:ind w:left="118" w:right="-20"/>
        <w:rPr>
          <w:rFonts w:ascii="Arial Narrow" w:eastAsia="Times New Roman" w:hAnsi="Arial Narrow" w:cs="Times New Roman"/>
          <w:sz w:val="24"/>
          <w:szCs w:val="24"/>
        </w:rPr>
      </w:pPr>
      <w:r w:rsidRPr="00C203F3">
        <w:rPr>
          <w:rFonts w:ascii="Arial Narrow" w:eastAsia="Times New Roman" w:hAnsi="Arial Narrow" w:cs="Times New Roman"/>
          <w:color w:val="231F20"/>
          <w:position w:val="2"/>
          <w:sz w:val="24"/>
          <w:szCs w:val="24"/>
        </w:rPr>
        <w:t>a</w:t>
      </w:r>
      <w:r w:rsidRPr="00C203F3">
        <w:rPr>
          <w:rFonts w:ascii="Arial Narrow" w:eastAsia="Times New Roman" w:hAnsi="Arial Narrow" w:cs="Times New Roman"/>
          <w:color w:val="231F20"/>
          <w:sz w:val="24"/>
          <w:szCs w:val="24"/>
        </w:rPr>
        <w:t>Thisdoseofddlisonlyappropriateforchildren3monthsofageorolderandweighingbetween5kgand</w:t>
      </w:r>
      <w:r w:rsidRPr="00C203F3">
        <w:rPr>
          <w:rFonts w:ascii="Arial Narrow" w:eastAsia="Times New Roman" w:hAnsi="Arial Narrow" w:cs="Times New Roman"/>
          <w:color w:val="231F20"/>
          <w:w w:val="101"/>
          <w:sz w:val="24"/>
          <w:szCs w:val="24"/>
        </w:rPr>
        <w:t>5.9kg</w:t>
      </w:r>
    </w:p>
    <w:p w:rsidR="00FF2CD0" w:rsidRPr="00C203F3" w:rsidRDefault="00FF2CD0" w:rsidP="00FF2CD0">
      <w:pPr>
        <w:spacing w:before="42" w:after="0" w:line="240" w:lineRule="auto"/>
        <w:ind w:left="118" w:right="-20"/>
        <w:rPr>
          <w:rFonts w:ascii="Arial Narrow" w:eastAsia="Times New Roman" w:hAnsi="Arial Narrow" w:cs="Times New Roman"/>
          <w:sz w:val="24"/>
          <w:szCs w:val="24"/>
        </w:rPr>
      </w:pPr>
      <w:r w:rsidRPr="00C203F3">
        <w:rPr>
          <w:rFonts w:ascii="Arial Narrow" w:eastAsia="Times New Roman" w:hAnsi="Arial Narrow" w:cs="Times New Roman"/>
          <w:color w:val="231F20"/>
          <w:position w:val="4"/>
          <w:sz w:val="24"/>
          <w:szCs w:val="24"/>
        </w:rPr>
        <w:t>b</w:t>
      </w:r>
      <w:r w:rsidRPr="00C203F3">
        <w:rPr>
          <w:rFonts w:ascii="Arial Narrow" w:eastAsia="Times New Roman" w:hAnsi="Arial Narrow" w:cs="Times New Roman"/>
          <w:color w:val="231F20"/>
          <w:sz w:val="24"/>
          <w:szCs w:val="24"/>
        </w:rPr>
        <w:t>See ABC/3TC FDC</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closing</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w w:val="101"/>
          <w:sz w:val="24"/>
          <w:szCs w:val="24"/>
        </w:rPr>
        <w:t>table.</w:t>
      </w:r>
    </w:p>
    <w:p w:rsidR="00FF2CD0" w:rsidRPr="00C203F3" w:rsidRDefault="00FF2CD0" w:rsidP="00FF2CD0">
      <w:pPr>
        <w:spacing w:before="22" w:after="0" w:line="240" w:lineRule="auto"/>
        <w:ind w:left="118" w:right="-20"/>
        <w:rPr>
          <w:rFonts w:ascii="Arial Narrow" w:eastAsia="Times New Roman" w:hAnsi="Arial Narrow" w:cs="Times New Roman"/>
          <w:sz w:val="24"/>
          <w:szCs w:val="24"/>
        </w:rPr>
      </w:pPr>
      <w:r w:rsidRPr="00C203F3">
        <w:rPr>
          <w:rFonts w:ascii="Arial Narrow" w:eastAsia="Times New Roman" w:hAnsi="Arial Narrow" w:cs="Times New Roman"/>
          <w:color w:val="231F20"/>
          <w:position w:val="6"/>
          <w:sz w:val="24"/>
          <w:szCs w:val="24"/>
        </w:rPr>
        <w:t>C</w:t>
      </w:r>
      <w:r w:rsidRPr="00C203F3">
        <w:rPr>
          <w:rFonts w:ascii="Arial Narrow" w:eastAsia="Times New Roman" w:hAnsi="Arial Narrow" w:cs="Times New Roman"/>
          <w:color w:val="231F20"/>
          <w:sz w:val="24"/>
          <w:szCs w:val="24"/>
        </w:rPr>
        <w:t>Higher</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doses</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of</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LPV/r</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may</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be</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required</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when</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co-administered</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with</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enzymes-inducing</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drugs</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such</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as</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NVP,</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EFV,</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los-ampernavie</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(FPV),</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w w:val="101"/>
          <w:sz w:val="24"/>
          <w:szCs w:val="24"/>
        </w:rPr>
        <w:t>rilampicin</w:t>
      </w:r>
      <w:r>
        <w:rPr>
          <w:rFonts w:ascii="Arial Narrow" w:eastAsia="Times New Roman" w:hAnsi="Arial Narrow" w:cs="Times New Roman"/>
          <w:color w:val="231F20"/>
          <w:w w:val="101"/>
          <w:sz w:val="24"/>
          <w:szCs w:val="24"/>
        </w:rPr>
        <w:t>.</w:t>
      </w:r>
    </w:p>
    <w:p w:rsidR="00FF2CD0" w:rsidRPr="00C203F3" w:rsidRDefault="00FF2CD0" w:rsidP="00FF2CD0">
      <w:pPr>
        <w:spacing w:after="0"/>
        <w:rPr>
          <w:rFonts w:ascii="Arial Narrow" w:hAnsi="Arial Narrow"/>
          <w:sz w:val="24"/>
          <w:szCs w:val="24"/>
        </w:rPr>
        <w:sectPr w:rsidR="00FF2CD0" w:rsidRPr="00C203F3">
          <w:headerReference w:type="default" r:id="rId23"/>
          <w:pgSz w:w="12760" w:h="9240" w:orient="landscape"/>
          <w:pgMar w:top="760" w:right="1040" w:bottom="280" w:left="1180" w:header="0" w:footer="0" w:gutter="0"/>
          <w:cols w:space="720"/>
        </w:sectPr>
      </w:pPr>
    </w:p>
    <w:p w:rsidR="00FF2CD0" w:rsidRPr="00C203F3" w:rsidRDefault="00AA771C" w:rsidP="00FF2CD0">
      <w:pPr>
        <w:spacing w:before="3" w:after="0" w:line="170" w:lineRule="exact"/>
        <w:rPr>
          <w:rFonts w:ascii="Arial Narrow" w:hAnsi="Arial Narrow"/>
          <w:sz w:val="24"/>
          <w:szCs w:val="24"/>
        </w:rPr>
      </w:pPr>
      <w:r>
        <w:rPr>
          <w:rFonts w:ascii="Arial Narrow" w:hAnsi="Arial Narrow"/>
          <w:noProof/>
          <w:sz w:val="24"/>
          <w:szCs w:val="24"/>
        </w:rPr>
        <mc:AlternateContent>
          <mc:Choice Requires="wpg">
            <w:drawing>
              <wp:anchor distT="0" distB="0" distL="114300" distR="114300" simplePos="0" relativeHeight="251751424" behindDoc="1" locked="0" layoutInCell="1" allowOverlap="1">
                <wp:simplePos x="0" y="0"/>
                <wp:positionH relativeFrom="page">
                  <wp:posOffset>7827010</wp:posOffset>
                </wp:positionH>
                <wp:positionV relativeFrom="page">
                  <wp:posOffset>0</wp:posOffset>
                </wp:positionV>
                <wp:extent cx="1270" cy="190500"/>
                <wp:effectExtent l="0" t="0" r="17780" b="19050"/>
                <wp:wrapNone/>
                <wp:docPr id="915"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12326" y="0"/>
                          <a:chExt cx="2" cy="300"/>
                        </a:xfrm>
                      </wpg:grpSpPr>
                      <wps:wsp>
                        <wps:cNvPr id="916" name="Freeform 579"/>
                        <wps:cNvSpPr>
                          <a:spLocks/>
                        </wps:cNvSpPr>
                        <wps:spPr bwMode="auto">
                          <a:xfrm>
                            <a:off x="12326"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8" o:spid="_x0000_s1026" style="position:absolute;margin-left:616.3pt;margin-top:0;width:.1pt;height:15pt;z-index:-251565056;mso-position-horizontal-relative:page;mso-position-vertical-relative:page" coordorigin="12326"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">
                <v:shape id="Freeform 579" o:spid="_x0000_s1027" style="position:absolute;left:12326;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L9sQA&#10;AADcAAAADwAAAGRycy9kb3ducmV2LnhtbESPQWvCQBSE74L/YXmFXqRu7EFi6ipFWvDgJVHw+th9&#10;ZoPZtyG7JvHfdwuFHoeZ+YbZ7ifXioH60HhWsFpmIIi1Nw3XCi7n77ccRIjIBlvPpOBJAfa7+WyL&#10;hfEjlzRUsRYJwqFABTbGrpAyaEsOw9J3xMm7+d5hTLKvpelxTHDXyvcsW0uHDacFix0dLOl79XAK&#10;SjmdFmfbua8hjtdS59np9rgr9foyfX6AiDTF//Bf+2gUbFZr+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ri/bEAAAA3AAAAA8AAAAAAAAAAAAAAAAAmAIAAGRycy9k&#10;b3ducmV2LnhtbFBLBQYAAAAABAAEAPUAAACJAwAAAAA=&#10;" path="m,300l,e" filled="f" strokeweight=".25pt">
                  <v:path arrowok="t" o:connecttype="custom" o:connectlocs="0,300;0,0" o:connectangles="0,0"/>
                </v:shape>
                <w10:wrap anchorx="page" anchory="page"/>
              </v:group>
            </w:pict>
          </mc:Fallback>
        </mc:AlternateContent>
      </w:r>
      <w:r>
        <w:rPr>
          <w:rFonts w:ascii="Arial Narrow" w:hAnsi="Arial Narrow"/>
          <w:noProof/>
          <w:sz w:val="24"/>
          <w:szCs w:val="24"/>
        </w:rPr>
        <mc:AlternateContent>
          <mc:Choice Requires="wpg">
            <w:drawing>
              <wp:anchor distT="0" distB="0" distL="114300" distR="114300" simplePos="0" relativeHeight="251752448" behindDoc="1" locked="0" layoutInCell="1" allowOverlap="1">
                <wp:simplePos x="0" y="0"/>
                <wp:positionH relativeFrom="page">
                  <wp:posOffset>7827010</wp:posOffset>
                </wp:positionH>
                <wp:positionV relativeFrom="page">
                  <wp:posOffset>5671185</wp:posOffset>
                </wp:positionV>
                <wp:extent cx="1270" cy="190500"/>
                <wp:effectExtent l="0" t="0" r="17780" b="19050"/>
                <wp:wrapNone/>
                <wp:docPr id="913"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12326" y="8931"/>
                          <a:chExt cx="2" cy="300"/>
                        </a:xfrm>
                      </wpg:grpSpPr>
                      <wps:wsp>
                        <wps:cNvPr id="914" name="Freeform 577"/>
                        <wps:cNvSpPr>
                          <a:spLocks/>
                        </wps:cNvSpPr>
                        <wps:spPr bwMode="auto">
                          <a:xfrm>
                            <a:off x="12326" y="8931"/>
                            <a:ext cx="2" cy="300"/>
                          </a:xfrm>
                          <a:custGeom>
                            <a:avLst/>
                            <a:gdLst>
                              <a:gd name="T0" fmla="+- 0 8931 8931"/>
                              <a:gd name="T1" fmla="*/ 8931 h 300"/>
                              <a:gd name="T2" fmla="+- 0 9231 8931"/>
                              <a:gd name="T3" fmla="*/ 9231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6" o:spid="_x0000_s1026" style="position:absolute;margin-left:616.3pt;margin-top:446.55pt;width:.1pt;height:15pt;z-index:-251564032;mso-position-horizontal-relative:page;mso-position-vertical-relative:page" coordorigin="12326,8931"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">
                <v:shape id="Freeform 577" o:spid="_x0000_s1027" style="position:absolute;left:12326;top:8931;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GsUA&#10;AADcAAAADwAAAGRycy9kb3ducmV2LnhtbESPwWrDMBBE74X+g9hCLqWRHUpx3CgmhBZ6yMVJINfF&#10;Wlsm1spYiu38fVQo9DjMzBtmU8y2EyMNvnWsIF0mIIgrp1tuFJxP328ZCB+QNXaOScGdPBTb56cN&#10;5tpNXNJ4DI2IEPY5KjAh9LmUvjJk0S9dTxy92g0WQ5RDI/WAU4TbTq6S5ENabDkuGOxpb6i6Hm9W&#10;QSnnw+vJ9PZrDNOlrLLkUN+uSi1e5t0niEBz+A//tX+0gnX6Dr9n4h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bAaxQAAANwAAAAPAAAAAAAAAAAAAAAAAJgCAABkcnMv&#10;ZG93bnJldi54bWxQSwUGAAAAAAQABAD1AAAAigMAAAAA&#10;" path="m,l,300e" filled="f" strokeweight=".25pt">
                  <v:path arrowok="t" o:connecttype="custom" o:connectlocs="0,8931;0,9231" o:connectangles="0,0"/>
                </v:shape>
                <w10:wrap anchorx="page" anchory="page"/>
              </v:group>
            </w:pict>
          </mc:Fallback>
        </mc:AlternateContent>
      </w:r>
      <w:r>
        <w:rPr>
          <w:rFonts w:ascii="Arial Narrow" w:hAnsi="Arial Narrow"/>
          <w:noProof/>
          <w:sz w:val="24"/>
          <w:szCs w:val="24"/>
        </w:rPr>
        <mc:AlternateContent>
          <mc:Choice Requires="wpg">
            <w:drawing>
              <wp:anchor distT="0" distB="0" distL="114300" distR="114300" simplePos="0" relativeHeight="251753472" behindDoc="1" locked="0" layoutInCell="1" allowOverlap="1">
                <wp:simplePos x="0" y="0"/>
                <wp:positionH relativeFrom="page">
                  <wp:posOffset>7903210</wp:posOffset>
                </wp:positionH>
                <wp:positionV relativeFrom="page">
                  <wp:posOffset>266700</wp:posOffset>
                </wp:positionV>
                <wp:extent cx="190500" cy="1270"/>
                <wp:effectExtent l="0" t="0" r="19050" b="17780"/>
                <wp:wrapNone/>
                <wp:docPr id="909"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2446" y="420"/>
                          <a:chExt cx="300" cy="2"/>
                        </a:xfrm>
                      </wpg:grpSpPr>
                      <wps:wsp>
                        <wps:cNvPr id="910" name="Freeform 573"/>
                        <wps:cNvSpPr>
                          <a:spLocks/>
                        </wps:cNvSpPr>
                        <wps:spPr bwMode="auto">
                          <a:xfrm>
                            <a:off x="12446" y="420"/>
                            <a:ext cx="300" cy="2"/>
                          </a:xfrm>
                          <a:custGeom>
                            <a:avLst/>
                            <a:gdLst>
                              <a:gd name="T0" fmla="+- 0 12446 12446"/>
                              <a:gd name="T1" fmla="*/ T0 w 300"/>
                              <a:gd name="T2" fmla="+- 0 12746 12446"/>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2" o:spid="_x0000_s1026" style="position:absolute;margin-left:622.3pt;margin-top:21pt;width:15pt;height:.1pt;z-index:-251563008;mso-position-horizontal-relative:page;mso-position-vertical-relative:page" coordorigin="12446,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">
                <v:shape id="Freeform 573" o:spid="_x0000_s1027" style="position:absolute;left:12446;top:420;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9w8IA&#10;AADcAAAADwAAAGRycy9kb3ducmV2LnhtbERPz2vCMBS+D/wfwhN207Q6dNamooOxzoOg2+6P5tkW&#10;m5eSZFr/e3MY7Pjx/c43g+nElZxvLStIpwkI4srqlmsF31/vk1cQPiBr7CyTgjt52BSjpxwzbW98&#10;pOsp1CKGsM9QQRNCn0npq4YM+qntiSN3ts5giNDVUju8xXDTyVmSLKTBlmNDgz29NVRdTr9GweHA&#10;zuF5Pks/zGq+X+5efsrPUqnn8bBdgwg0hH/xn7vUClZpnB/PxCM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v3DwgAAANwAAAAPAAAAAAAAAAAAAAAAAJgCAABkcnMvZG93&#10;bnJldi54bWxQSwUGAAAAAAQABAD1AAAAhwMAAAAA&#10;" path="m,l300,e" filled="f" strokeweight=".25pt">
                  <v:path arrowok="t" o:connecttype="custom" o:connectlocs="0,0;300,0" o:connectangles="0,0"/>
                </v:shape>
                <w10:wrap anchorx="page" anchory="page"/>
              </v:group>
            </w:pict>
          </mc:Fallback>
        </mc:AlternateContent>
      </w:r>
      <w:r>
        <w:rPr>
          <w:rFonts w:ascii="Arial Narrow" w:hAnsi="Arial Narrow"/>
          <w:noProof/>
          <w:sz w:val="24"/>
          <w:szCs w:val="24"/>
        </w:rPr>
        <mc:AlternateContent>
          <mc:Choice Requires="wpg">
            <w:drawing>
              <wp:anchor distT="0" distB="0" distL="114300" distR="114300" simplePos="0" relativeHeight="251754496" behindDoc="1" locked="0" layoutInCell="1" allowOverlap="1">
                <wp:simplePos x="0" y="0"/>
                <wp:positionH relativeFrom="page">
                  <wp:posOffset>7903210</wp:posOffset>
                </wp:positionH>
                <wp:positionV relativeFrom="page">
                  <wp:posOffset>5594985</wp:posOffset>
                </wp:positionV>
                <wp:extent cx="190500" cy="1270"/>
                <wp:effectExtent l="0" t="0" r="19050" b="17780"/>
                <wp:wrapNone/>
                <wp:docPr id="905"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2446" y="8811"/>
                          <a:chExt cx="300" cy="2"/>
                        </a:xfrm>
                      </wpg:grpSpPr>
                      <wps:wsp>
                        <wps:cNvPr id="906" name="Freeform 569"/>
                        <wps:cNvSpPr>
                          <a:spLocks/>
                        </wps:cNvSpPr>
                        <wps:spPr bwMode="auto">
                          <a:xfrm>
                            <a:off x="12446" y="8811"/>
                            <a:ext cx="300" cy="2"/>
                          </a:xfrm>
                          <a:custGeom>
                            <a:avLst/>
                            <a:gdLst>
                              <a:gd name="T0" fmla="+- 0 12446 12446"/>
                              <a:gd name="T1" fmla="*/ T0 w 300"/>
                              <a:gd name="T2" fmla="+- 0 12746 12446"/>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8" o:spid="_x0000_s1026" style="position:absolute;margin-left:622.3pt;margin-top:440.55pt;width:15pt;height:.1pt;z-index:-251561984;mso-position-horizontal-relative:page;mso-position-vertical-relative:page" coordorigin="12446,8811"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">
                <v:shape id="Freeform 569" o:spid="_x0000_s1027" style="position:absolute;left:12446;top:8811;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W8cQA&#10;AADcAAAADwAAAGRycy9kb3ducmV2LnhtbESPQWsCMRSE74L/ITzBW82qRetqFBWkWw+Ctr0/Ns/d&#10;xc3LkkRd/70pFDwOM/MNs1i1phY3cr6yrGA4SEAQ51ZXXCj4+d69fYDwAVljbZkUPMjDatntLDDV&#10;9s5Hup1CISKEfYoKyhCaVEqfl2TQD2xDHL2zdQZDlK6Q2uE9wk0tR0kykQYrjgslNrQtKb+crkbB&#10;4cDO4Xk8Gn6a2Xg/3bz/Zl+ZUv1eu56DCNSGV/i/nWkFs2QCf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qVvHEAAAA3AAAAA8AAAAAAAAAAAAAAAAAmAIAAGRycy9k&#10;b3ducmV2LnhtbFBLBQYAAAAABAAEAPUAAACJAwAAAAA=&#10;" path="m,l300,e" filled="f" strokeweight=".25pt">
                  <v:path arrowok="t" o:connecttype="custom" o:connectlocs="0,0;300,0" o:connectangles="0,0"/>
                </v:shape>
                <w10:wrap anchorx="page" anchory="page"/>
              </v:group>
            </w:pict>
          </mc:Fallback>
        </mc:AlternateContent>
      </w:r>
      <w:r>
        <w:rPr>
          <w:rFonts w:ascii="Arial Narrow" w:hAnsi="Arial Narrow"/>
          <w:noProof/>
          <w:sz w:val="24"/>
          <w:szCs w:val="24"/>
        </w:rPr>
        <mc:AlternateContent>
          <mc:Choice Requires="wps">
            <w:drawing>
              <wp:anchor distT="0" distB="0" distL="114300" distR="114300" simplePos="0" relativeHeight="251755520" behindDoc="1" locked="0" layoutInCell="1" allowOverlap="1">
                <wp:simplePos x="0" y="0"/>
                <wp:positionH relativeFrom="page">
                  <wp:posOffset>411480</wp:posOffset>
                </wp:positionH>
                <wp:positionV relativeFrom="page">
                  <wp:posOffset>4750435</wp:posOffset>
                </wp:positionV>
                <wp:extent cx="165100" cy="234950"/>
                <wp:effectExtent l="0" t="0" r="6350" b="12700"/>
                <wp:wrapNone/>
                <wp:docPr id="904"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sidP="00FF2CD0">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color w:val="FFFFFF"/>
                              </w:rPr>
                              <w:t>291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477" type="#_x0000_t202" style="position:absolute;margin-left:32.4pt;margin-top:374.05pt;width:13pt;height:18.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" filled="f" stroked="f">
                <v:textbox style="layout-flow:vertical" inset="0,0,0,0">
                  <w:txbxContent>
                    <w:p w:rsidR="00B247C9" w:rsidRDefault="00B247C9" w:rsidP="00FF2CD0">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color w:val="FFFFFF"/>
                        </w:rPr>
                        <w:t>291</w:t>
                      </w:r>
                    </w:p>
                  </w:txbxContent>
                </v:textbox>
                <w10:wrap anchorx="page" anchory="page"/>
              </v:shape>
            </w:pict>
          </mc:Fallback>
        </mc:AlternateContent>
      </w:r>
    </w:p>
    <w:p w:rsidR="00FF2CD0" w:rsidRPr="00C203F3" w:rsidRDefault="00FF2CD0" w:rsidP="00FF2CD0">
      <w:pPr>
        <w:spacing w:after="0" w:line="200" w:lineRule="exact"/>
        <w:rPr>
          <w:rFonts w:ascii="Arial Narrow" w:hAnsi="Arial Narrow"/>
          <w:sz w:val="24"/>
          <w:szCs w:val="24"/>
        </w:rPr>
      </w:pPr>
    </w:p>
    <w:p w:rsidR="00FF2CD0" w:rsidRPr="00C203F3" w:rsidRDefault="00FF2CD0" w:rsidP="00FF2CD0">
      <w:pPr>
        <w:spacing w:after="0" w:line="200" w:lineRule="exact"/>
        <w:rPr>
          <w:rFonts w:ascii="Arial Narrow" w:hAnsi="Arial Narrow"/>
          <w:sz w:val="24"/>
          <w:szCs w:val="24"/>
        </w:rPr>
      </w:pPr>
    </w:p>
    <w:p w:rsidR="00FF2CD0" w:rsidRPr="00C203F3" w:rsidRDefault="00AA771C" w:rsidP="00FF2CD0">
      <w:pPr>
        <w:spacing w:before="32" w:after="0" w:line="252" w:lineRule="auto"/>
        <w:ind w:left="3096" w:right="364" w:hanging="2639"/>
        <w:rPr>
          <w:rFonts w:ascii="Arial Narrow" w:eastAsia="Times New Roman" w:hAnsi="Arial Narrow" w:cs="Times New Roman"/>
          <w:sz w:val="24"/>
          <w:szCs w:val="24"/>
        </w:rPr>
      </w:pPr>
      <w:r>
        <w:rPr>
          <w:rFonts w:ascii="Arial Narrow" w:hAnsi="Arial Narrow"/>
          <w:noProof/>
          <w:sz w:val="24"/>
          <w:szCs w:val="24"/>
        </w:rPr>
        <mc:AlternateContent>
          <mc:Choice Requires="wpg">
            <w:drawing>
              <wp:anchor distT="0" distB="0" distL="114300" distR="114300" simplePos="0" relativeHeight="251750400" behindDoc="1" locked="0" layoutInCell="1" allowOverlap="1">
                <wp:simplePos x="0" y="0"/>
                <wp:positionH relativeFrom="page">
                  <wp:posOffset>1245235</wp:posOffset>
                </wp:positionH>
                <wp:positionV relativeFrom="paragraph">
                  <wp:posOffset>426720</wp:posOffset>
                </wp:positionV>
                <wp:extent cx="6110605" cy="835660"/>
                <wp:effectExtent l="0" t="0" r="4445" b="2540"/>
                <wp:wrapNone/>
                <wp:docPr id="902"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605" cy="835660"/>
                          <a:chOff x="1961" y="672"/>
                          <a:chExt cx="9623" cy="1316"/>
                        </a:xfrm>
                      </wpg:grpSpPr>
                      <wps:wsp>
                        <wps:cNvPr id="903" name="Freeform 566"/>
                        <wps:cNvSpPr>
                          <a:spLocks/>
                        </wps:cNvSpPr>
                        <wps:spPr bwMode="auto">
                          <a:xfrm>
                            <a:off x="1961" y="672"/>
                            <a:ext cx="9623" cy="1316"/>
                          </a:xfrm>
                          <a:custGeom>
                            <a:avLst/>
                            <a:gdLst>
                              <a:gd name="T0" fmla="+- 0 11584 1961"/>
                              <a:gd name="T1" fmla="*/ T0 w 9623"/>
                              <a:gd name="T2" fmla="+- 0 1022 672"/>
                              <a:gd name="T3" fmla="*/ 1022 h 1316"/>
                              <a:gd name="T4" fmla="+- 0 11584 1961"/>
                              <a:gd name="T5" fmla="*/ T4 w 9623"/>
                              <a:gd name="T6" fmla="+- 0 672 672"/>
                              <a:gd name="T7" fmla="*/ 672 h 1316"/>
                              <a:gd name="T8" fmla="+- 0 1961 1961"/>
                              <a:gd name="T9" fmla="*/ T8 w 9623"/>
                              <a:gd name="T10" fmla="+- 0 672 672"/>
                              <a:gd name="T11" fmla="*/ 672 h 1316"/>
                              <a:gd name="T12" fmla="+- 0 1961 1961"/>
                              <a:gd name="T13" fmla="*/ T12 w 9623"/>
                              <a:gd name="T14" fmla="+- 0 1988 672"/>
                              <a:gd name="T15" fmla="*/ 1988 h 1316"/>
                              <a:gd name="T16" fmla="+- 0 3356 1961"/>
                              <a:gd name="T17" fmla="*/ T16 w 9623"/>
                              <a:gd name="T18" fmla="+- 0 1988 672"/>
                              <a:gd name="T19" fmla="*/ 1988 h 1316"/>
                              <a:gd name="T20" fmla="+- 0 3356 1961"/>
                              <a:gd name="T21" fmla="*/ T20 w 9623"/>
                              <a:gd name="T22" fmla="+- 0 1022 672"/>
                              <a:gd name="T23" fmla="*/ 1022 h 1316"/>
                              <a:gd name="T24" fmla="+- 0 11584 1961"/>
                              <a:gd name="T25" fmla="*/ T24 w 9623"/>
                              <a:gd name="T26" fmla="+- 0 1022 672"/>
                              <a:gd name="T27" fmla="*/ 1022 h 1316"/>
                            </a:gdLst>
                            <a:ahLst/>
                            <a:cxnLst>
                              <a:cxn ang="0">
                                <a:pos x="T1" y="T3"/>
                              </a:cxn>
                              <a:cxn ang="0">
                                <a:pos x="T5" y="T7"/>
                              </a:cxn>
                              <a:cxn ang="0">
                                <a:pos x="T9" y="T11"/>
                              </a:cxn>
                              <a:cxn ang="0">
                                <a:pos x="T13" y="T15"/>
                              </a:cxn>
                              <a:cxn ang="0">
                                <a:pos x="T17" y="T19"/>
                              </a:cxn>
                              <a:cxn ang="0">
                                <a:pos x="T21" y="T23"/>
                              </a:cxn>
                              <a:cxn ang="0">
                                <a:pos x="T25" y="T27"/>
                              </a:cxn>
                            </a:cxnLst>
                            <a:rect l="0" t="0" r="r" b="b"/>
                            <a:pathLst>
                              <a:path w="9623" h="1316">
                                <a:moveTo>
                                  <a:pt x="9623" y="350"/>
                                </a:moveTo>
                                <a:lnTo>
                                  <a:pt x="9623" y="0"/>
                                </a:lnTo>
                                <a:lnTo>
                                  <a:pt x="0" y="0"/>
                                </a:lnTo>
                                <a:lnTo>
                                  <a:pt x="0" y="1316"/>
                                </a:lnTo>
                                <a:lnTo>
                                  <a:pt x="1395" y="1316"/>
                                </a:lnTo>
                                <a:lnTo>
                                  <a:pt x="1395" y="350"/>
                                </a:lnTo>
                                <a:lnTo>
                                  <a:pt x="9623" y="350"/>
                                </a:lnTo>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5" o:spid="_x0000_s1026" style="position:absolute;margin-left:98.05pt;margin-top:33.6pt;width:481.15pt;height:65.8pt;z-index:-251566080;mso-position-horizontal-relative:page" coordorigin="1961,672" coordsize="9623,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">
                <v:shape id="Freeform 566" o:spid="_x0000_s1027" style="position:absolute;left:1961;top:672;width:9623;height:1316;visibility:visible;mso-wrap-style:square;v-text-anchor:top" coordsize="9623,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Ir8MA&#10;AADcAAAADwAAAGRycy9kb3ducmV2LnhtbESPX2vCMBTF3wW/Q7gD3zRxgszOKCITfJydD/p2l1zb&#10;suamNLGt334RBns8nD8/zno7uFp01IbKs4b5TIEgNt5WXGg4fx2mbyBCRLZYeyYNDwqw3YxHa8ys&#10;7/lEXR4LkUY4ZKihjLHJpAymJIdh5hvi5N186zAm2RbSttincVfLV6WW0mHFiVBiQ/uSzE9+dwly&#10;MWpxOO2im3+677y/nc21+9B68jLs3kFEGuJ/+K99tBpWagHP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bIr8MAAADcAAAADwAAAAAAAAAAAAAAAACYAgAAZHJzL2Rv&#10;d25yZXYueG1sUEsFBgAAAAAEAAQA9QAAAIgDAAAAAA==&#10;" path="m9623,350l9623,,,,,1316r1395,l1395,350r8228,e" fillcolor="#00aeef" stroked="f">
                  <v:path arrowok="t" o:connecttype="custom" o:connectlocs="9623,1022;9623,672;0,672;0,1988;1395,1988;1395,1022;9623,1022" o:connectangles="0,0,0,0,0,0,0"/>
                </v:shape>
                <w10:wrap anchorx="page"/>
              </v:group>
            </w:pict>
          </mc:Fallback>
        </mc:AlternateContent>
      </w:r>
      <w:r w:rsidR="00FF2CD0" w:rsidRPr="00C203F3">
        <w:rPr>
          <w:rFonts w:ascii="Arial Narrow" w:eastAsia="Times New Roman" w:hAnsi="Arial Narrow" w:cs="Times New Roman"/>
          <w:b/>
          <w:bCs/>
          <w:color w:val="231F20"/>
          <w:spacing w:val="7"/>
          <w:sz w:val="24"/>
          <w:szCs w:val="24"/>
        </w:rPr>
        <w:t>Simplifie</w:t>
      </w:r>
      <w:r w:rsidR="00FF2CD0" w:rsidRPr="00C203F3">
        <w:rPr>
          <w:rFonts w:ascii="Arial Narrow" w:eastAsia="Times New Roman" w:hAnsi="Arial Narrow" w:cs="Times New Roman"/>
          <w:b/>
          <w:bCs/>
          <w:color w:val="231F20"/>
          <w:sz w:val="24"/>
          <w:szCs w:val="24"/>
        </w:rPr>
        <w:t>d</w:t>
      </w:r>
      <w:r w:rsidR="00FF2CD0">
        <w:rPr>
          <w:rFonts w:ascii="Arial Narrow" w:eastAsia="Times New Roman" w:hAnsi="Arial Narrow" w:cs="Times New Roman"/>
          <w:b/>
          <w:bCs/>
          <w:color w:val="231F20"/>
          <w:sz w:val="24"/>
          <w:szCs w:val="24"/>
        </w:rPr>
        <w:t xml:space="preserve"> </w:t>
      </w:r>
      <w:r w:rsidR="00FF2CD0" w:rsidRPr="00C203F3">
        <w:rPr>
          <w:rFonts w:ascii="Arial Narrow" w:eastAsia="Times New Roman" w:hAnsi="Arial Narrow" w:cs="Times New Roman"/>
          <w:b/>
          <w:bCs/>
          <w:color w:val="231F20"/>
          <w:spacing w:val="7"/>
          <w:sz w:val="24"/>
          <w:szCs w:val="24"/>
        </w:rPr>
        <w:t>tabl</w:t>
      </w:r>
      <w:r w:rsidR="00FF2CD0" w:rsidRPr="00C203F3">
        <w:rPr>
          <w:rFonts w:ascii="Arial Narrow" w:eastAsia="Times New Roman" w:hAnsi="Arial Narrow" w:cs="Times New Roman"/>
          <w:b/>
          <w:bCs/>
          <w:color w:val="231F20"/>
          <w:sz w:val="24"/>
          <w:szCs w:val="24"/>
        </w:rPr>
        <w:t>e</w:t>
      </w:r>
      <w:r w:rsidR="00FF2CD0">
        <w:rPr>
          <w:rFonts w:ascii="Arial Narrow" w:eastAsia="Times New Roman" w:hAnsi="Arial Narrow" w:cs="Times New Roman"/>
          <w:b/>
          <w:bCs/>
          <w:color w:val="231F20"/>
          <w:sz w:val="24"/>
          <w:szCs w:val="24"/>
        </w:rPr>
        <w:t xml:space="preserve"> </w:t>
      </w:r>
      <w:r w:rsidR="00FF2CD0" w:rsidRPr="00C203F3">
        <w:rPr>
          <w:rFonts w:ascii="Arial Narrow" w:eastAsia="Times New Roman" w:hAnsi="Arial Narrow" w:cs="Times New Roman"/>
          <w:b/>
          <w:bCs/>
          <w:color w:val="231F20"/>
          <w:spacing w:val="7"/>
          <w:sz w:val="24"/>
          <w:szCs w:val="24"/>
        </w:rPr>
        <w:t>givin</w:t>
      </w:r>
      <w:r w:rsidR="00FF2CD0" w:rsidRPr="00C203F3">
        <w:rPr>
          <w:rFonts w:ascii="Arial Narrow" w:eastAsia="Times New Roman" w:hAnsi="Arial Narrow" w:cs="Times New Roman"/>
          <w:b/>
          <w:bCs/>
          <w:color w:val="231F20"/>
          <w:sz w:val="24"/>
          <w:szCs w:val="24"/>
        </w:rPr>
        <w:t>g</w:t>
      </w:r>
      <w:r w:rsidR="00FF2CD0">
        <w:rPr>
          <w:rFonts w:ascii="Arial Narrow" w:eastAsia="Times New Roman" w:hAnsi="Arial Narrow" w:cs="Times New Roman"/>
          <w:b/>
          <w:bCs/>
          <w:color w:val="231F20"/>
          <w:sz w:val="24"/>
          <w:szCs w:val="24"/>
        </w:rPr>
        <w:t xml:space="preserve"> </w:t>
      </w:r>
      <w:r w:rsidR="00FF2CD0" w:rsidRPr="00C203F3">
        <w:rPr>
          <w:rFonts w:ascii="Arial Narrow" w:eastAsia="Times New Roman" w:hAnsi="Arial Narrow" w:cs="Times New Roman"/>
          <w:b/>
          <w:bCs/>
          <w:color w:val="231F20"/>
          <w:spacing w:val="7"/>
          <w:sz w:val="24"/>
          <w:szCs w:val="24"/>
        </w:rPr>
        <w:t>m</w:t>
      </w:r>
      <w:r w:rsidR="00FF2CD0" w:rsidRPr="00C203F3">
        <w:rPr>
          <w:rFonts w:ascii="Arial Narrow" w:eastAsia="Times New Roman" w:hAnsi="Arial Narrow" w:cs="Times New Roman"/>
          <w:b/>
          <w:bCs/>
          <w:color w:val="231F20"/>
          <w:sz w:val="24"/>
          <w:szCs w:val="24"/>
        </w:rPr>
        <w:t>l</w:t>
      </w:r>
      <w:r w:rsidR="00FF2CD0">
        <w:rPr>
          <w:rFonts w:ascii="Arial Narrow" w:eastAsia="Times New Roman" w:hAnsi="Arial Narrow" w:cs="Times New Roman"/>
          <w:b/>
          <w:bCs/>
          <w:color w:val="231F20"/>
          <w:sz w:val="24"/>
          <w:szCs w:val="24"/>
        </w:rPr>
        <w:t xml:space="preserve"> </w:t>
      </w:r>
      <w:r w:rsidR="00FF2CD0" w:rsidRPr="00C203F3">
        <w:rPr>
          <w:rFonts w:ascii="Arial Narrow" w:eastAsia="Times New Roman" w:hAnsi="Arial Narrow" w:cs="Times New Roman"/>
          <w:b/>
          <w:bCs/>
          <w:color w:val="231F20"/>
          <w:spacing w:val="7"/>
          <w:sz w:val="24"/>
          <w:szCs w:val="24"/>
        </w:rPr>
        <w:t>o</w:t>
      </w:r>
      <w:r w:rsidR="00FF2CD0" w:rsidRPr="00C203F3">
        <w:rPr>
          <w:rFonts w:ascii="Arial Narrow" w:eastAsia="Times New Roman" w:hAnsi="Arial Narrow" w:cs="Times New Roman"/>
          <w:b/>
          <w:bCs/>
          <w:color w:val="231F20"/>
          <w:sz w:val="24"/>
          <w:szCs w:val="24"/>
        </w:rPr>
        <w:t>f</w:t>
      </w:r>
      <w:r w:rsidR="00FF2CD0">
        <w:rPr>
          <w:rFonts w:ascii="Arial Narrow" w:eastAsia="Times New Roman" w:hAnsi="Arial Narrow" w:cs="Times New Roman"/>
          <w:b/>
          <w:bCs/>
          <w:color w:val="231F20"/>
          <w:sz w:val="24"/>
          <w:szCs w:val="24"/>
        </w:rPr>
        <w:t xml:space="preserve"> </w:t>
      </w:r>
      <w:r w:rsidR="00FF2CD0" w:rsidRPr="00C203F3">
        <w:rPr>
          <w:rFonts w:ascii="Arial Narrow" w:eastAsia="Times New Roman" w:hAnsi="Arial Narrow" w:cs="Times New Roman"/>
          <w:b/>
          <w:bCs/>
          <w:color w:val="231F20"/>
          <w:spacing w:val="7"/>
          <w:sz w:val="24"/>
          <w:szCs w:val="24"/>
        </w:rPr>
        <w:t>liqui</w:t>
      </w:r>
      <w:r w:rsidR="00FF2CD0" w:rsidRPr="00C203F3">
        <w:rPr>
          <w:rFonts w:ascii="Arial Narrow" w:eastAsia="Times New Roman" w:hAnsi="Arial Narrow" w:cs="Times New Roman"/>
          <w:b/>
          <w:bCs/>
          <w:color w:val="231F20"/>
          <w:sz w:val="24"/>
          <w:szCs w:val="24"/>
        </w:rPr>
        <w:t>d</w:t>
      </w:r>
      <w:r w:rsidR="00FF2CD0">
        <w:rPr>
          <w:rFonts w:ascii="Arial Narrow" w:eastAsia="Times New Roman" w:hAnsi="Arial Narrow" w:cs="Times New Roman"/>
          <w:b/>
          <w:bCs/>
          <w:color w:val="231F20"/>
          <w:sz w:val="24"/>
          <w:szCs w:val="24"/>
        </w:rPr>
        <w:t xml:space="preserve"> </w:t>
      </w:r>
      <w:r w:rsidR="00FF2CD0" w:rsidRPr="00C203F3">
        <w:rPr>
          <w:rFonts w:ascii="Arial Narrow" w:eastAsia="Times New Roman" w:hAnsi="Arial Narrow" w:cs="Times New Roman"/>
          <w:b/>
          <w:bCs/>
          <w:color w:val="231F20"/>
          <w:spacing w:val="7"/>
          <w:sz w:val="24"/>
          <w:szCs w:val="24"/>
        </w:rPr>
        <w:t>formulatio</w:t>
      </w:r>
      <w:r w:rsidR="00FF2CD0" w:rsidRPr="00C203F3">
        <w:rPr>
          <w:rFonts w:ascii="Arial Narrow" w:eastAsia="Times New Roman" w:hAnsi="Arial Narrow" w:cs="Times New Roman"/>
          <w:b/>
          <w:bCs/>
          <w:color w:val="231F20"/>
          <w:sz w:val="24"/>
          <w:szCs w:val="24"/>
        </w:rPr>
        <w:t>n</w:t>
      </w:r>
      <w:r w:rsidR="00FF2CD0">
        <w:rPr>
          <w:rFonts w:ascii="Arial Narrow" w:eastAsia="Times New Roman" w:hAnsi="Arial Narrow" w:cs="Times New Roman"/>
          <w:b/>
          <w:bCs/>
          <w:color w:val="231F20"/>
          <w:sz w:val="24"/>
          <w:szCs w:val="24"/>
        </w:rPr>
        <w:t xml:space="preserve"> </w:t>
      </w:r>
      <w:r w:rsidR="00FF2CD0" w:rsidRPr="00C203F3">
        <w:rPr>
          <w:rFonts w:ascii="Arial Narrow" w:eastAsia="Times New Roman" w:hAnsi="Arial Narrow" w:cs="Times New Roman"/>
          <w:b/>
          <w:bCs/>
          <w:color w:val="231F20"/>
          <w:spacing w:val="7"/>
          <w:sz w:val="24"/>
          <w:szCs w:val="24"/>
        </w:rPr>
        <w:t>an</w:t>
      </w:r>
      <w:r w:rsidR="00FF2CD0" w:rsidRPr="00C203F3">
        <w:rPr>
          <w:rFonts w:ascii="Arial Narrow" w:eastAsia="Times New Roman" w:hAnsi="Arial Narrow" w:cs="Times New Roman"/>
          <w:b/>
          <w:bCs/>
          <w:color w:val="231F20"/>
          <w:sz w:val="24"/>
          <w:szCs w:val="24"/>
        </w:rPr>
        <w:t>d</w:t>
      </w:r>
      <w:r w:rsidR="00FF2CD0">
        <w:rPr>
          <w:rFonts w:ascii="Arial Narrow" w:eastAsia="Times New Roman" w:hAnsi="Arial Narrow" w:cs="Times New Roman"/>
          <w:b/>
          <w:bCs/>
          <w:color w:val="231F20"/>
          <w:sz w:val="24"/>
          <w:szCs w:val="24"/>
        </w:rPr>
        <w:t xml:space="preserve"> </w:t>
      </w:r>
      <w:r w:rsidR="00FF2CD0" w:rsidRPr="00C203F3">
        <w:rPr>
          <w:rFonts w:ascii="Arial Narrow" w:eastAsia="Times New Roman" w:hAnsi="Arial Narrow" w:cs="Times New Roman"/>
          <w:b/>
          <w:bCs/>
          <w:color w:val="231F20"/>
          <w:spacing w:val="7"/>
          <w:sz w:val="24"/>
          <w:szCs w:val="24"/>
        </w:rPr>
        <w:t>numbe</w:t>
      </w:r>
      <w:r w:rsidR="00FF2CD0" w:rsidRPr="00C203F3">
        <w:rPr>
          <w:rFonts w:ascii="Arial Narrow" w:eastAsia="Times New Roman" w:hAnsi="Arial Narrow" w:cs="Times New Roman"/>
          <w:b/>
          <w:bCs/>
          <w:color w:val="231F20"/>
          <w:sz w:val="24"/>
          <w:szCs w:val="24"/>
        </w:rPr>
        <w:t>r</w:t>
      </w:r>
      <w:r w:rsidR="00FF2CD0">
        <w:rPr>
          <w:rFonts w:ascii="Arial Narrow" w:eastAsia="Times New Roman" w:hAnsi="Arial Narrow" w:cs="Times New Roman"/>
          <w:b/>
          <w:bCs/>
          <w:color w:val="231F20"/>
          <w:sz w:val="24"/>
          <w:szCs w:val="24"/>
        </w:rPr>
        <w:t xml:space="preserve"> </w:t>
      </w:r>
      <w:r w:rsidR="00FF2CD0" w:rsidRPr="00C203F3">
        <w:rPr>
          <w:rFonts w:ascii="Arial Narrow" w:eastAsia="Times New Roman" w:hAnsi="Arial Narrow" w:cs="Times New Roman"/>
          <w:b/>
          <w:bCs/>
          <w:color w:val="231F20"/>
          <w:spacing w:val="7"/>
          <w:sz w:val="24"/>
          <w:szCs w:val="24"/>
        </w:rPr>
        <w:t>o</w:t>
      </w:r>
      <w:r w:rsidR="00FF2CD0" w:rsidRPr="00C203F3">
        <w:rPr>
          <w:rFonts w:ascii="Arial Narrow" w:eastAsia="Times New Roman" w:hAnsi="Arial Narrow" w:cs="Times New Roman"/>
          <w:b/>
          <w:bCs/>
          <w:color w:val="231F20"/>
          <w:sz w:val="24"/>
          <w:szCs w:val="24"/>
        </w:rPr>
        <w:t>f</w:t>
      </w:r>
      <w:r w:rsidR="00FF2CD0">
        <w:rPr>
          <w:rFonts w:ascii="Arial Narrow" w:eastAsia="Times New Roman" w:hAnsi="Arial Narrow" w:cs="Times New Roman"/>
          <w:b/>
          <w:bCs/>
          <w:color w:val="231F20"/>
          <w:sz w:val="24"/>
          <w:szCs w:val="24"/>
        </w:rPr>
        <w:t xml:space="preserve"> </w:t>
      </w:r>
      <w:r w:rsidR="00FF2CD0" w:rsidRPr="00C203F3">
        <w:rPr>
          <w:rFonts w:ascii="Arial Narrow" w:eastAsia="Times New Roman" w:hAnsi="Arial Narrow" w:cs="Times New Roman"/>
          <w:b/>
          <w:bCs/>
          <w:color w:val="231F20"/>
          <w:spacing w:val="7"/>
          <w:sz w:val="24"/>
          <w:szCs w:val="24"/>
        </w:rPr>
        <w:t>tablet</w:t>
      </w:r>
      <w:r w:rsidR="00FF2CD0" w:rsidRPr="00C203F3">
        <w:rPr>
          <w:rFonts w:ascii="Arial Narrow" w:eastAsia="Times New Roman" w:hAnsi="Arial Narrow" w:cs="Times New Roman"/>
          <w:b/>
          <w:bCs/>
          <w:color w:val="231F20"/>
          <w:sz w:val="24"/>
          <w:szCs w:val="24"/>
        </w:rPr>
        <w:t>s</w:t>
      </w:r>
      <w:r w:rsidR="00FF2CD0">
        <w:rPr>
          <w:rFonts w:ascii="Arial Narrow" w:eastAsia="Times New Roman" w:hAnsi="Arial Narrow" w:cs="Times New Roman"/>
          <w:b/>
          <w:bCs/>
          <w:color w:val="231F20"/>
          <w:sz w:val="24"/>
          <w:szCs w:val="24"/>
        </w:rPr>
        <w:t xml:space="preserve"> </w:t>
      </w:r>
      <w:r w:rsidR="00FF2CD0" w:rsidRPr="00C203F3">
        <w:rPr>
          <w:rFonts w:ascii="Arial Narrow" w:eastAsia="Times New Roman" w:hAnsi="Arial Narrow" w:cs="Times New Roman"/>
          <w:b/>
          <w:bCs/>
          <w:color w:val="231F20"/>
          <w:spacing w:val="7"/>
          <w:sz w:val="24"/>
          <w:szCs w:val="24"/>
        </w:rPr>
        <w:t>o</w:t>
      </w:r>
      <w:r w:rsidR="00FF2CD0" w:rsidRPr="00C203F3">
        <w:rPr>
          <w:rFonts w:ascii="Arial Narrow" w:eastAsia="Times New Roman" w:hAnsi="Arial Narrow" w:cs="Times New Roman"/>
          <w:b/>
          <w:bCs/>
          <w:color w:val="231F20"/>
          <w:sz w:val="24"/>
          <w:szCs w:val="24"/>
        </w:rPr>
        <w:t>r</w:t>
      </w:r>
      <w:r w:rsidR="00FF2CD0">
        <w:rPr>
          <w:rFonts w:ascii="Arial Narrow" w:eastAsia="Times New Roman" w:hAnsi="Arial Narrow" w:cs="Times New Roman"/>
          <w:b/>
          <w:bCs/>
          <w:color w:val="231F20"/>
          <w:sz w:val="24"/>
          <w:szCs w:val="24"/>
        </w:rPr>
        <w:t xml:space="preserve"> </w:t>
      </w:r>
      <w:r w:rsidR="00FF2CD0" w:rsidRPr="00C203F3">
        <w:rPr>
          <w:rFonts w:ascii="Arial Narrow" w:eastAsia="Times New Roman" w:hAnsi="Arial Narrow" w:cs="Times New Roman"/>
          <w:b/>
          <w:bCs/>
          <w:color w:val="231F20"/>
          <w:spacing w:val="7"/>
          <w:sz w:val="24"/>
          <w:szCs w:val="24"/>
        </w:rPr>
        <w:t>capsule</w:t>
      </w:r>
      <w:r w:rsidR="00FF2CD0" w:rsidRPr="00C203F3">
        <w:rPr>
          <w:rFonts w:ascii="Arial Narrow" w:eastAsia="Times New Roman" w:hAnsi="Arial Narrow" w:cs="Times New Roman"/>
          <w:b/>
          <w:bCs/>
          <w:color w:val="231F20"/>
          <w:sz w:val="24"/>
          <w:szCs w:val="24"/>
        </w:rPr>
        <w:t>s</w:t>
      </w:r>
      <w:r w:rsidR="00FF2CD0">
        <w:rPr>
          <w:rFonts w:ascii="Arial Narrow" w:eastAsia="Times New Roman" w:hAnsi="Arial Narrow" w:cs="Times New Roman"/>
          <w:b/>
          <w:bCs/>
          <w:color w:val="231F20"/>
          <w:sz w:val="24"/>
          <w:szCs w:val="24"/>
        </w:rPr>
        <w:t xml:space="preserve"> </w:t>
      </w:r>
      <w:r w:rsidR="00FF2CD0" w:rsidRPr="00C203F3">
        <w:rPr>
          <w:rFonts w:ascii="Arial Narrow" w:eastAsia="Times New Roman" w:hAnsi="Arial Narrow" w:cs="Times New Roman"/>
          <w:b/>
          <w:bCs/>
          <w:color w:val="231F20"/>
          <w:spacing w:val="7"/>
          <w:sz w:val="24"/>
          <w:szCs w:val="24"/>
        </w:rPr>
        <w:t>o</w:t>
      </w:r>
      <w:r w:rsidR="00FF2CD0" w:rsidRPr="00C203F3">
        <w:rPr>
          <w:rFonts w:ascii="Arial Narrow" w:eastAsia="Times New Roman" w:hAnsi="Arial Narrow" w:cs="Times New Roman"/>
          <w:b/>
          <w:bCs/>
          <w:color w:val="231F20"/>
          <w:sz w:val="24"/>
          <w:szCs w:val="24"/>
        </w:rPr>
        <w:t>f</w:t>
      </w:r>
      <w:r w:rsidR="00FF2CD0">
        <w:rPr>
          <w:rFonts w:ascii="Arial Narrow" w:eastAsia="Times New Roman" w:hAnsi="Arial Narrow" w:cs="Times New Roman"/>
          <w:b/>
          <w:bCs/>
          <w:color w:val="231F20"/>
          <w:sz w:val="24"/>
          <w:szCs w:val="24"/>
        </w:rPr>
        <w:t xml:space="preserve"> </w:t>
      </w:r>
      <w:r w:rsidR="00FF2CD0" w:rsidRPr="00C203F3">
        <w:rPr>
          <w:rFonts w:ascii="Arial Narrow" w:eastAsia="Times New Roman" w:hAnsi="Arial Narrow" w:cs="Times New Roman"/>
          <w:b/>
          <w:bCs/>
          <w:color w:val="231F20"/>
          <w:spacing w:val="7"/>
          <w:sz w:val="24"/>
          <w:szCs w:val="24"/>
        </w:rPr>
        <w:t>adul</w:t>
      </w:r>
      <w:r w:rsidR="00FF2CD0" w:rsidRPr="00C203F3">
        <w:rPr>
          <w:rFonts w:ascii="Arial Narrow" w:eastAsia="Times New Roman" w:hAnsi="Arial Narrow" w:cs="Times New Roman"/>
          <w:b/>
          <w:bCs/>
          <w:color w:val="231F20"/>
          <w:sz w:val="24"/>
          <w:szCs w:val="24"/>
        </w:rPr>
        <w:t>t</w:t>
      </w:r>
      <w:r w:rsidR="00FF2CD0">
        <w:rPr>
          <w:rFonts w:ascii="Arial Narrow" w:eastAsia="Times New Roman" w:hAnsi="Arial Narrow" w:cs="Times New Roman"/>
          <w:b/>
          <w:bCs/>
          <w:color w:val="231F20"/>
          <w:sz w:val="24"/>
          <w:szCs w:val="24"/>
        </w:rPr>
        <w:t xml:space="preserve"> </w:t>
      </w:r>
      <w:r w:rsidR="00FF2CD0" w:rsidRPr="00C203F3">
        <w:rPr>
          <w:rFonts w:ascii="Arial Narrow" w:eastAsia="Times New Roman" w:hAnsi="Arial Narrow" w:cs="Times New Roman"/>
          <w:b/>
          <w:bCs/>
          <w:color w:val="231F20"/>
          <w:spacing w:val="7"/>
          <w:sz w:val="24"/>
          <w:szCs w:val="24"/>
        </w:rPr>
        <w:t>soli</w:t>
      </w:r>
      <w:r w:rsidR="00FF2CD0" w:rsidRPr="00C203F3">
        <w:rPr>
          <w:rFonts w:ascii="Arial Narrow" w:eastAsia="Times New Roman" w:hAnsi="Arial Narrow" w:cs="Times New Roman"/>
          <w:b/>
          <w:bCs/>
          <w:color w:val="231F20"/>
          <w:sz w:val="24"/>
          <w:szCs w:val="24"/>
        </w:rPr>
        <w:t xml:space="preserve">d </w:t>
      </w:r>
      <w:r w:rsidR="00FF2CD0" w:rsidRPr="00C203F3">
        <w:rPr>
          <w:rFonts w:ascii="Arial Narrow" w:eastAsia="Times New Roman" w:hAnsi="Arial Narrow" w:cs="Times New Roman"/>
          <w:b/>
          <w:bCs/>
          <w:color w:val="231F20"/>
          <w:spacing w:val="7"/>
          <w:sz w:val="24"/>
          <w:szCs w:val="24"/>
        </w:rPr>
        <w:t>formulatio</w:t>
      </w:r>
      <w:r w:rsidR="00FF2CD0" w:rsidRPr="00C203F3">
        <w:rPr>
          <w:rFonts w:ascii="Arial Narrow" w:eastAsia="Times New Roman" w:hAnsi="Arial Narrow" w:cs="Times New Roman"/>
          <w:b/>
          <w:bCs/>
          <w:color w:val="231F20"/>
          <w:sz w:val="24"/>
          <w:szCs w:val="24"/>
        </w:rPr>
        <w:t>n</w:t>
      </w:r>
      <w:r w:rsidR="00FF2CD0">
        <w:rPr>
          <w:rFonts w:ascii="Arial Narrow" w:eastAsia="Times New Roman" w:hAnsi="Arial Narrow" w:cs="Times New Roman"/>
          <w:b/>
          <w:bCs/>
          <w:color w:val="231F20"/>
          <w:sz w:val="24"/>
          <w:szCs w:val="24"/>
        </w:rPr>
        <w:t xml:space="preserve"> </w:t>
      </w:r>
      <w:r w:rsidR="00FF2CD0" w:rsidRPr="00C203F3">
        <w:rPr>
          <w:rFonts w:ascii="Arial Narrow" w:eastAsia="Times New Roman" w:hAnsi="Arial Narrow" w:cs="Times New Roman"/>
          <w:b/>
          <w:bCs/>
          <w:color w:val="231F20"/>
          <w:spacing w:val="7"/>
          <w:sz w:val="24"/>
          <w:szCs w:val="24"/>
        </w:rPr>
        <w:t>for</w:t>
      </w:r>
      <w:r w:rsidR="00FF2CD0">
        <w:rPr>
          <w:rFonts w:ascii="Arial Narrow" w:eastAsia="Times New Roman" w:hAnsi="Arial Narrow" w:cs="Times New Roman"/>
          <w:b/>
          <w:bCs/>
          <w:color w:val="231F20"/>
          <w:spacing w:val="7"/>
          <w:sz w:val="24"/>
          <w:szCs w:val="24"/>
        </w:rPr>
        <w:t xml:space="preserve"> </w:t>
      </w:r>
      <w:r w:rsidR="00FF2CD0" w:rsidRPr="00C203F3">
        <w:rPr>
          <w:rFonts w:ascii="Arial Narrow" w:eastAsia="Times New Roman" w:hAnsi="Arial Narrow" w:cs="Times New Roman"/>
          <w:b/>
          <w:bCs/>
          <w:color w:val="231F20"/>
          <w:spacing w:val="7"/>
          <w:sz w:val="24"/>
          <w:szCs w:val="24"/>
        </w:rPr>
        <w:t>mornin</w:t>
      </w:r>
      <w:r w:rsidR="00FF2CD0" w:rsidRPr="00C203F3">
        <w:rPr>
          <w:rFonts w:ascii="Arial Narrow" w:eastAsia="Times New Roman" w:hAnsi="Arial Narrow" w:cs="Times New Roman"/>
          <w:b/>
          <w:bCs/>
          <w:color w:val="231F20"/>
          <w:sz w:val="24"/>
          <w:szCs w:val="24"/>
        </w:rPr>
        <w:t>g</w:t>
      </w:r>
      <w:r w:rsidR="00FF2CD0">
        <w:rPr>
          <w:rFonts w:ascii="Arial Narrow" w:eastAsia="Times New Roman" w:hAnsi="Arial Narrow" w:cs="Times New Roman"/>
          <w:b/>
          <w:bCs/>
          <w:color w:val="231F20"/>
          <w:sz w:val="24"/>
          <w:szCs w:val="24"/>
        </w:rPr>
        <w:t xml:space="preserve"> </w:t>
      </w:r>
      <w:r w:rsidR="00FF2CD0" w:rsidRPr="00C203F3">
        <w:rPr>
          <w:rFonts w:ascii="Arial Narrow" w:eastAsia="Times New Roman" w:hAnsi="Arial Narrow" w:cs="Times New Roman"/>
          <w:b/>
          <w:bCs/>
          <w:color w:val="231F20"/>
          <w:spacing w:val="7"/>
          <w:sz w:val="24"/>
          <w:szCs w:val="24"/>
        </w:rPr>
        <w:t>an</w:t>
      </w:r>
      <w:r w:rsidR="00FF2CD0" w:rsidRPr="00C203F3">
        <w:rPr>
          <w:rFonts w:ascii="Arial Narrow" w:eastAsia="Times New Roman" w:hAnsi="Arial Narrow" w:cs="Times New Roman"/>
          <w:b/>
          <w:bCs/>
          <w:color w:val="231F20"/>
          <w:sz w:val="24"/>
          <w:szCs w:val="24"/>
        </w:rPr>
        <w:t>d</w:t>
      </w:r>
      <w:r w:rsidR="00FF2CD0">
        <w:rPr>
          <w:rFonts w:ascii="Arial Narrow" w:eastAsia="Times New Roman" w:hAnsi="Arial Narrow" w:cs="Times New Roman"/>
          <w:b/>
          <w:bCs/>
          <w:color w:val="231F20"/>
          <w:sz w:val="24"/>
          <w:szCs w:val="24"/>
        </w:rPr>
        <w:t xml:space="preserve"> </w:t>
      </w:r>
      <w:r w:rsidR="00FF2CD0" w:rsidRPr="00C203F3">
        <w:rPr>
          <w:rFonts w:ascii="Arial Narrow" w:eastAsia="Times New Roman" w:hAnsi="Arial Narrow" w:cs="Times New Roman"/>
          <w:b/>
          <w:bCs/>
          <w:color w:val="231F20"/>
          <w:spacing w:val="7"/>
          <w:sz w:val="24"/>
          <w:szCs w:val="24"/>
        </w:rPr>
        <w:t>evenin</w:t>
      </w:r>
      <w:r w:rsidR="00FF2CD0" w:rsidRPr="00C203F3">
        <w:rPr>
          <w:rFonts w:ascii="Arial Narrow" w:eastAsia="Times New Roman" w:hAnsi="Arial Narrow" w:cs="Times New Roman"/>
          <w:b/>
          <w:bCs/>
          <w:color w:val="231F20"/>
          <w:sz w:val="24"/>
          <w:szCs w:val="24"/>
        </w:rPr>
        <w:t>g</w:t>
      </w:r>
      <w:r w:rsidR="00FF2CD0">
        <w:rPr>
          <w:rFonts w:ascii="Arial Narrow" w:eastAsia="Times New Roman" w:hAnsi="Arial Narrow" w:cs="Times New Roman"/>
          <w:b/>
          <w:bCs/>
          <w:color w:val="231F20"/>
          <w:sz w:val="24"/>
          <w:szCs w:val="24"/>
        </w:rPr>
        <w:t xml:space="preserve"> </w:t>
      </w:r>
      <w:r w:rsidR="00FF2CD0" w:rsidRPr="00C203F3">
        <w:rPr>
          <w:rFonts w:ascii="Arial Narrow" w:eastAsia="Times New Roman" w:hAnsi="Arial Narrow" w:cs="Times New Roman"/>
          <w:b/>
          <w:bCs/>
          <w:color w:val="231F20"/>
          <w:spacing w:val="7"/>
          <w:sz w:val="24"/>
          <w:szCs w:val="24"/>
        </w:rPr>
        <w:t>dosin</w:t>
      </w:r>
      <w:r w:rsidR="00FF2CD0" w:rsidRPr="00C203F3">
        <w:rPr>
          <w:rFonts w:ascii="Arial Narrow" w:eastAsia="Times New Roman" w:hAnsi="Arial Narrow" w:cs="Times New Roman"/>
          <w:b/>
          <w:bCs/>
          <w:color w:val="231F20"/>
          <w:sz w:val="24"/>
          <w:szCs w:val="24"/>
        </w:rPr>
        <w:t>g</w:t>
      </w:r>
    </w:p>
    <w:p w:rsidR="00FF2CD0" w:rsidRPr="00C203F3" w:rsidRDefault="00FF2CD0" w:rsidP="00FF2CD0">
      <w:pPr>
        <w:spacing w:before="9" w:after="0" w:line="90" w:lineRule="exact"/>
        <w:rPr>
          <w:rFonts w:ascii="Arial Narrow" w:hAnsi="Arial Narrow"/>
          <w:sz w:val="24"/>
          <w:szCs w:val="24"/>
        </w:rPr>
      </w:pPr>
    </w:p>
    <w:tbl>
      <w:tblPr>
        <w:tblW w:w="0" w:type="auto"/>
        <w:tblInd w:w="93" w:type="dxa"/>
        <w:tblLayout w:type="fixed"/>
        <w:tblCellMar>
          <w:left w:w="0" w:type="dxa"/>
          <w:right w:w="0" w:type="dxa"/>
        </w:tblCellMar>
        <w:tblLook w:val="01E0" w:firstRow="1" w:lastRow="1" w:firstColumn="1" w:lastColumn="1" w:noHBand="0" w:noVBand="0"/>
      </w:tblPr>
      <w:tblGrid>
        <w:gridCol w:w="648"/>
        <w:gridCol w:w="1395"/>
        <w:gridCol w:w="993"/>
        <w:gridCol w:w="995"/>
        <w:gridCol w:w="696"/>
        <w:gridCol w:w="696"/>
        <w:gridCol w:w="793"/>
        <w:gridCol w:w="813"/>
        <w:gridCol w:w="813"/>
        <w:gridCol w:w="799"/>
        <w:gridCol w:w="810"/>
        <w:gridCol w:w="820"/>
      </w:tblGrid>
      <w:tr w:rsidR="00FF2CD0" w:rsidRPr="00C203F3" w:rsidTr="00FF2CD0">
        <w:trPr>
          <w:trHeight w:hRule="exact" w:val="350"/>
        </w:trPr>
        <w:tc>
          <w:tcPr>
            <w:tcW w:w="648" w:type="dxa"/>
            <w:vMerge w:val="restart"/>
            <w:tcBorders>
              <w:top w:val="single" w:sz="8" w:space="0" w:color="231F20"/>
              <w:left w:val="single" w:sz="8" w:space="0" w:color="231F20"/>
              <w:right w:val="single" w:sz="8" w:space="0" w:color="231F20"/>
            </w:tcBorders>
            <w:shd w:val="clear" w:color="auto" w:fill="00AEEF"/>
          </w:tcPr>
          <w:p w:rsidR="00FF2CD0" w:rsidRPr="00C203F3" w:rsidRDefault="00FF2CD0" w:rsidP="00FF2CD0">
            <w:pPr>
              <w:spacing w:before="16" w:after="0" w:line="240" w:lineRule="auto"/>
              <w:ind w:left="47"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08"/>
                <w:sz w:val="24"/>
                <w:szCs w:val="24"/>
              </w:rPr>
              <w:t>Drug</w:t>
            </w:r>
          </w:p>
        </w:tc>
        <w:tc>
          <w:tcPr>
            <w:tcW w:w="1395" w:type="dxa"/>
            <w:vMerge w:val="restart"/>
            <w:tcBorders>
              <w:top w:val="single" w:sz="8" w:space="0" w:color="231F20"/>
              <w:left w:val="single" w:sz="8" w:space="0" w:color="231F20"/>
              <w:right w:val="single" w:sz="8" w:space="0" w:color="231F20"/>
            </w:tcBorders>
          </w:tcPr>
          <w:p w:rsidR="00FF2CD0" w:rsidRPr="00C203F3" w:rsidRDefault="00FF2CD0" w:rsidP="00FF2CD0">
            <w:pPr>
              <w:spacing w:before="51" w:after="0" w:line="202" w:lineRule="exact"/>
              <w:ind w:left="255" w:right="235"/>
              <w:jc w:val="center"/>
              <w:rPr>
                <w:rFonts w:ascii="Arial Narrow" w:eastAsia="Times New Roman" w:hAnsi="Arial Narrow" w:cs="Times New Roman"/>
                <w:sz w:val="24"/>
                <w:szCs w:val="24"/>
              </w:rPr>
            </w:pPr>
            <w:r w:rsidRPr="00C203F3">
              <w:rPr>
                <w:rFonts w:ascii="Arial Narrow" w:eastAsia="Times New Roman" w:hAnsi="Arial Narrow" w:cs="Times New Roman"/>
                <w:color w:val="FFFFFF"/>
                <w:spacing w:val="-8"/>
                <w:sz w:val="24"/>
                <w:szCs w:val="24"/>
              </w:rPr>
              <w:t>S</w:t>
            </w:r>
            <w:r w:rsidRPr="00C203F3">
              <w:rPr>
                <w:rFonts w:ascii="Arial Narrow" w:eastAsia="Times New Roman" w:hAnsi="Arial Narrow" w:cs="Times New Roman"/>
                <w:color w:val="FFFFFF"/>
                <w:spacing w:val="-8"/>
                <w:w w:val="120"/>
                <w:sz w:val="24"/>
                <w:szCs w:val="24"/>
              </w:rPr>
              <w:t>t</w:t>
            </w:r>
            <w:r w:rsidRPr="00C203F3">
              <w:rPr>
                <w:rFonts w:ascii="Arial Narrow" w:eastAsia="Times New Roman" w:hAnsi="Arial Narrow" w:cs="Times New Roman"/>
                <w:color w:val="FFFFFF"/>
                <w:spacing w:val="-8"/>
                <w:w w:val="117"/>
                <w:sz w:val="24"/>
                <w:szCs w:val="24"/>
              </w:rPr>
              <w:t>r</w:t>
            </w:r>
            <w:r w:rsidRPr="00C203F3">
              <w:rPr>
                <w:rFonts w:ascii="Arial Narrow" w:eastAsia="Times New Roman" w:hAnsi="Arial Narrow" w:cs="Times New Roman"/>
                <w:color w:val="FFFFFF"/>
                <w:spacing w:val="-8"/>
                <w:sz w:val="24"/>
                <w:szCs w:val="24"/>
              </w:rPr>
              <w:t>e</w:t>
            </w:r>
            <w:r w:rsidRPr="00C203F3">
              <w:rPr>
                <w:rFonts w:ascii="Arial Narrow" w:eastAsia="Times New Roman" w:hAnsi="Arial Narrow" w:cs="Times New Roman"/>
                <w:color w:val="FFFFFF"/>
                <w:spacing w:val="-8"/>
                <w:w w:val="111"/>
                <w:sz w:val="24"/>
                <w:szCs w:val="24"/>
              </w:rPr>
              <w:t>n</w:t>
            </w:r>
            <w:r w:rsidRPr="00C203F3">
              <w:rPr>
                <w:rFonts w:ascii="Arial Narrow" w:eastAsia="Times New Roman" w:hAnsi="Arial Narrow" w:cs="Times New Roman"/>
                <w:color w:val="FFFFFF"/>
                <w:spacing w:val="-8"/>
                <w:sz w:val="24"/>
                <w:szCs w:val="24"/>
              </w:rPr>
              <w:t>g</w:t>
            </w:r>
            <w:r w:rsidRPr="00C203F3">
              <w:rPr>
                <w:rFonts w:ascii="Arial Narrow" w:eastAsia="Times New Roman" w:hAnsi="Arial Narrow" w:cs="Times New Roman"/>
                <w:color w:val="FFFFFF"/>
                <w:spacing w:val="-8"/>
                <w:w w:val="120"/>
                <w:sz w:val="24"/>
                <w:szCs w:val="24"/>
              </w:rPr>
              <w:t>t</w:t>
            </w:r>
            <w:r w:rsidRPr="00C203F3">
              <w:rPr>
                <w:rFonts w:ascii="Arial Narrow" w:eastAsia="Times New Roman" w:hAnsi="Arial Narrow" w:cs="Times New Roman"/>
                <w:color w:val="FFFFFF"/>
                <w:w w:val="111"/>
                <w:sz w:val="24"/>
                <w:szCs w:val="24"/>
              </w:rPr>
              <w:t xml:space="preserve">h </w:t>
            </w:r>
            <w:r w:rsidRPr="00C203F3">
              <w:rPr>
                <w:rFonts w:ascii="Arial Narrow" w:eastAsia="Times New Roman" w:hAnsi="Arial Narrow" w:cs="Times New Roman"/>
                <w:color w:val="FFFFFF"/>
                <w:spacing w:val="-8"/>
                <w:sz w:val="24"/>
                <w:szCs w:val="24"/>
              </w:rPr>
              <w:t>o</w:t>
            </w:r>
            <w:r w:rsidRPr="00C203F3">
              <w:rPr>
                <w:rFonts w:ascii="Arial Narrow" w:eastAsia="Times New Roman" w:hAnsi="Arial Narrow" w:cs="Times New Roman"/>
                <w:color w:val="FFFFFF"/>
                <w:sz w:val="24"/>
                <w:szCs w:val="24"/>
              </w:rPr>
              <w:t xml:space="preserve">f </w:t>
            </w:r>
            <w:r w:rsidRPr="00C203F3">
              <w:rPr>
                <w:rFonts w:ascii="Arial Narrow" w:eastAsia="Times New Roman" w:hAnsi="Arial Narrow" w:cs="Times New Roman"/>
                <w:color w:val="FFFFFF"/>
                <w:spacing w:val="-8"/>
                <w:w w:val="111"/>
                <w:sz w:val="24"/>
                <w:szCs w:val="24"/>
              </w:rPr>
              <w:t>p</w:t>
            </w:r>
            <w:r w:rsidRPr="00C203F3">
              <w:rPr>
                <w:rFonts w:ascii="Arial Narrow" w:eastAsia="Times New Roman" w:hAnsi="Arial Narrow" w:cs="Times New Roman"/>
                <w:color w:val="FFFFFF"/>
                <w:spacing w:val="-8"/>
                <w:w w:val="113"/>
                <w:sz w:val="24"/>
                <w:szCs w:val="24"/>
              </w:rPr>
              <w:t>a</w:t>
            </w:r>
            <w:r w:rsidRPr="00C203F3">
              <w:rPr>
                <w:rFonts w:ascii="Arial Narrow" w:eastAsia="Times New Roman" w:hAnsi="Arial Narrow" w:cs="Times New Roman"/>
                <w:color w:val="FFFFFF"/>
                <w:spacing w:val="-8"/>
                <w:sz w:val="24"/>
                <w:szCs w:val="24"/>
              </w:rPr>
              <w:t>e</w:t>
            </w:r>
            <w:r w:rsidRPr="00C203F3">
              <w:rPr>
                <w:rFonts w:ascii="Arial Narrow" w:eastAsia="Times New Roman" w:hAnsi="Arial Narrow" w:cs="Times New Roman"/>
                <w:color w:val="FFFFFF"/>
                <w:spacing w:val="-8"/>
                <w:w w:val="111"/>
                <w:sz w:val="24"/>
                <w:szCs w:val="24"/>
              </w:rPr>
              <w:t>d</w:t>
            </w:r>
            <w:r w:rsidRPr="00C203F3">
              <w:rPr>
                <w:rFonts w:ascii="Arial Narrow" w:eastAsia="Times New Roman" w:hAnsi="Arial Narrow" w:cs="Times New Roman"/>
                <w:color w:val="FFFFFF"/>
                <w:spacing w:val="-8"/>
                <w:sz w:val="24"/>
                <w:szCs w:val="24"/>
              </w:rPr>
              <w:t>i</w:t>
            </w:r>
            <w:r w:rsidRPr="00C203F3">
              <w:rPr>
                <w:rFonts w:ascii="Arial Narrow" w:eastAsia="Times New Roman" w:hAnsi="Arial Narrow" w:cs="Times New Roman"/>
                <w:color w:val="FFFFFF"/>
                <w:spacing w:val="-8"/>
                <w:w w:val="113"/>
                <w:sz w:val="24"/>
                <w:szCs w:val="24"/>
              </w:rPr>
              <w:t>a</w:t>
            </w:r>
            <w:r w:rsidRPr="00C203F3">
              <w:rPr>
                <w:rFonts w:ascii="Arial Narrow" w:eastAsia="Times New Roman" w:hAnsi="Arial Narrow" w:cs="Times New Roman"/>
                <w:color w:val="FFFFFF"/>
                <w:spacing w:val="-8"/>
                <w:w w:val="120"/>
                <w:sz w:val="24"/>
                <w:szCs w:val="24"/>
              </w:rPr>
              <w:t>t</w:t>
            </w:r>
            <w:r w:rsidRPr="00C203F3">
              <w:rPr>
                <w:rFonts w:ascii="Arial Narrow" w:eastAsia="Times New Roman" w:hAnsi="Arial Narrow" w:cs="Times New Roman"/>
                <w:color w:val="FFFFFF"/>
                <w:spacing w:val="-8"/>
                <w:w w:val="117"/>
                <w:sz w:val="24"/>
                <w:szCs w:val="24"/>
              </w:rPr>
              <w:t>r</w:t>
            </w:r>
            <w:r w:rsidRPr="00C203F3">
              <w:rPr>
                <w:rFonts w:ascii="Arial Narrow" w:eastAsia="Times New Roman" w:hAnsi="Arial Narrow" w:cs="Times New Roman"/>
                <w:color w:val="FFFFFF"/>
                <w:spacing w:val="-8"/>
                <w:sz w:val="24"/>
                <w:szCs w:val="24"/>
              </w:rPr>
              <w:t>i</w:t>
            </w:r>
            <w:r w:rsidRPr="00C203F3">
              <w:rPr>
                <w:rFonts w:ascii="Arial Narrow" w:eastAsia="Times New Roman" w:hAnsi="Arial Narrow" w:cs="Times New Roman"/>
                <w:color w:val="FFFFFF"/>
                <w:sz w:val="24"/>
                <w:szCs w:val="24"/>
              </w:rPr>
              <w:t xml:space="preserve">c </w:t>
            </w:r>
            <w:r w:rsidRPr="00C203F3">
              <w:rPr>
                <w:rFonts w:ascii="Arial Narrow" w:eastAsia="Times New Roman" w:hAnsi="Arial Narrow" w:cs="Times New Roman"/>
                <w:color w:val="FFFFFF"/>
                <w:spacing w:val="-8"/>
                <w:w w:val="120"/>
                <w:sz w:val="24"/>
                <w:szCs w:val="24"/>
              </w:rPr>
              <w:t>t</w:t>
            </w:r>
            <w:r w:rsidRPr="00C203F3">
              <w:rPr>
                <w:rFonts w:ascii="Arial Narrow" w:eastAsia="Times New Roman" w:hAnsi="Arial Narrow" w:cs="Times New Roman"/>
                <w:color w:val="FFFFFF"/>
                <w:spacing w:val="-8"/>
                <w:w w:val="113"/>
                <w:sz w:val="24"/>
                <w:szCs w:val="24"/>
              </w:rPr>
              <w:t>a</w:t>
            </w:r>
            <w:r w:rsidRPr="00C203F3">
              <w:rPr>
                <w:rFonts w:ascii="Arial Narrow" w:eastAsia="Times New Roman" w:hAnsi="Arial Narrow" w:cs="Times New Roman"/>
                <w:color w:val="FFFFFF"/>
                <w:sz w:val="24"/>
                <w:szCs w:val="24"/>
              </w:rPr>
              <w:t>b</w:t>
            </w:r>
          </w:p>
          <w:p w:rsidR="00FF2CD0" w:rsidRPr="00C203F3" w:rsidRDefault="00FF2CD0" w:rsidP="00FF2CD0">
            <w:pPr>
              <w:spacing w:after="0" w:line="206" w:lineRule="exact"/>
              <w:ind w:left="453" w:right="433"/>
              <w:jc w:val="center"/>
              <w:rPr>
                <w:rFonts w:ascii="Arial Narrow" w:eastAsia="Times New Roman" w:hAnsi="Arial Narrow" w:cs="Times New Roman"/>
                <w:sz w:val="24"/>
                <w:szCs w:val="24"/>
              </w:rPr>
            </w:pPr>
            <w:r w:rsidRPr="00C203F3">
              <w:rPr>
                <w:rFonts w:ascii="Arial Narrow" w:eastAsia="Times New Roman" w:hAnsi="Arial Narrow" w:cs="Times New Roman"/>
                <w:color w:val="FFFFFF"/>
                <w:spacing w:val="-8"/>
                <w:sz w:val="24"/>
                <w:szCs w:val="24"/>
              </w:rPr>
              <w:t>(</w:t>
            </w:r>
            <w:r w:rsidRPr="00C203F3">
              <w:rPr>
                <w:rFonts w:ascii="Arial Narrow" w:eastAsia="Times New Roman" w:hAnsi="Arial Narrow" w:cs="Times New Roman"/>
                <w:color w:val="FFFFFF"/>
                <w:spacing w:val="-8"/>
                <w:w w:val="107"/>
                <w:sz w:val="24"/>
                <w:szCs w:val="24"/>
              </w:rPr>
              <w:t>m</w:t>
            </w:r>
            <w:r w:rsidRPr="00C203F3">
              <w:rPr>
                <w:rFonts w:ascii="Arial Narrow" w:eastAsia="Times New Roman" w:hAnsi="Arial Narrow" w:cs="Times New Roman"/>
                <w:color w:val="FFFFFF"/>
                <w:spacing w:val="-8"/>
                <w:sz w:val="24"/>
                <w:szCs w:val="24"/>
              </w:rPr>
              <w:t>g</w:t>
            </w:r>
            <w:r w:rsidRPr="00C203F3">
              <w:rPr>
                <w:rFonts w:ascii="Arial Narrow" w:eastAsia="Times New Roman" w:hAnsi="Arial Narrow" w:cs="Times New Roman"/>
                <w:color w:val="FFFFFF"/>
                <w:sz w:val="24"/>
                <w:szCs w:val="24"/>
              </w:rPr>
              <w:t>)</w:t>
            </w:r>
          </w:p>
        </w:tc>
        <w:tc>
          <w:tcPr>
            <w:tcW w:w="8228" w:type="dxa"/>
            <w:gridSpan w:val="10"/>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before="16" w:after="0" w:line="240" w:lineRule="auto"/>
              <w:ind w:left="2554" w:right="-20"/>
              <w:rPr>
                <w:rFonts w:ascii="Arial Narrow" w:eastAsia="Times New Roman" w:hAnsi="Arial Narrow" w:cs="Times New Roman"/>
                <w:sz w:val="24"/>
                <w:szCs w:val="24"/>
              </w:rPr>
            </w:pPr>
            <w:r w:rsidRPr="00C203F3">
              <w:rPr>
                <w:rFonts w:ascii="Arial Narrow" w:eastAsia="Times New Roman" w:hAnsi="Arial Narrow" w:cs="Times New Roman"/>
                <w:color w:val="FFFFFF"/>
                <w:sz w:val="24"/>
                <w:szCs w:val="24"/>
              </w:rPr>
              <w:t>Children 6 weeksof ageand</w:t>
            </w:r>
            <w:r w:rsidRPr="00C203F3">
              <w:rPr>
                <w:rFonts w:ascii="Arial Narrow" w:eastAsia="Times New Roman" w:hAnsi="Arial Narrow" w:cs="Times New Roman"/>
                <w:color w:val="FFFFFF"/>
                <w:w w:val="102"/>
                <w:sz w:val="24"/>
                <w:szCs w:val="24"/>
              </w:rPr>
              <w:t>above</w:t>
            </w:r>
          </w:p>
        </w:tc>
      </w:tr>
      <w:tr w:rsidR="00FF2CD0" w:rsidRPr="00C203F3" w:rsidTr="00FF2CD0">
        <w:trPr>
          <w:trHeight w:hRule="exact" w:val="350"/>
        </w:trPr>
        <w:tc>
          <w:tcPr>
            <w:tcW w:w="648" w:type="dxa"/>
            <w:vMerge/>
            <w:tcBorders>
              <w:left w:val="single" w:sz="8" w:space="0" w:color="231F20"/>
              <w:right w:val="single" w:sz="8" w:space="0" w:color="231F20"/>
            </w:tcBorders>
            <w:shd w:val="clear" w:color="auto" w:fill="00AEEF"/>
          </w:tcPr>
          <w:p w:rsidR="00FF2CD0" w:rsidRPr="00C203F3" w:rsidRDefault="00FF2CD0" w:rsidP="00FF2CD0">
            <w:pPr>
              <w:rPr>
                <w:rFonts w:ascii="Arial Narrow" w:hAnsi="Arial Narrow"/>
                <w:sz w:val="24"/>
                <w:szCs w:val="24"/>
              </w:rPr>
            </w:pPr>
          </w:p>
        </w:tc>
        <w:tc>
          <w:tcPr>
            <w:tcW w:w="1395" w:type="dxa"/>
            <w:vMerge/>
            <w:tcBorders>
              <w:left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8228" w:type="dxa"/>
            <w:gridSpan w:val="10"/>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6" w:after="0" w:line="240" w:lineRule="auto"/>
              <w:ind w:left="1580" w:right="-20"/>
              <w:rPr>
                <w:rFonts w:ascii="Arial Narrow" w:eastAsia="Times New Roman" w:hAnsi="Arial Narrow" w:cs="Times New Roman"/>
                <w:sz w:val="24"/>
                <w:szCs w:val="24"/>
              </w:rPr>
            </w:pPr>
            <w:r w:rsidRPr="00C203F3">
              <w:rPr>
                <w:rFonts w:ascii="Arial Narrow" w:eastAsia="Times New Roman" w:hAnsi="Arial Narrow" w:cs="Times New Roman"/>
                <w:color w:val="FFFFFF"/>
                <w:sz w:val="24"/>
                <w:szCs w:val="24"/>
              </w:rPr>
              <w:t>Numberof tabletsby weight-band  morningand</w:t>
            </w:r>
            <w:r w:rsidRPr="00C203F3">
              <w:rPr>
                <w:rFonts w:ascii="Arial Narrow" w:eastAsia="Times New Roman" w:hAnsi="Arial Narrow" w:cs="Times New Roman"/>
                <w:color w:val="FFFFFF"/>
                <w:w w:val="104"/>
                <w:sz w:val="24"/>
                <w:szCs w:val="24"/>
              </w:rPr>
              <w:t>evening</w:t>
            </w:r>
          </w:p>
        </w:tc>
      </w:tr>
      <w:tr w:rsidR="00FF2CD0" w:rsidRPr="00C203F3" w:rsidTr="00FF2CD0">
        <w:trPr>
          <w:trHeight w:hRule="exact" w:val="297"/>
        </w:trPr>
        <w:tc>
          <w:tcPr>
            <w:tcW w:w="648" w:type="dxa"/>
            <w:vMerge/>
            <w:tcBorders>
              <w:left w:val="single" w:sz="8" w:space="0" w:color="231F20"/>
              <w:right w:val="single" w:sz="8" w:space="0" w:color="231F20"/>
            </w:tcBorders>
            <w:shd w:val="clear" w:color="auto" w:fill="00AEEF"/>
          </w:tcPr>
          <w:p w:rsidR="00FF2CD0" w:rsidRPr="00C203F3" w:rsidRDefault="00FF2CD0" w:rsidP="00FF2CD0">
            <w:pPr>
              <w:rPr>
                <w:rFonts w:ascii="Arial Narrow" w:hAnsi="Arial Narrow"/>
                <w:sz w:val="24"/>
                <w:szCs w:val="24"/>
              </w:rPr>
            </w:pPr>
          </w:p>
        </w:tc>
        <w:tc>
          <w:tcPr>
            <w:tcW w:w="1395" w:type="dxa"/>
            <w:vMerge/>
            <w:tcBorders>
              <w:left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1988" w:type="dxa"/>
            <w:gridSpan w:val="2"/>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6" w:after="0" w:line="240" w:lineRule="auto"/>
              <w:ind w:left="626" w:right="-20"/>
              <w:rPr>
                <w:rFonts w:ascii="Arial Narrow" w:eastAsia="Times New Roman" w:hAnsi="Arial Narrow" w:cs="Times New Roman"/>
                <w:sz w:val="24"/>
                <w:szCs w:val="24"/>
              </w:rPr>
            </w:pPr>
            <w:r w:rsidRPr="00C203F3">
              <w:rPr>
                <w:rFonts w:ascii="Arial Narrow" w:eastAsia="Times New Roman" w:hAnsi="Arial Narrow" w:cs="Times New Roman"/>
                <w:color w:val="FFFFFF"/>
                <w:sz w:val="24"/>
                <w:szCs w:val="24"/>
              </w:rPr>
              <w:t xml:space="preserve">3-5.9 </w:t>
            </w:r>
            <w:r w:rsidRPr="00C203F3">
              <w:rPr>
                <w:rFonts w:ascii="Arial Narrow" w:eastAsia="Times New Roman" w:hAnsi="Arial Narrow" w:cs="Times New Roman"/>
                <w:color w:val="FFFFFF"/>
                <w:w w:val="106"/>
                <w:sz w:val="24"/>
                <w:szCs w:val="24"/>
              </w:rPr>
              <w:t>kg</w:t>
            </w:r>
          </w:p>
        </w:tc>
        <w:tc>
          <w:tcPr>
            <w:tcW w:w="1392" w:type="dxa"/>
            <w:gridSpan w:val="2"/>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6" w:after="0" w:line="240" w:lineRule="auto"/>
              <w:ind w:left="328" w:right="-20"/>
              <w:rPr>
                <w:rFonts w:ascii="Arial Narrow" w:eastAsia="Times New Roman" w:hAnsi="Arial Narrow" w:cs="Times New Roman"/>
                <w:sz w:val="24"/>
                <w:szCs w:val="24"/>
              </w:rPr>
            </w:pPr>
            <w:r w:rsidRPr="00C203F3">
              <w:rPr>
                <w:rFonts w:ascii="Arial Narrow" w:eastAsia="Times New Roman" w:hAnsi="Arial Narrow" w:cs="Times New Roman"/>
                <w:color w:val="FFFFFF"/>
                <w:sz w:val="24"/>
                <w:szCs w:val="24"/>
              </w:rPr>
              <w:t xml:space="preserve">6-9.9 </w:t>
            </w:r>
            <w:r w:rsidRPr="00C203F3">
              <w:rPr>
                <w:rFonts w:ascii="Arial Narrow" w:eastAsia="Times New Roman" w:hAnsi="Arial Narrow" w:cs="Times New Roman"/>
                <w:color w:val="FFFFFF"/>
                <w:w w:val="106"/>
                <w:sz w:val="24"/>
                <w:szCs w:val="24"/>
              </w:rPr>
              <w:t>kg</w:t>
            </w:r>
          </w:p>
        </w:tc>
        <w:tc>
          <w:tcPr>
            <w:tcW w:w="1606" w:type="dxa"/>
            <w:gridSpan w:val="2"/>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6" w:after="0" w:line="240" w:lineRule="auto"/>
              <w:ind w:left="356"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02"/>
                <w:sz w:val="24"/>
                <w:szCs w:val="24"/>
              </w:rPr>
              <w:t>10-13.9kg</w:t>
            </w:r>
          </w:p>
        </w:tc>
        <w:tc>
          <w:tcPr>
            <w:tcW w:w="1612" w:type="dxa"/>
            <w:gridSpan w:val="2"/>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6" w:after="0" w:line="240" w:lineRule="auto"/>
              <w:ind w:left="332" w:right="-20"/>
              <w:rPr>
                <w:rFonts w:ascii="Arial Narrow" w:eastAsia="Times New Roman" w:hAnsi="Arial Narrow" w:cs="Times New Roman"/>
                <w:sz w:val="24"/>
                <w:szCs w:val="24"/>
              </w:rPr>
            </w:pPr>
            <w:r w:rsidRPr="00C203F3">
              <w:rPr>
                <w:rFonts w:ascii="Arial Narrow" w:eastAsia="Times New Roman" w:hAnsi="Arial Narrow" w:cs="Times New Roman"/>
                <w:color w:val="FFFFFF"/>
                <w:sz w:val="24"/>
                <w:szCs w:val="24"/>
              </w:rPr>
              <w:t xml:space="preserve">14-19.9 </w:t>
            </w:r>
            <w:r w:rsidRPr="00C203F3">
              <w:rPr>
                <w:rFonts w:ascii="Arial Narrow" w:eastAsia="Times New Roman" w:hAnsi="Arial Narrow" w:cs="Times New Roman"/>
                <w:color w:val="FFFFFF"/>
                <w:w w:val="106"/>
                <w:sz w:val="24"/>
                <w:szCs w:val="24"/>
              </w:rPr>
              <w:t>kg</w:t>
            </w:r>
          </w:p>
        </w:tc>
        <w:tc>
          <w:tcPr>
            <w:tcW w:w="1630" w:type="dxa"/>
            <w:gridSpan w:val="2"/>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6" w:after="0" w:line="240" w:lineRule="auto"/>
              <w:ind w:left="341" w:right="-20"/>
              <w:rPr>
                <w:rFonts w:ascii="Arial Narrow" w:eastAsia="Times New Roman" w:hAnsi="Arial Narrow" w:cs="Times New Roman"/>
                <w:sz w:val="24"/>
                <w:szCs w:val="24"/>
              </w:rPr>
            </w:pPr>
            <w:r w:rsidRPr="00C203F3">
              <w:rPr>
                <w:rFonts w:ascii="Arial Narrow" w:eastAsia="Times New Roman" w:hAnsi="Arial Narrow" w:cs="Times New Roman"/>
                <w:color w:val="FFFFFF"/>
                <w:sz w:val="24"/>
                <w:szCs w:val="24"/>
              </w:rPr>
              <w:t xml:space="preserve">20-24.9 </w:t>
            </w:r>
            <w:r w:rsidRPr="00C203F3">
              <w:rPr>
                <w:rFonts w:ascii="Arial Narrow" w:eastAsia="Times New Roman" w:hAnsi="Arial Narrow" w:cs="Times New Roman"/>
                <w:color w:val="FFFFFF"/>
                <w:w w:val="106"/>
                <w:sz w:val="24"/>
                <w:szCs w:val="24"/>
              </w:rPr>
              <w:t>kg</w:t>
            </w:r>
          </w:p>
        </w:tc>
      </w:tr>
      <w:tr w:rsidR="00FF2CD0" w:rsidRPr="00C203F3" w:rsidTr="00FF2CD0">
        <w:trPr>
          <w:trHeight w:hRule="exact" w:val="319"/>
        </w:trPr>
        <w:tc>
          <w:tcPr>
            <w:tcW w:w="648" w:type="dxa"/>
            <w:vMerge/>
            <w:tcBorders>
              <w:left w:val="single" w:sz="8" w:space="0" w:color="231F20"/>
              <w:bottom w:val="single" w:sz="8" w:space="0" w:color="231F20"/>
              <w:right w:val="single" w:sz="8" w:space="0" w:color="231F20"/>
            </w:tcBorders>
            <w:shd w:val="clear" w:color="auto" w:fill="00AEEF"/>
          </w:tcPr>
          <w:p w:rsidR="00FF2CD0" w:rsidRPr="00C203F3" w:rsidRDefault="00FF2CD0" w:rsidP="00FF2CD0">
            <w:pPr>
              <w:rPr>
                <w:rFonts w:ascii="Arial Narrow" w:hAnsi="Arial Narrow"/>
                <w:sz w:val="24"/>
                <w:szCs w:val="24"/>
              </w:rPr>
            </w:pPr>
          </w:p>
        </w:tc>
        <w:tc>
          <w:tcPr>
            <w:tcW w:w="1395" w:type="dxa"/>
            <w:vMerge/>
            <w:tcBorders>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993" w:type="dxa"/>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6" w:after="0" w:line="240" w:lineRule="auto"/>
              <w:ind w:left="310" w:right="290"/>
              <w:jc w:val="center"/>
              <w:rPr>
                <w:rFonts w:ascii="Arial Narrow" w:eastAsia="Times New Roman" w:hAnsi="Arial Narrow" w:cs="Times New Roman"/>
                <w:sz w:val="24"/>
                <w:szCs w:val="24"/>
              </w:rPr>
            </w:pPr>
            <w:r w:rsidRPr="00C203F3">
              <w:rPr>
                <w:rFonts w:ascii="Arial Narrow" w:eastAsia="Times New Roman" w:hAnsi="Arial Narrow" w:cs="Times New Roman"/>
                <w:color w:val="FFFFFF"/>
                <w:w w:val="109"/>
                <w:sz w:val="24"/>
                <w:szCs w:val="24"/>
              </w:rPr>
              <w:t>am</w:t>
            </w:r>
          </w:p>
        </w:tc>
        <w:tc>
          <w:tcPr>
            <w:tcW w:w="995" w:type="dxa"/>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6" w:after="0" w:line="240" w:lineRule="auto"/>
              <w:ind w:left="305" w:right="285"/>
              <w:jc w:val="center"/>
              <w:rPr>
                <w:rFonts w:ascii="Arial Narrow" w:eastAsia="Times New Roman" w:hAnsi="Arial Narrow" w:cs="Times New Roman"/>
                <w:sz w:val="24"/>
                <w:szCs w:val="24"/>
              </w:rPr>
            </w:pPr>
            <w:r w:rsidRPr="00C203F3">
              <w:rPr>
                <w:rFonts w:ascii="Arial Narrow" w:eastAsia="Times New Roman" w:hAnsi="Arial Narrow" w:cs="Times New Roman"/>
                <w:color w:val="FFFFFF"/>
                <w:w w:val="109"/>
                <w:sz w:val="24"/>
                <w:szCs w:val="24"/>
              </w:rPr>
              <w:t>Pm</w:t>
            </w:r>
          </w:p>
        </w:tc>
        <w:tc>
          <w:tcPr>
            <w:tcW w:w="696" w:type="dxa"/>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6" w:after="0" w:line="240" w:lineRule="auto"/>
              <w:ind w:left="197"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09"/>
                <w:sz w:val="24"/>
                <w:szCs w:val="24"/>
              </w:rPr>
              <w:t>am</w:t>
            </w:r>
          </w:p>
        </w:tc>
        <w:tc>
          <w:tcPr>
            <w:tcW w:w="696" w:type="dxa"/>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6" w:after="0" w:line="240" w:lineRule="auto"/>
              <w:ind w:left="191"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09"/>
                <w:sz w:val="24"/>
                <w:szCs w:val="24"/>
              </w:rPr>
              <w:t>Pm</w:t>
            </w:r>
          </w:p>
        </w:tc>
        <w:tc>
          <w:tcPr>
            <w:tcW w:w="793" w:type="dxa"/>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6" w:after="0" w:line="240" w:lineRule="auto"/>
              <w:ind w:left="246"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09"/>
                <w:sz w:val="24"/>
                <w:szCs w:val="24"/>
              </w:rPr>
              <w:t>am</w:t>
            </w:r>
          </w:p>
        </w:tc>
        <w:tc>
          <w:tcPr>
            <w:tcW w:w="813" w:type="dxa"/>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6" w:after="0" w:line="240" w:lineRule="auto"/>
              <w:ind w:left="250"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09"/>
                <w:sz w:val="24"/>
                <w:szCs w:val="24"/>
              </w:rPr>
              <w:t>Pm</w:t>
            </w:r>
          </w:p>
        </w:tc>
        <w:tc>
          <w:tcPr>
            <w:tcW w:w="813" w:type="dxa"/>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6" w:after="0" w:line="240" w:lineRule="auto"/>
              <w:ind w:left="256"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09"/>
                <w:sz w:val="24"/>
                <w:szCs w:val="24"/>
              </w:rPr>
              <w:t>am</w:t>
            </w:r>
          </w:p>
        </w:tc>
        <w:tc>
          <w:tcPr>
            <w:tcW w:w="799" w:type="dxa"/>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6" w:after="0" w:line="240" w:lineRule="auto"/>
              <w:ind w:left="243"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09"/>
                <w:sz w:val="24"/>
                <w:szCs w:val="24"/>
              </w:rPr>
              <w:t>pm</w:t>
            </w:r>
          </w:p>
        </w:tc>
        <w:tc>
          <w:tcPr>
            <w:tcW w:w="810" w:type="dxa"/>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6" w:after="0" w:line="240" w:lineRule="auto"/>
              <w:ind w:left="254"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09"/>
                <w:sz w:val="24"/>
                <w:szCs w:val="24"/>
              </w:rPr>
              <w:t>am</w:t>
            </w:r>
          </w:p>
        </w:tc>
        <w:tc>
          <w:tcPr>
            <w:tcW w:w="820" w:type="dxa"/>
            <w:tcBorders>
              <w:top w:val="single" w:sz="8" w:space="0" w:color="231F20"/>
              <w:left w:val="single" w:sz="8" w:space="0" w:color="231F20"/>
              <w:bottom w:val="single" w:sz="8" w:space="0" w:color="231F20"/>
              <w:right w:val="single" w:sz="8" w:space="0" w:color="231F20"/>
            </w:tcBorders>
            <w:shd w:val="clear" w:color="auto" w:fill="00AEEF"/>
          </w:tcPr>
          <w:p w:rsidR="00FF2CD0" w:rsidRPr="00C203F3" w:rsidRDefault="00FF2CD0" w:rsidP="00FF2CD0">
            <w:pPr>
              <w:spacing w:before="16" w:after="0" w:line="240" w:lineRule="auto"/>
              <w:ind w:left="254" w:right="-20"/>
              <w:rPr>
                <w:rFonts w:ascii="Arial Narrow" w:eastAsia="Times New Roman" w:hAnsi="Arial Narrow" w:cs="Times New Roman"/>
                <w:sz w:val="24"/>
                <w:szCs w:val="24"/>
              </w:rPr>
            </w:pPr>
            <w:r w:rsidRPr="00C203F3">
              <w:rPr>
                <w:rFonts w:ascii="Arial Narrow" w:eastAsia="Times New Roman" w:hAnsi="Arial Narrow" w:cs="Times New Roman"/>
                <w:color w:val="FFFFFF"/>
                <w:w w:val="109"/>
                <w:sz w:val="24"/>
                <w:szCs w:val="24"/>
              </w:rPr>
              <w:t>Pm</w:t>
            </w:r>
          </w:p>
        </w:tc>
      </w:tr>
      <w:tr w:rsidR="00FF2CD0" w:rsidRPr="00C203F3" w:rsidTr="00FF2CD0">
        <w:trPr>
          <w:trHeight w:hRule="exact" w:val="550"/>
        </w:trPr>
        <w:tc>
          <w:tcPr>
            <w:tcW w:w="648"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47"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AZT</w:t>
            </w:r>
          </w:p>
        </w:tc>
        <w:tc>
          <w:tcPr>
            <w:tcW w:w="139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8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10 mg/ml</w:t>
            </w:r>
          </w:p>
          <w:p w:rsidR="00FF2CD0" w:rsidRPr="00C203F3" w:rsidRDefault="00FF2CD0" w:rsidP="00FF2CD0">
            <w:pPr>
              <w:spacing w:before="12" w:after="0" w:line="240" w:lineRule="auto"/>
              <w:ind w:left="36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300 mg</w:t>
            </w:r>
          </w:p>
        </w:tc>
        <w:tc>
          <w:tcPr>
            <w:tcW w:w="99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96"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6 ml</w:t>
            </w:r>
          </w:p>
        </w:tc>
        <w:tc>
          <w:tcPr>
            <w:tcW w:w="99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97"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6 ml</w:t>
            </w:r>
          </w:p>
        </w:tc>
        <w:tc>
          <w:tcPr>
            <w:tcW w:w="69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14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9 ml</w:t>
            </w:r>
          </w:p>
        </w:tc>
        <w:tc>
          <w:tcPr>
            <w:tcW w:w="69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14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9 ml</w:t>
            </w:r>
          </w:p>
        </w:tc>
        <w:tc>
          <w:tcPr>
            <w:tcW w:w="79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143"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12 ml</w:t>
            </w:r>
          </w:p>
        </w:tc>
        <w:tc>
          <w:tcPr>
            <w:tcW w:w="81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153"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12 ml</w:t>
            </w:r>
          </w:p>
        </w:tc>
        <w:tc>
          <w:tcPr>
            <w:tcW w:w="81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65"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0.5</w:t>
            </w:r>
          </w:p>
        </w:tc>
        <w:tc>
          <w:tcPr>
            <w:tcW w:w="799"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5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0.5</w:t>
            </w:r>
          </w:p>
        </w:tc>
        <w:tc>
          <w:tcPr>
            <w:tcW w:w="81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307" w:right="286"/>
              <w:jc w:val="center"/>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1</w:t>
            </w:r>
          </w:p>
        </w:tc>
        <w:tc>
          <w:tcPr>
            <w:tcW w:w="8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33" w:right="21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0.5</w:t>
            </w:r>
          </w:p>
        </w:tc>
      </w:tr>
      <w:tr w:rsidR="00FF2CD0" w:rsidRPr="00C203F3" w:rsidTr="00FF2CD0">
        <w:trPr>
          <w:trHeight w:hRule="exact" w:val="559"/>
        </w:trPr>
        <w:tc>
          <w:tcPr>
            <w:tcW w:w="648"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4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ABC</w:t>
            </w:r>
          </w:p>
        </w:tc>
        <w:tc>
          <w:tcPr>
            <w:tcW w:w="139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8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20 mg/ml</w:t>
            </w:r>
          </w:p>
          <w:p w:rsidR="00FF2CD0" w:rsidRPr="00C203F3" w:rsidRDefault="00FF2CD0" w:rsidP="00FF2CD0">
            <w:pPr>
              <w:spacing w:before="12" w:after="0" w:line="240" w:lineRule="auto"/>
              <w:ind w:left="36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300 mg</w:t>
            </w:r>
          </w:p>
        </w:tc>
        <w:tc>
          <w:tcPr>
            <w:tcW w:w="99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96"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3 ml</w:t>
            </w:r>
          </w:p>
        </w:tc>
        <w:tc>
          <w:tcPr>
            <w:tcW w:w="99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9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3 ml</w:t>
            </w:r>
          </w:p>
        </w:tc>
        <w:tc>
          <w:tcPr>
            <w:tcW w:w="69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14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4 ml</w:t>
            </w:r>
          </w:p>
        </w:tc>
        <w:tc>
          <w:tcPr>
            <w:tcW w:w="69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14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4 ml</w:t>
            </w:r>
          </w:p>
        </w:tc>
        <w:tc>
          <w:tcPr>
            <w:tcW w:w="79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196"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6 ml</w:t>
            </w:r>
          </w:p>
        </w:tc>
        <w:tc>
          <w:tcPr>
            <w:tcW w:w="81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06"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6 ml</w:t>
            </w:r>
          </w:p>
        </w:tc>
        <w:tc>
          <w:tcPr>
            <w:tcW w:w="81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65"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0.5</w:t>
            </w:r>
          </w:p>
        </w:tc>
        <w:tc>
          <w:tcPr>
            <w:tcW w:w="799"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5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0.5</w:t>
            </w:r>
          </w:p>
        </w:tc>
        <w:tc>
          <w:tcPr>
            <w:tcW w:w="81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307" w:right="285"/>
              <w:jc w:val="center"/>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1</w:t>
            </w:r>
          </w:p>
        </w:tc>
        <w:tc>
          <w:tcPr>
            <w:tcW w:w="8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33" w:right="21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0.5</w:t>
            </w:r>
          </w:p>
        </w:tc>
      </w:tr>
      <w:tr w:rsidR="00FF2CD0" w:rsidRPr="00C203F3" w:rsidTr="00FF2CD0">
        <w:trPr>
          <w:trHeight w:hRule="exact" w:val="553"/>
        </w:trPr>
        <w:tc>
          <w:tcPr>
            <w:tcW w:w="648"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4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3TC</w:t>
            </w:r>
          </w:p>
        </w:tc>
        <w:tc>
          <w:tcPr>
            <w:tcW w:w="139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8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10 mg/ml</w:t>
            </w:r>
          </w:p>
          <w:p w:rsidR="00FF2CD0" w:rsidRPr="00C203F3" w:rsidRDefault="00FF2CD0" w:rsidP="00FF2CD0">
            <w:pPr>
              <w:spacing w:before="12" w:after="0" w:line="240" w:lineRule="auto"/>
              <w:ind w:left="36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150 mg</w:t>
            </w:r>
          </w:p>
        </w:tc>
        <w:tc>
          <w:tcPr>
            <w:tcW w:w="99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96"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3 ml</w:t>
            </w:r>
          </w:p>
        </w:tc>
        <w:tc>
          <w:tcPr>
            <w:tcW w:w="99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9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3 ml</w:t>
            </w:r>
          </w:p>
        </w:tc>
        <w:tc>
          <w:tcPr>
            <w:tcW w:w="69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14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4 ml</w:t>
            </w:r>
          </w:p>
        </w:tc>
        <w:tc>
          <w:tcPr>
            <w:tcW w:w="69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14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4 ml</w:t>
            </w:r>
          </w:p>
        </w:tc>
        <w:tc>
          <w:tcPr>
            <w:tcW w:w="79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197"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6 ml</w:t>
            </w:r>
          </w:p>
        </w:tc>
        <w:tc>
          <w:tcPr>
            <w:tcW w:w="81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07"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6 ml</w:t>
            </w:r>
          </w:p>
        </w:tc>
        <w:tc>
          <w:tcPr>
            <w:tcW w:w="81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65"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0.5</w:t>
            </w:r>
          </w:p>
        </w:tc>
        <w:tc>
          <w:tcPr>
            <w:tcW w:w="799"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5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0.5</w:t>
            </w:r>
          </w:p>
        </w:tc>
        <w:tc>
          <w:tcPr>
            <w:tcW w:w="81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307" w:right="285"/>
              <w:jc w:val="center"/>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1</w:t>
            </w:r>
          </w:p>
        </w:tc>
        <w:tc>
          <w:tcPr>
            <w:tcW w:w="8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33" w:right="21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0.5</w:t>
            </w:r>
          </w:p>
        </w:tc>
      </w:tr>
      <w:tr w:rsidR="00FF2CD0" w:rsidRPr="00C203F3" w:rsidTr="00FF2CD0">
        <w:trPr>
          <w:trHeight w:hRule="exact" w:val="556"/>
        </w:trPr>
        <w:tc>
          <w:tcPr>
            <w:tcW w:w="648"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4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d4T</w:t>
            </w:r>
          </w:p>
        </w:tc>
        <w:tc>
          <w:tcPr>
            <w:tcW w:w="139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36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1mg/ml</w:t>
            </w:r>
          </w:p>
          <w:p w:rsidR="00FF2CD0" w:rsidRPr="00C203F3" w:rsidRDefault="00FF2CD0" w:rsidP="00FF2CD0">
            <w:pPr>
              <w:spacing w:before="12" w:after="0" w:line="240" w:lineRule="auto"/>
              <w:ind w:left="36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150 mg</w:t>
            </w:r>
          </w:p>
        </w:tc>
        <w:tc>
          <w:tcPr>
            <w:tcW w:w="99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97"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6 ml</w:t>
            </w:r>
          </w:p>
        </w:tc>
        <w:tc>
          <w:tcPr>
            <w:tcW w:w="99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9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6 ml</w:t>
            </w:r>
          </w:p>
        </w:tc>
        <w:tc>
          <w:tcPr>
            <w:tcW w:w="69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14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9 ml</w:t>
            </w:r>
          </w:p>
        </w:tc>
        <w:tc>
          <w:tcPr>
            <w:tcW w:w="69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14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9 ml</w:t>
            </w:r>
          </w:p>
        </w:tc>
        <w:tc>
          <w:tcPr>
            <w:tcW w:w="79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49"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15"/>
                <w:sz w:val="24"/>
                <w:szCs w:val="24"/>
              </w:rPr>
              <w:t>1(1</w:t>
            </w:r>
            <w:r w:rsidRPr="00C203F3">
              <w:rPr>
                <w:rFonts w:ascii="Arial Narrow" w:eastAsia="Times New Roman" w:hAnsi="Arial Narrow" w:cs="Times New Roman"/>
                <w:color w:val="231F20"/>
                <w:sz w:val="24"/>
                <w:szCs w:val="24"/>
              </w:rPr>
              <w:t>5</w:t>
            </w:r>
            <w:r w:rsidRPr="00C203F3">
              <w:rPr>
                <w:rFonts w:ascii="Arial Narrow" w:eastAsia="Times New Roman" w:hAnsi="Arial Narrow" w:cs="Times New Roman"/>
                <w:color w:val="231F20"/>
                <w:spacing w:val="-15"/>
                <w:sz w:val="24"/>
                <w:szCs w:val="24"/>
              </w:rPr>
              <w:t>mg</w:t>
            </w:r>
            <w:r w:rsidRPr="00C203F3">
              <w:rPr>
                <w:rFonts w:ascii="Arial Narrow" w:eastAsia="Times New Roman" w:hAnsi="Arial Narrow" w:cs="Times New Roman"/>
                <w:color w:val="231F20"/>
                <w:sz w:val="24"/>
                <w:szCs w:val="24"/>
              </w:rPr>
              <w:t>)</w:t>
            </w:r>
          </w:p>
        </w:tc>
        <w:tc>
          <w:tcPr>
            <w:tcW w:w="81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59"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15"/>
                <w:sz w:val="24"/>
                <w:szCs w:val="24"/>
              </w:rPr>
              <w:t>1(1</w:t>
            </w:r>
            <w:r w:rsidRPr="00C203F3">
              <w:rPr>
                <w:rFonts w:ascii="Arial Narrow" w:eastAsia="Times New Roman" w:hAnsi="Arial Narrow" w:cs="Times New Roman"/>
                <w:color w:val="231F20"/>
                <w:sz w:val="24"/>
                <w:szCs w:val="24"/>
              </w:rPr>
              <w:t>5</w:t>
            </w:r>
            <w:r w:rsidRPr="00C203F3">
              <w:rPr>
                <w:rFonts w:ascii="Arial Narrow" w:eastAsia="Times New Roman" w:hAnsi="Arial Narrow" w:cs="Times New Roman"/>
                <w:color w:val="231F20"/>
                <w:spacing w:val="-15"/>
                <w:sz w:val="24"/>
                <w:szCs w:val="24"/>
              </w:rPr>
              <w:t>mg</w:t>
            </w:r>
            <w:r w:rsidRPr="00C203F3">
              <w:rPr>
                <w:rFonts w:ascii="Arial Narrow" w:eastAsia="Times New Roman" w:hAnsi="Arial Narrow" w:cs="Times New Roman"/>
                <w:color w:val="231F20"/>
                <w:sz w:val="24"/>
                <w:szCs w:val="24"/>
              </w:rPr>
              <w:t>)</w:t>
            </w:r>
          </w:p>
        </w:tc>
        <w:tc>
          <w:tcPr>
            <w:tcW w:w="81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59"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15"/>
                <w:sz w:val="24"/>
                <w:szCs w:val="24"/>
              </w:rPr>
              <w:t>1(2</w:t>
            </w:r>
            <w:r w:rsidRPr="00C203F3">
              <w:rPr>
                <w:rFonts w:ascii="Arial Narrow" w:eastAsia="Times New Roman" w:hAnsi="Arial Narrow" w:cs="Times New Roman"/>
                <w:color w:val="231F20"/>
                <w:sz w:val="24"/>
                <w:szCs w:val="24"/>
              </w:rPr>
              <w:t>0</w:t>
            </w:r>
            <w:r w:rsidRPr="00C203F3">
              <w:rPr>
                <w:rFonts w:ascii="Arial Narrow" w:eastAsia="Times New Roman" w:hAnsi="Arial Narrow" w:cs="Times New Roman"/>
                <w:color w:val="231F20"/>
                <w:spacing w:val="-15"/>
                <w:sz w:val="24"/>
                <w:szCs w:val="24"/>
              </w:rPr>
              <w:t>mg</w:t>
            </w:r>
            <w:r w:rsidRPr="00C203F3">
              <w:rPr>
                <w:rFonts w:ascii="Arial Narrow" w:eastAsia="Times New Roman" w:hAnsi="Arial Narrow" w:cs="Times New Roman"/>
                <w:color w:val="231F20"/>
                <w:sz w:val="24"/>
                <w:szCs w:val="24"/>
              </w:rPr>
              <w:t>)</w:t>
            </w:r>
          </w:p>
        </w:tc>
        <w:tc>
          <w:tcPr>
            <w:tcW w:w="799"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15"/>
                <w:sz w:val="24"/>
                <w:szCs w:val="24"/>
              </w:rPr>
              <w:t>1(2</w:t>
            </w:r>
            <w:r w:rsidRPr="00C203F3">
              <w:rPr>
                <w:rFonts w:ascii="Arial Narrow" w:eastAsia="Times New Roman" w:hAnsi="Arial Narrow" w:cs="Times New Roman"/>
                <w:color w:val="231F20"/>
                <w:sz w:val="24"/>
                <w:szCs w:val="24"/>
              </w:rPr>
              <w:t>0</w:t>
            </w:r>
            <w:r w:rsidRPr="00C203F3">
              <w:rPr>
                <w:rFonts w:ascii="Arial Narrow" w:eastAsia="Times New Roman" w:hAnsi="Arial Narrow" w:cs="Times New Roman"/>
                <w:color w:val="231F20"/>
                <w:spacing w:val="-15"/>
                <w:sz w:val="24"/>
                <w:szCs w:val="24"/>
              </w:rPr>
              <w:t>mg</w:t>
            </w:r>
            <w:r w:rsidRPr="00C203F3">
              <w:rPr>
                <w:rFonts w:ascii="Arial Narrow" w:eastAsia="Times New Roman" w:hAnsi="Arial Narrow" w:cs="Times New Roman"/>
                <w:color w:val="231F20"/>
                <w:sz w:val="24"/>
                <w:szCs w:val="24"/>
              </w:rPr>
              <w:t>)</w:t>
            </w:r>
          </w:p>
        </w:tc>
        <w:tc>
          <w:tcPr>
            <w:tcW w:w="81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58"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15"/>
                <w:sz w:val="24"/>
                <w:szCs w:val="24"/>
              </w:rPr>
              <w:t>1(2</w:t>
            </w:r>
            <w:r w:rsidRPr="00C203F3">
              <w:rPr>
                <w:rFonts w:ascii="Arial Narrow" w:eastAsia="Times New Roman" w:hAnsi="Arial Narrow" w:cs="Times New Roman"/>
                <w:color w:val="231F20"/>
                <w:sz w:val="24"/>
                <w:szCs w:val="24"/>
              </w:rPr>
              <w:t>0</w:t>
            </w:r>
            <w:r w:rsidRPr="00C203F3">
              <w:rPr>
                <w:rFonts w:ascii="Arial Narrow" w:eastAsia="Times New Roman" w:hAnsi="Arial Narrow" w:cs="Times New Roman"/>
                <w:color w:val="231F20"/>
                <w:spacing w:val="-15"/>
                <w:sz w:val="24"/>
                <w:szCs w:val="24"/>
              </w:rPr>
              <w:t>mg</w:t>
            </w:r>
            <w:r w:rsidRPr="00C203F3">
              <w:rPr>
                <w:rFonts w:ascii="Arial Narrow" w:eastAsia="Times New Roman" w:hAnsi="Arial Narrow" w:cs="Times New Roman"/>
                <w:color w:val="231F20"/>
                <w:sz w:val="24"/>
                <w:szCs w:val="24"/>
              </w:rPr>
              <w:t>)</w:t>
            </w:r>
          </w:p>
        </w:tc>
        <w:tc>
          <w:tcPr>
            <w:tcW w:w="8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63"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15"/>
                <w:sz w:val="24"/>
                <w:szCs w:val="24"/>
              </w:rPr>
              <w:t>1(2</w:t>
            </w:r>
            <w:r w:rsidRPr="00C203F3">
              <w:rPr>
                <w:rFonts w:ascii="Arial Narrow" w:eastAsia="Times New Roman" w:hAnsi="Arial Narrow" w:cs="Times New Roman"/>
                <w:color w:val="231F20"/>
                <w:sz w:val="24"/>
                <w:szCs w:val="24"/>
              </w:rPr>
              <w:t>0</w:t>
            </w:r>
            <w:r w:rsidRPr="00C203F3">
              <w:rPr>
                <w:rFonts w:ascii="Arial Narrow" w:eastAsia="Times New Roman" w:hAnsi="Arial Narrow" w:cs="Times New Roman"/>
                <w:color w:val="231F20"/>
                <w:spacing w:val="-15"/>
                <w:sz w:val="24"/>
                <w:szCs w:val="24"/>
              </w:rPr>
              <w:t>mg</w:t>
            </w:r>
            <w:r w:rsidRPr="00C203F3">
              <w:rPr>
                <w:rFonts w:ascii="Arial Narrow" w:eastAsia="Times New Roman" w:hAnsi="Arial Narrow" w:cs="Times New Roman"/>
                <w:color w:val="231F20"/>
                <w:sz w:val="24"/>
                <w:szCs w:val="24"/>
              </w:rPr>
              <w:t>)</w:t>
            </w:r>
          </w:p>
        </w:tc>
      </w:tr>
      <w:tr w:rsidR="00FF2CD0" w:rsidRPr="00C203F3" w:rsidTr="00FF2CD0">
        <w:trPr>
          <w:trHeight w:hRule="exact" w:val="542"/>
        </w:trPr>
        <w:tc>
          <w:tcPr>
            <w:tcW w:w="648"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48"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4"/>
                <w:sz w:val="24"/>
                <w:szCs w:val="24"/>
              </w:rPr>
              <w:t>NV</w:t>
            </w:r>
            <w:r w:rsidRPr="00C203F3">
              <w:rPr>
                <w:rFonts w:ascii="Arial Narrow" w:eastAsia="Times New Roman" w:hAnsi="Arial Narrow" w:cs="Times New Roman"/>
                <w:color w:val="231F20"/>
                <w:sz w:val="24"/>
                <w:szCs w:val="24"/>
              </w:rPr>
              <w:t>P</w:t>
            </w:r>
          </w:p>
        </w:tc>
        <w:tc>
          <w:tcPr>
            <w:tcW w:w="139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41" w:right="218"/>
              <w:jc w:val="center"/>
              <w:rPr>
                <w:rFonts w:ascii="Arial Narrow" w:eastAsia="Times New Roman" w:hAnsi="Arial Narrow" w:cs="Times New Roman"/>
                <w:sz w:val="24"/>
                <w:szCs w:val="24"/>
              </w:rPr>
            </w:pPr>
            <w:r w:rsidRPr="00C203F3">
              <w:rPr>
                <w:rFonts w:ascii="Arial Narrow" w:eastAsia="Times New Roman" w:hAnsi="Arial Narrow" w:cs="Times New Roman"/>
                <w:color w:val="231F20"/>
                <w:spacing w:val="-6"/>
                <w:sz w:val="24"/>
                <w:szCs w:val="24"/>
              </w:rPr>
              <w:t>1</w:t>
            </w:r>
            <w:r w:rsidRPr="00C203F3">
              <w:rPr>
                <w:rFonts w:ascii="Arial Narrow" w:eastAsia="Times New Roman" w:hAnsi="Arial Narrow" w:cs="Times New Roman"/>
                <w:color w:val="231F20"/>
                <w:sz w:val="24"/>
                <w:szCs w:val="24"/>
              </w:rPr>
              <w:t>0</w:t>
            </w:r>
            <w:r w:rsidRPr="00C203F3">
              <w:rPr>
                <w:rFonts w:ascii="Arial Narrow" w:eastAsia="Times New Roman" w:hAnsi="Arial Narrow" w:cs="Times New Roman"/>
                <w:color w:val="231F20"/>
                <w:spacing w:val="-6"/>
                <w:sz w:val="24"/>
                <w:szCs w:val="24"/>
              </w:rPr>
              <w:t>mg/ml</w:t>
            </w:r>
            <w:r w:rsidRPr="00C203F3">
              <w:rPr>
                <w:rFonts w:ascii="Arial Narrow" w:eastAsia="Times New Roman" w:hAnsi="Arial Narrow" w:cs="Times New Roman"/>
                <w:color w:val="231F20"/>
                <w:sz w:val="24"/>
                <w:szCs w:val="24"/>
              </w:rPr>
              <w:t>;</w:t>
            </w:r>
          </w:p>
          <w:p w:rsidR="00FF2CD0" w:rsidRPr="00C203F3" w:rsidRDefault="00FF2CD0" w:rsidP="00FF2CD0">
            <w:pPr>
              <w:spacing w:before="12" w:after="0" w:line="240" w:lineRule="auto"/>
              <w:ind w:left="19" w:right="-4"/>
              <w:jc w:val="center"/>
              <w:rPr>
                <w:rFonts w:ascii="Arial Narrow" w:eastAsia="Times New Roman" w:hAnsi="Arial Narrow" w:cs="Times New Roman"/>
                <w:sz w:val="24"/>
                <w:szCs w:val="24"/>
              </w:rPr>
            </w:pPr>
            <w:r w:rsidRPr="00C203F3">
              <w:rPr>
                <w:rFonts w:ascii="Arial Narrow" w:eastAsia="Times New Roman" w:hAnsi="Arial Narrow" w:cs="Times New Roman"/>
                <w:color w:val="231F20"/>
                <w:spacing w:val="-6"/>
                <w:sz w:val="24"/>
                <w:szCs w:val="24"/>
              </w:rPr>
              <w:t>1</w:t>
            </w:r>
            <w:r w:rsidRPr="00C203F3">
              <w:rPr>
                <w:rFonts w:ascii="Arial Narrow" w:eastAsia="Times New Roman" w:hAnsi="Arial Narrow" w:cs="Times New Roman"/>
                <w:color w:val="231F20"/>
                <w:sz w:val="24"/>
                <w:szCs w:val="24"/>
              </w:rPr>
              <w:t>5</w:t>
            </w:r>
            <w:r w:rsidRPr="00C203F3">
              <w:rPr>
                <w:rFonts w:ascii="Arial Narrow" w:eastAsia="Times New Roman" w:hAnsi="Arial Narrow" w:cs="Times New Roman"/>
                <w:color w:val="231F20"/>
                <w:spacing w:val="-6"/>
                <w:sz w:val="24"/>
                <w:szCs w:val="24"/>
              </w:rPr>
              <w:t>m</w:t>
            </w:r>
            <w:r w:rsidRPr="00C203F3">
              <w:rPr>
                <w:rFonts w:ascii="Arial Narrow" w:eastAsia="Times New Roman" w:hAnsi="Arial Narrow" w:cs="Times New Roman"/>
                <w:color w:val="231F20"/>
                <w:sz w:val="24"/>
                <w:szCs w:val="24"/>
              </w:rPr>
              <w:t>g</w:t>
            </w:r>
            <w:r w:rsidRPr="00C203F3">
              <w:rPr>
                <w:rFonts w:ascii="Arial Narrow" w:eastAsia="Times New Roman" w:hAnsi="Arial Narrow" w:cs="Times New Roman"/>
                <w:color w:val="231F20"/>
                <w:spacing w:val="-6"/>
                <w:sz w:val="24"/>
                <w:szCs w:val="24"/>
              </w:rPr>
              <w:t>o</w:t>
            </w:r>
            <w:r w:rsidRPr="00C203F3">
              <w:rPr>
                <w:rFonts w:ascii="Arial Narrow" w:eastAsia="Times New Roman" w:hAnsi="Arial Narrow" w:cs="Times New Roman"/>
                <w:color w:val="231F20"/>
                <w:sz w:val="24"/>
                <w:szCs w:val="24"/>
              </w:rPr>
              <w:t>r</w:t>
            </w:r>
            <w:r w:rsidRPr="00C203F3">
              <w:rPr>
                <w:rFonts w:ascii="Arial Narrow" w:eastAsia="Times New Roman" w:hAnsi="Arial Narrow" w:cs="Times New Roman"/>
                <w:color w:val="231F20"/>
                <w:spacing w:val="-6"/>
                <w:sz w:val="24"/>
                <w:szCs w:val="24"/>
              </w:rPr>
              <w:t>2</w:t>
            </w:r>
            <w:r w:rsidRPr="00C203F3">
              <w:rPr>
                <w:rFonts w:ascii="Arial Narrow" w:eastAsia="Times New Roman" w:hAnsi="Arial Narrow" w:cs="Times New Roman"/>
                <w:color w:val="231F20"/>
                <w:sz w:val="24"/>
                <w:szCs w:val="24"/>
              </w:rPr>
              <w:t>0</w:t>
            </w:r>
            <w:r w:rsidRPr="00C203F3">
              <w:rPr>
                <w:rFonts w:ascii="Arial Narrow" w:eastAsia="Times New Roman" w:hAnsi="Arial Narrow" w:cs="Times New Roman"/>
                <w:color w:val="231F20"/>
                <w:spacing w:val="-6"/>
                <w:sz w:val="24"/>
                <w:szCs w:val="24"/>
              </w:rPr>
              <w:t>m</w:t>
            </w:r>
            <w:r w:rsidRPr="00C203F3">
              <w:rPr>
                <w:rFonts w:ascii="Arial Narrow" w:eastAsia="Times New Roman" w:hAnsi="Arial Narrow" w:cs="Times New Roman"/>
                <w:color w:val="231F20"/>
                <w:sz w:val="24"/>
                <w:szCs w:val="24"/>
              </w:rPr>
              <w:t>g</w:t>
            </w:r>
          </w:p>
        </w:tc>
        <w:tc>
          <w:tcPr>
            <w:tcW w:w="99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97"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5 ml</w:t>
            </w:r>
          </w:p>
        </w:tc>
        <w:tc>
          <w:tcPr>
            <w:tcW w:w="99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9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5 ml</w:t>
            </w:r>
          </w:p>
        </w:tc>
        <w:tc>
          <w:tcPr>
            <w:tcW w:w="69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14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8 ml</w:t>
            </w:r>
          </w:p>
        </w:tc>
        <w:tc>
          <w:tcPr>
            <w:tcW w:w="69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149"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8 ml</w:t>
            </w:r>
          </w:p>
        </w:tc>
        <w:tc>
          <w:tcPr>
            <w:tcW w:w="79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144"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10 ml</w:t>
            </w:r>
          </w:p>
        </w:tc>
        <w:tc>
          <w:tcPr>
            <w:tcW w:w="81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154"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10 ml</w:t>
            </w:r>
          </w:p>
        </w:tc>
        <w:tc>
          <w:tcPr>
            <w:tcW w:w="81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309" w:right="286"/>
              <w:jc w:val="center"/>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1</w:t>
            </w:r>
          </w:p>
        </w:tc>
        <w:tc>
          <w:tcPr>
            <w:tcW w:w="799"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59"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0.5</w:t>
            </w:r>
          </w:p>
        </w:tc>
        <w:tc>
          <w:tcPr>
            <w:tcW w:w="81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308" w:right="285"/>
              <w:jc w:val="center"/>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1</w:t>
            </w:r>
          </w:p>
        </w:tc>
        <w:tc>
          <w:tcPr>
            <w:tcW w:w="8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69"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0.5</w:t>
            </w:r>
          </w:p>
        </w:tc>
      </w:tr>
      <w:tr w:rsidR="00FF2CD0" w:rsidRPr="00C203F3" w:rsidTr="00FF2CD0">
        <w:trPr>
          <w:trHeight w:hRule="exact" w:val="562"/>
        </w:trPr>
        <w:tc>
          <w:tcPr>
            <w:tcW w:w="648"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47"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16"/>
                <w:sz w:val="24"/>
                <w:szCs w:val="24"/>
              </w:rPr>
              <w:t>Dd</w:t>
            </w:r>
            <w:r w:rsidRPr="00C203F3">
              <w:rPr>
                <w:rFonts w:ascii="Arial Narrow" w:eastAsia="Times New Roman" w:hAnsi="Arial Narrow" w:cs="Times New Roman"/>
                <w:color w:val="231F20"/>
                <w:sz w:val="24"/>
                <w:szCs w:val="24"/>
              </w:rPr>
              <w:t>l</w:t>
            </w:r>
          </w:p>
        </w:tc>
        <w:tc>
          <w:tcPr>
            <w:tcW w:w="139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14" w:right="194"/>
              <w:jc w:val="center"/>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10 mg/ml;</w:t>
            </w:r>
          </w:p>
          <w:p w:rsidR="00FF2CD0" w:rsidRPr="00C203F3" w:rsidRDefault="00FF2CD0" w:rsidP="00FF2CD0">
            <w:pPr>
              <w:spacing w:before="12" w:after="0" w:line="240" w:lineRule="auto"/>
              <w:ind w:left="332" w:right="312"/>
              <w:jc w:val="center"/>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200 mg</w:t>
            </w:r>
          </w:p>
        </w:tc>
        <w:tc>
          <w:tcPr>
            <w:tcW w:w="99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4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 xml:space="preserve">3 ml </w:t>
            </w:r>
            <w:r w:rsidRPr="00C203F3">
              <w:rPr>
                <w:rFonts w:ascii="Arial Narrow" w:eastAsia="Times New Roman" w:hAnsi="Arial Narrow" w:cs="Times New Roman"/>
                <w:color w:val="231F20"/>
                <w:w w:val="102"/>
                <w:position w:val="7"/>
                <w:sz w:val="24"/>
                <w:szCs w:val="24"/>
              </w:rPr>
              <w:t>a</w:t>
            </w:r>
          </w:p>
        </w:tc>
        <w:tc>
          <w:tcPr>
            <w:tcW w:w="99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43"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 xml:space="preserve">3 ml </w:t>
            </w:r>
            <w:r w:rsidRPr="00C203F3">
              <w:rPr>
                <w:rFonts w:ascii="Arial Narrow" w:eastAsia="Times New Roman" w:hAnsi="Arial Narrow" w:cs="Times New Roman"/>
                <w:color w:val="231F20"/>
                <w:w w:val="102"/>
                <w:position w:val="7"/>
                <w:sz w:val="24"/>
                <w:szCs w:val="24"/>
              </w:rPr>
              <w:t>a</w:t>
            </w:r>
          </w:p>
        </w:tc>
        <w:tc>
          <w:tcPr>
            <w:tcW w:w="69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147"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5 ml</w:t>
            </w:r>
          </w:p>
        </w:tc>
        <w:tc>
          <w:tcPr>
            <w:tcW w:w="69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147"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5 ml</w:t>
            </w:r>
          </w:p>
        </w:tc>
        <w:tc>
          <w:tcPr>
            <w:tcW w:w="79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196"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6 ml</w:t>
            </w:r>
          </w:p>
        </w:tc>
        <w:tc>
          <w:tcPr>
            <w:tcW w:w="81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06"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6 ml</w:t>
            </w:r>
          </w:p>
        </w:tc>
        <w:tc>
          <w:tcPr>
            <w:tcW w:w="81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308" w:right="288"/>
              <w:jc w:val="center"/>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4</w:t>
            </w:r>
          </w:p>
        </w:tc>
        <w:tc>
          <w:tcPr>
            <w:tcW w:w="799"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301" w:right="28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3</w:t>
            </w:r>
          </w:p>
        </w:tc>
        <w:tc>
          <w:tcPr>
            <w:tcW w:w="81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306" w:right="286"/>
              <w:jc w:val="center"/>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4</w:t>
            </w:r>
          </w:p>
        </w:tc>
        <w:tc>
          <w:tcPr>
            <w:tcW w:w="8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311" w:right="291"/>
              <w:jc w:val="center"/>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4</w:t>
            </w:r>
          </w:p>
        </w:tc>
      </w:tr>
      <w:tr w:rsidR="00FF2CD0" w:rsidRPr="00C203F3" w:rsidTr="00FF2CD0">
        <w:trPr>
          <w:trHeight w:hRule="exact" w:val="337"/>
        </w:trPr>
        <w:tc>
          <w:tcPr>
            <w:tcW w:w="648"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47"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4"/>
                <w:sz w:val="24"/>
                <w:szCs w:val="24"/>
              </w:rPr>
              <w:t>LPV/</w:t>
            </w:r>
            <w:r w:rsidRPr="00C203F3">
              <w:rPr>
                <w:rFonts w:ascii="Arial Narrow" w:eastAsia="Times New Roman" w:hAnsi="Arial Narrow" w:cs="Times New Roman"/>
                <w:color w:val="231F20"/>
                <w:sz w:val="24"/>
                <w:szCs w:val="24"/>
              </w:rPr>
              <w:t>r</w:t>
            </w:r>
          </w:p>
        </w:tc>
        <w:tc>
          <w:tcPr>
            <w:tcW w:w="139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144"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80/20 mg/ml</w:t>
            </w:r>
          </w:p>
        </w:tc>
        <w:tc>
          <w:tcPr>
            <w:tcW w:w="99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54"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1</w:t>
            </w:r>
            <w:r w:rsidRPr="00C203F3">
              <w:rPr>
                <w:rFonts w:ascii="Arial Narrow" w:eastAsia="Times New Roman" w:hAnsi="Arial Narrow" w:cs="Times New Roman"/>
                <w:color w:val="231F20"/>
                <w:spacing w:val="-15"/>
                <w:sz w:val="24"/>
                <w:szCs w:val="24"/>
              </w:rPr>
              <w:t>o</w:t>
            </w:r>
            <w:r w:rsidRPr="00C203F3">
              <w:rPr>
                <w:rFonts w:ascii="Arial Narrow" w:eastAsia="Times New Roman" w:hAnsi="Arial Narrow" w:cs="Times New Roman"/>
                <w:color w:val="231F20"/>
                <w:sz w:val="24"/>
                <w:szCs w:val="24"/>
              </w:rPr>
              <w:t>r</w:t>
            </w:r>
            <w:r w:rsidRPr="00C203F3">
              <w:rPr>
                <w:rFonts w:ascii="Arial Narrow" w:eastAsia="Times New Roman" w:hAnsi="Arial Narrow" w:cs="Times New Roman"/>
                <w:color w:val="231F20"/>
                <w:spacing w:val="-15"/>
                <w:sz w:val="24"/>
                <w:szCs w:val="24"/>
              </w:rPr>
              <w:t>1.</w:t>
            </w:r>
            <w:r w:rsidRPr="00C203F3">
              <w:rPr>
                <w:rFonts w:ascii="Arial Narrow" w:eastAsia="Times New Roman" w:hAnsi="Arial Narrow" w:cs="Times New Roman"/>
                <w:color w:val="231F20"/>
                <w:sz w:val="24"/>
                <w:szCs w:val="24"/>
              </w:rPr>
              <w:t>5</w:t>
            </w:r>
            <w:r w:rsidRPr="00C203F3">
              <w:rPr>
                <w:rFonts w:ascii="Arial Narrow" w:eastAsia="Times New Roman" w:hAnsi="Arial Narrow" w:cs="Times New Roman"/>
                <w:color w:val="231F20"/>
                <w:spacing w:val="-15"/>
                <w:sz w:val="24"/>
                <w:szCs w:val="24"/>
              </w:rPr>
              <w:t>m</w:t>
            </w:r>
            <w:r w:rsidRPr="00C203F3">
              <w:rPr>
                <w:rFonts w:ascii="Arial Narrow" w:eastAsia="Times New Roman" w:hAnsi="Arial Narrow" w:cs="Times New Roman"/>
                <w:color w:val="231F20"/>
                <w:sz w:val="24"/>
                <w:szCs w:val="24"/>
              </w:rPr>
              <w:t>l</w:t>
            </w:r>
            <w:r w:rsidRPr="00C203F3">
              <w:rPr>
                <w:rFonts w:ascii="Arial Narrow" w:eastAsia="Times New Roman" w:hAnsi="Arial Narrow" w:cs="Times New Roman"/>
                <w:color w:val="231F20"/>
                <w:w w:val="102"/>
                <w:position w:val="7"/>
                <w:sz w:val="24"/>
                <w:szCs w:val="24"/>
              </w:rPr>
              <w:t>b</w:t>
            </w:r>
          </w:p>
        </w:tc>
        <w:tc>
          <w:tcPr>
            <w:tcW w:w="995"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55"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1</w:t>
            </w:r>
            <w:r w:rsidRPr="00C203F3">
              <w:rPr>
                <w:rFonts w:ascii="Arial Narrow" w:eastAsia="Times New Roman" w:hAnsi="Arial Narrow" w:cs="Times New Roman"/>
                <w:color w:val="231F20"/>
                <w:spacing w:val="-15"/>
                <w:sz w:val="24"/>
                <w:szCs w:val="24"/>
              </w:rPr>
              <w:t>o</w:t>
            </w:r>
            <w:r w:rsidRPr="00C203F3">
              <w:rPr>
                <w:rFonts w:ascii="Arial Narrow" w:eastAsia="Times New Roman" w:hAnsi="Arial Narrow" w:cs="Times New Roman"/>
                <w:color w:val="231F20"/>
                <w:sz w:val="24"/>
                <w:szCs w:val="24"/>
              </w:rPr>
              <w:t>r</w:t>
            </w:r>
            <w:r w:rsidRPr="00C203F3">
              <w:rPr>
                <w:rFonts w:ascii="Arial Narrow" w:eastAsia="Times New Roman" w:hAnsi="Arial Narrow" w:cs="Times New Roman"/>
                <w:color w:val="231F20"/>
                <w:spacing w:val="-15"/>
                <w:sz w:val="24"/>
                <w:szCs w:val="24"/>
              </w:rPr>
              <w:t>1.</w:t>
            </w:r>
            <w:r w:rsidRPr="00C203F3">
              <w:rPr>
                <w:rFonts w:ascii="Arial Narrow" w:eastAsia="Times New Roman" w:hAnsi="Arial Narrow" w:cs="Times New Roman"/>
                <w:color w:val="231F20"/>
                <w:sz w:val="24"/>
                <w:szCs w:val="24"/>
              </w:rPr>
              <w:t>5</w:t>
            </w:r>
            <w:r w:rsidRPr="00C203F3">
              <w:rPr>
                <w:rFonts w:ascii="Arial Narrow" w:eastAsia="Times New Roman" w:hAnsi="Arial Narrow" w:cs="Times New Roman"/>
                <w:color w:val="231F20"/>
                <w:spacing w:val="-15"/>
                <w:sz w:val="24"/>
                <w:szCs w:val="24"/>
              </w:rPr>
              <w:t>m</w:t>
            </w:r>
            <w:r w:rsidRPr="00C203F3">
              <w:rPr>
                <w:rFonts w:ascii="Arial Narrow" w:eastAsia="Times New Roman" w:hAnsi="Arial Narrow" w:cs="Times New Roman"/>
                <w:color w:val="231F20"/>
                <w:sz w:val="24"/>
                <w:szCs w:val="24"/>
              </w:rPr>
              <w:t>l</w:t>
            </w:r>
            <w:r w:rsidRPr="00C203F3">
              <w:rPr>
                <w:rFonts w:ascii="Arial Narrow" w:eastAsia="Times New Roman" w:hAnsi="Arial Narrow" w:cs="Times New Roman"/>
                <w:color w:val="231F20"/>
                <w:w w:val="102"/>
                <w:position w:val="7"/>
                <w:sz w:val="24"/>
                <w:szCs w:val="24"/>
              </w:rPr>
              <w:t>b</w:t>
            </w:r>
          </w:p>
        </w:tc>
        <w:tc>
          <w:tcPr>
            <w:tcW w:w="69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6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1.5 ml</w:t>
            </w:r>
          </w:p>
        </w:tc>
        <w:tc>
          <w:tcPr>
            <w:tcW w:w="696"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68"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1.5 ml</w:t>
            </w:r>
          </w:p>
        </w:tc>
        <w:tc>
          <w:tcPr>
            <w:tcW w:w="79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196"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2 ml</w:t>
            </w:r>
          </w:p>
        </w:tc>
        <w:tc>
          <w:tcPr>
            <w:tcW w:w="81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06"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2 ml</w:t>
            </w:r>
          </w:p>
        </w:tc>
        <w:tc>
          <w:tcPr>
            <w:tcW w:w="813"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126"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2.5 ml</w:t>
            </w:r>
          </w:p>
        </w:tc>
        <w:tc>
          <w:tcPr>
            <w:tcW w:w="799"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119"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2.5 ml</w:t>
            </w:r>
          </w:p>
        </w:tc>
        <w:tc>
          <w:tcPr>
            <w:tcW w:w="81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04"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3 ml</w:t>
            </w:r>
          </w:p>
        </w:tc>
        <w:tc>
          <w:tcPr>
            <w:tcW w:w="820" w:type="dxa"/>
            <w:tcBorders>
              <w:top w:val="single" w:sz="8" w:space="0" w:color="231F20"/>
              <w:left w:val="single" w:sz="8" w:space="0" w:color="231F20"/>
              <w:bottom w:val="single" w:sz="8" w:space="0" w:color="231F20"/>
              <w:right w:val="single" w:sz="8" w:space="0" w:color="231F20"/>
            </w:tcBorders>
            <w:shd w:val="clear" w:color="auto" w:fill="E4F5FD"/>
          </w:tcPr>
          <w:p w:rsidR="00FF2CD0" w:rsidRPr="00C203F3" w:rsidRDefault="00FF2CD0" w:rsidP="00FF2CD0">
            <w:pPr>
              <w:spacing w:before="16" w:after="0" w:line="240" w:lineRule="auto"/>
              <w:ind w:left="209"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3 ml</w:t>
            </w:r>
          </w:p>
        </w:tc>
      </w:tr>
    </w:tbl>
    <w:p w:rsidR="00FF2CD0" w:rsidRPr="00C203F3" w:rsidRDefault="00FF2CD0" w:rsidP="00FF2CD0">
      <w:pPr>
        <w:spacing w:before="99" w:after="0" w:line="240" w:lineRule="auto"/>
        <w:ind w:left="103" w:right="-20"/>
        <w:rPr>
          <w:rFonts w:ascii="Arial Narrow" w:eastAsia="Times New Roman" w:hAnsi="Arial Narrow" w:cs="Times New Roman"/>
          <w:sz w:val="24"/>
          <w:szCs w:val="24"/>
        </w:rPr>
      </w:pPr>
      <w:r w:rsidRPr="00C203F3">
        <w:rPr>
          <w:rFonts w:ascii="Arial Narrow" w:eastAsia="Times New Roman" w:hAnsi="Arial Narrow" w:cs="Times New Roman"/>
          <w:color w:val="231F20"/>
          <w:position w:val="2"/>
          <w:sz w:val="24"/>
          <w:szCs w:val="24"/>
        </w:rPr>
        <w:t>a</w:t>
      </w:r>
      <w:r w:rsidRPr="00C203F3">
        <w:rPr>
          <w:rFonts w:ascii="Arial Narrow" w:eastAsia="Times New Roman" w:hAnsi="Arial Narrow" w:cs="Times New Roman"/>
          <w:color w:val="231F20"/>
          <w:sz w:val="24"/>
          <w:szCs w:val="24"/>
        </w:rPr>
        <w:t>This dose of ddl is only appropriate for children 3 months of age or older and weighing between 5kg and 5.9kg</w:t>
      </w:r>
    </w:p>
    <w:p w:rsidR="00FF2CD0" w:rsidRDefault="00FF2CD0" w:rsidP="00FF2CD0">
      <w:pPr>
        <w:spacing w:before="39" w:after="0" w:line="319" w:lineRule="auto"/>
        <w:ind w:left="288" w:right="403" w:hanging="184"/>
        <w:rPr>
          <w:rFonts w:ascii="Arial Narrow" w:eastAsia="Times New Roman" w:hAnsi="Arial Narrow" w:cs="Times New Roman"/>
          <w:color w:val="231F20"/>
          <w:sz w:val="24"/>
          <w:szCs w:val="24"/>
        </w:rPr>
      </w:pPr>
      <w:r w:rsidRPr="00C203F3">
        <w:rPr>
          <w:rFonts w:ascii="Arial Narrow" w:eastAsia="Times New Roman" w:hAnsi="Arial Narrow" w:cs="Times New Roman"/>
          <w:color w:val="231F20"/>
          <w:position w:val="4"/>
          <w:sz w:val="24"/>
          <w:szCs w:val="24"/>
        </w:rPr>
        <w:t xml:space="preserve">b   </w:t>
      </w:r>
      <w:r w:rsidRPr="00C203F3">
        <w:rPr>
          <w:rFonts w:ascii="Arial Narrow" w:eastAsia="Times New Roman" w:hAnsi="Arial Narrow" w:cs="Times New Roman"/>
          <w:color w:val="231F20"/>
          <w:sz w:val="24"/>
          <w:szCs w:val="24"/>
        </w:rPr>
        <w:t>LPV/r liquid for 3-3.9 kg, use 1 ml a.m and 1 ml p.m; for 4-5.59 kg use 1.5 ml p.m. In addition, higher doses of LPV/r may be required when co-administered with enzymes- inducing drugs such as NVP, EFV, FPV or rifampicin</w:t>
      </w:r>
      <w:r>
        <w:rPr>
          <w:rFonts w:ascii="Arial Narrow" w:eastAsia="Times New Roman" w:hAnsi="Arial Narrow" w:cs="Times New Roman"/>
          <w:color w:val="231F20"/>
          <w:sz w:val="24"/>
          <w:szCs w:val="24"/>
        </w:rPr>
        <w:t>.</w:t>
      </w:r>
    </w:p>
    <w:p w:rsidR="00FF2CD0" w:rsidRDefault="00FF2CD0" w:rsidP="00FF2CD0">
      <w:pPr>
        <w:spacing w:after="0"/>
        <w:rPr>
          <w:rFonts w:ascii="Arial Narrow" w:hAnsi="Arial Narrow"/>
          <w:sz w:val="24"/>
          <w:szCs w:val="24"/>
        </w:rPr>
      </w:pPr>
    </w:p>
    <w:p w:rsidR="00FF2CD0" w:rsidRPr="00C203F3" w:rsidRDefault="00FF2CD0" w:rsidP="00FF2CD0">
      <w:pPr>
        <w:spacing w:after="0"/>
        <w:rPr>
          <w:rFonts w:ascii="Arial Narrow" w:hAnsi="Arial Narrow"/>
          <w:sz w:val="24"/>
          <w:szCs w:val="24"/>
        </w:rPr>
        <w:sectPr w:rsidR="00FF2CD0" w:rsidRPr="00C203F3">
          <w:headerReference w:type="default" r:id="rId24"/>
          <w:pgSz w:w="12760" w:h="9240" w:orient="landscape"/>
          <w:pgMar w:top="820" w:right="1040" w:bottom="280" w:left="1200" w:header="0" w:footer="0" w:gutter="0"/>
          <w:cols w:space="720"/>
        </w:sectPr>
      </w:pPr>
    </w:p>
    <w:tbl>
      <w:tblPr>
        <w:tblStyle w:val="TableGrid"/>
        <w:tblpPr w:leftFromText="180" w:rightFromText="180" w:vertAnchor="text" w:horzAnchor="margin" w:tblpY="-119"/>
        <w:tblW w:w="9828" w:type="dxa"/>
        <w:tblLook w:val="04A0" w:firstRow="1" w:lastRow="0" w:firstColumn="1" w:lastColumn="0" w:noHBand="0" w:noVBand="1"/>
      </w:tblPr>
      <w:tblGrid>
        <w:gridCol w:w="1062"/>
        <w:gridCol w:w="1382"/>
        <w:gridCol w:w="744"/>
        <w:gridCol w:w="875"/>
        <w:gridCol w:w="899"/>
        <w:gridCol w:w="351"/>
        <w:gridCol w:w="1063"/>
        <w:gridCol w:w="1075"/>
        <w:gridCol w:w="1207"/>
        <w:gridCol w:w="1170"/>
      </w:tblGrid>
      <w:tr w:rsidR="00FF2CD0" w:rsidTr="00FF2CD0">
        <w:tc>
          <w:tcPr>
            <w:tcW w:w="1062" w:type="dxa"/>
            <w:vMerge w:val="restart"/>
            <w:shd w:val="clear" w:color="auto" w:fill="D9D9D9" w:themeFill="background1" w:themeFillShade="D9"/>
          </w:tcPr>
          <w:p w:rsidR="00FF2CD0" w:rsidRPr="005E4E75" w:rsidRDefault="00FF2CD0" w:rsidP="00FF2CD0">
            <w:pPr>
              <w:jc w:val="center"/>
              <w:rPr>
                <w:b/>
              </w:rPr>
            </w:pPr>
            <w:r w:rsidRPr="005E4E75">
              <w:rPr>
                <w:b/>
              </w:rPr>
              <w:t>Drug</w:t>
            </w:r>
          </w:p>
        </w:tc>
        <w:tc>
          <w:tcPr>
            <w:tcW w:w="1382" w:type="dxa"/>
            <w:vMerge w:val="restart"/>
            <w:shd w:val="clear" w:color="auto" w:fill="D9D9D9" w:themeFill="background1" w:themeFillShade="D9"/>
          </w:tcPr>
          <w:p w:rsidR="00FF2CD0" w:rsidRPr="005E4E75" w:rsidRDefault="00FF2CD0" w:rsidP="00FF2CD0">
            <w:pPr>
              <w:jc w:val="center"/>
              <w:rPr>
                <w:b/>
              </w:rPr>
            </w:pPr>
            <w:r w:rsidRPr="005E4E75">
              <w:rPr>
                <w:b/>
              </w:rPr>
              <w:t>Strength</w:t>
            </w:r>
          </w:p>
        </w:tc>
        <w:tc>
          <w:tcPr>
            <w:tcW w:w="5007" w:type="dxa"/>
            <w:gridSpan w:val="6"/>
            <w:shd w:val="clear" w:color="auto" w:fill="D9D9D9" w:themeFill="background1" w:themeFillShade="D9"/>
          </w:tcPr>
          <w:p w:rsidR="00FF2CD0" w:rsidRPr="005E4E75" w:rsidRDefault="00FF2CD0" w:rsidP="00FF2CD0">
            <w:pPr>
              <w:jc w:val="center"/>
              <w:rPr>
                <w:b/>
              </w:rPr>
            </w:pPr>
            <w:r w:rsidRPr="005E4E75">
              <w:rPr>
                <w:rFonts w:ascii="Arial Narrow" w:eastAsia="Times New Roman" w:hAnsi="Arial Narrow" w:cs="Times New Roman"/>
                <w:b/>
                <w:sz w:val="24"/>
                <w:szCs w:val="24"/>
              </w:rPr>
              <w:t xml:space="preserve">Number of tablets or capsules by </w:t>
            </w:r>
            <w:r w:rsidRPr="005E4E75">
              <w:rPr>
                <w:rFonts w:ascii="Arial Narrow" w:eastAsia="Times New Roman" w:hAnsi="Arial Narrow" w:cs="Times New Roman"/>
                <w:b/>
                <w:w w:val="108"/>
                <w:sz w:val="24"/>
                <w:szCs w:val="24"/>
              </w:rPr>
              <w:t xml:space="preserve">weight-band </w:t>
            </w:r>
            <w:r w:rsidRPr="005E4E75">
              <w:rPr>
                <w:rFonts w:ascii="Arial Narrow" w:eastAsia="Times New Roman" w:hAnsi="Arial Narrow" w:cs="Times New Roman"/>
                <w:b/>
                <w:sz w:val="24"/>
                <w:szCs w:val="24"/>
              </w:rPr>
              <w:t>once daily</w:t>
            </w:r>
          </w:p>
        </w:tc>
        <w:tc>
          <w:tcPr>
            <w:tcW w:w="1207" w:type="dxa"/>
            <w:vMerge w:val="restart"/>
            <w:shd w:val="clear" w:color="auto" w:fill="D9D9D9" w:themeFill="background1" w:themeFillShade="D9"/>
          </w:tcPr>
          <w:p w:rsidR="00FF2CD0" w:rsidRPr="005E4E75" w:rsidRDefault="00FF2CD0" w:rsidP="00FF2CD0">
            <w:pPr>
              <w:jc w:val="center"/>
              <w:rPr>
                <w:sz w:val="20"/>
                <w:szCs w:val="20"/>
              </w:rPr>
            </w:pPr>
            <w:r w:rsidRPr="005E4E75">
              <w:rPr>
                <w:rFonts w:ascii="Arial Narrow" w:eastAsia="Times New Roman" w:hAnsi="Arial Narrow" w:cs="Times New Roman"/>
                <w:sz w:val="20"/>
                <w:szCs w:val="20"/>
              </w:rPr>
              <w:t>Strength of tab.cap (mg)</w:t>
            </w:r>
          </w:p>
        </w:tc>
        <w:tc>
          <w:tcPr>
            <w:tcW w:w="1170" w:type="dxa"/>
            <w:shd w:val="clear" w:color="auto" w:fill="D9D9D9" w:themeFill="background1" w:themeFillShade="D9"/>
          </w:tcPr>
          <w:p w:rsidR="00FF2CD0" w:rsidRPr="005E4E75" w:rsidRDefault="00FF2CD0" w:rsidP="00FF2CD0">
            <w:pPr>
              <w:jc w:val="center"/>
              <w:rPr>
                <w:sz w:val="20"/>
                <w:szCs w:val="20"/>
              </w:rPr>
            </w:pPr>
            <w:r w:rsidRPr="005E4E75">
              <w:rPr>
                <w:sz w:val="20"/>
                <w:szCs w:val="20"/>
              </w:rPr>
              <w:t>Number of tab/cap by wt band once daily</w:t>
            </w:r>
          </w:p>
        </w:tc>
      </w:tr>
      <w:tr w:rsidR="00FF2CD0" w:rsidTr="00FF2CD0">
        <w:tc>
          <w:tcPr>
            <w:tcW w:w="1062" w:type="dxa"/>
            <w:vMerge/>
            <w:shd w:val="clear" w:color="auto" w:fill="D9D9D9" w:themeFill="background1" w:themeFillShade="D9"/>
          </w:tcPr>
          <w:p w:rsidR="00FF2CD0" w:rsidRDefault="00FF2CD0" w:rsidP="00FF2CD0"/>
        </w:tc>
        <w:tc>
          <w:tcPr>
            <w:tcW w:w="1382" w:type="dxa"/>
            <w:vMerge/>
            <w:shd w:val="clear" w:color="auto" w:fill="D9D9D9" w:themeFill="background1" w:themeFillShade="D9"/>
          </w:tcPr>
          <w:p w:rsidR="00FF2CD0" w:rsidRDefault="00FF2CD0" w:rsidP="00FF2CD0"/>
        </w:tc>
        <w:tc>
          <w:tcPr>
            <w:tcW w:w="744" w:type="dxa"/>
            <w:shd w:val="clear" w:color="auto" w:fill="D9D9D9" w:themeFill="background1" w:themeFillShade="D9"/>
          </w:tcPr>
          <w:p w:rsidR="00FF2CD0" w:rsidRDefault="00FF2CD0" w:rsidP="00FF2CD0">
            <w:pPr>
              <w:jc w:val="center"/>
            </w:pPr>
            <w:r w:rsidRPr="00104307">
              <w:rPr>
                <w:rFonts w:ascii="Times New Roman" w:eastAsia="Times New Roman" w:hAnsi="Times New Roman" w:cs="Times New Roman"/>
                <w:sz w:val="21"/>
                <w:szCs w:val="21"/>
              </w:rPr>
              <w:t>3-5.9</w:t>
            </w:r>
            <w:r w:rsidRPr="00104307">
              <w:rPr>
                <w:rFonts w:ascii="Times New Roman" w:eastAsia="Times New Roman" w:hAnsi="Times New Roman" w:cs="Times New Roman"/>
                <w:w w:val="108"/>
                <w:sz w:val="21"/>
                <w:szCs w:val="21"/>
              </w:rPr>
              <w:t>kg</w:t>
            </w:r>
          </w:p>
        </w:tc>
        <w:tc>
          <w:tcPr>
            <w:tcW w:w="875" w:type="dxa"/>
            <w:shd w:val="clear" w:color="auto" w:fill="D9D9D9" w:themeFill="background1" w:themeFillShade="D9"/>
          </w:tcPr>
          <w:p w:rsidR="00FF2CD0" w:rsidRDefault="00FF2CD0" w:rsidP="00FF2CD0">
            <w:pPr>
              <w:jc w:val="center"/>
            </w:pPr>
            <w:r w:rsidRPr="00104307">
              <w:rPr>
                <w:rFonts w:ascii="Times New Roman" w:eastAsia="Times New Roman" w:hAnsi="Times New Roman" w:cs="Times New Roman"/>
                <w:sz w:val="21"/>
                <w:szCs w:val="21"/>
              </w:rPr>
              <w:t>6-9.9</w:t>
            </w:r>
            <w:r w:rsidRPr="00104307">
              <w:rPr>
                <w:rFonts w:ascii="Times New Roman" w:eastAsia="Times New Roman" w:hAnsi="Times New Roman" w:cs="Times New Roman"/>
                <w:w w:val="108"/>
                <w:sz w:val="21"/>
                <w:szCs w:val="21"/>
              </w:rPr>
              <w:t>kg</w:t>
            </w:r>
          </w:p>
        </w:tc>
        <w:tc>
          <w:tcPr>
            <w:tcW w:w="1250" w:type="dxa"/>
            <w:gridSpan w:val="2"/>
            <w:shd w:val="clear" w:color="auto" w:fill="D9D9D9" w:themeFill="background1" w:themeFillShade="D9"/>
          </w:tcPr>
          <w:p w:rsidR="00FF2CD0" w:rsidRDefault="00FF2CD0" w:rsidP="00FF2CD0">
            <w:pPr>
              <w:jc w:val="center"/>
            </w:pPr>
            <w:r w:rsidRPr="00104307">
              <w:rPr>
                <w:rFonts w:ascii="Times New Roman" w:eastAsia="Times New Roman" w:hAnsi="Times New Roman" w:cs="Times New Roman"/>
                <w:w w:val="102"/>
                <w:sz w:val="21"/>
                <w:szCs w:val="21"/>
              </w:rPr>
              <w:t>10-13.9</w:t>
            </w:r>
          </w:p>
        </w:tc>
        <w:tc>
          <w:tcPr>
            <w:tcW w:w="1063" w:type="dxa"/>
            <w:shd w:val="clear" w:color="auto" w:fill="D9D9D9" w:themeFill="background1" w:themeFillShade="D9"/>
          </w:tcPr>
          <w:p w:rsidR="00FF2CD0" w:rsidRDefault="00FF2CD0" w:rsidP="00FF2CD0">
            <w:pPr>
              <w:jc w:val="center"/>
            </w:pPr>
            <w:r w:rsidRPr="00104307">
              <w:rPr>
                <w:rFonts w:ascii="Times New Roman" w:eastAsia="Times New Roman" w:hAnsi="Times New Roman" w:cs="Times New Roman"/>
                <w:w w:val="102"/>
                <w:sz w:val="21"/>
                <w:szCs w:val="21"/>
              </w:rPr>
              <w:t>14-19.9</w:t>
            </w:r>
          </w:p>
        </w:tc>
        <w:tc>
          <w:tcPr>
            <w:tcW w:w="1075" w:type="dxa"/>
            <w:shd w:val="clear" w:color="auto" w:fill="D9D9D9" w:themeFill="background1" w:themeFillShade="D9"/>
          </w:tcPr>
          <w:p w:rsidR="00FF2CD0" w:rsidRDefault="00FF2CD0" w:rsidP="00FF2CD0">
            <w:pPr>
              <w:jc w:val="center"/>
            </w:pPr>
            <w:r w:rsidRPr="00104307">
              <w:rPr>
                <w:rFonts w:ascii="Times New Roman" w:eastAsia="Times New Roman" w:hAnsi="Times New Roman" w:cs="Times New Roman"/>
                <w:w w:val="102"/>
                <w:sz w:val="21"/>
                <w:szCs w:val="21"/>
              </w:rPr>
              <w:t>20-24.9</w:t>
            </w:r>
          </w:p>
        </w:tc>
        <w:tc>
          <w:tcPr>
            <w:tcW w:w="1207" w:type="dxa"/>
            <w:vMerge/>
            <w:shd w:val="clear" w:color="auto" w:fill="D9D9D9" w:themeFill="background1" w:themeFillShade="D9"/>
          </w:tcPr>
          <w:p w:rsidR="00FF2CD0" w:rsidRDefault="00FF2CD0" w:rsidP="00FF2CD0"/>
        </w:tc>
        <w:tc>
          <w:tcPr>
            <w:tcW w:w="1170" w:type="dxa"/>
            <w:shd w:val="clear" w:color="auto" w:fill="D9D9D9" w:themeFill="background1" w:themeFillShade="D9"/>
          </w:tcPr>
          <w:p w:rsidR="00FF2CD0" w:rsidRDefault="00FF2CD0" w:rsidP="00FF2CD0">
            <w:pPr>
              <w:jc w:val="center"/>
            </w:pPr>
            <w:r>
              <w:t>24-34.9</w:t>
            </w:r>
          </w:p>
        </w:tc>
      </w:tr>
      <w:tr w:rsidR="00FF2CD0" w:rsidTr="00FF2CD0">
        <w:tc>
          <w:tcPr>
            <w:tcW w:w="1062" w:type="dxa"/>
            <w:vMerge/>
            <w:shd w:val="clear" w:color="auto" w:fill="D9D9D9" w:themeFill="background1" w:themeFillShade="D9"/>
          </w:tcPr>
          <w:p w:rsidR="00FF2CD0" w:rsidRDefault="00FF2CD0" w:rsidP="00FF2CD0"/>
        </w:tc>
        <w:tc>
          <w:tcPr>
            <w:tcW w:w="1382" w:type="dxa"/>
            <w:vMerge/>
            <w:shd w:val="clear" w:color="auto" w:fill="D9D9D9" w:themeFill="background1" w:themeFillShade="D9"/>
          </w:tcPr>
          <w:p w:rsidR="00FF2CD0" w:rsidRDefault="00FF2CD0" w:rsidP="00FF2CD0"/>
        </w:tc>
        <w:tc>
          <w:tcPr>
            <w:tcW w:w="744" w:type="dxa"/>
            <w:shd w:val="clear" w:color="auto" w:fill="D9D9D9" w:themeFill="background1" w:themeFillShade="D9"/>
          </w:tcPr>
          <w:p w:rsidR="00FF2CD0" w:rsidRDefault="00FF2CD0" w:rsidP="00FF2CD0">
            <w:pPr>
              <w:jc w:val="center"/>
            </w:pPr>
            <w:r w:rsidRPr="00847BAB">
              <w:rPr>
                <w:rFonts w:ascii="Times New Roman" w:eastAsia="Times New Roman" w:hAnsi="Times New Roman" w:cs="Times New Roman"/>
                <w:sz w:val="21"/>
                <w:szCs w:val="21"/>
              </w:rPr>
              <w:t xml:space="preserve">Once </w:t>
            </w:r>
            <w:r w:rsidRPr="00847BAB">
              <w:rPr>
                <w:rFonts w:ascii="Times New Roman" w:eastAsia="Times New Roman" w:hAnsi="Times New Roman" w:cs="Times New Roman"/>
                <w:w w:val="108"/>
                <w:sz w:val="21"/>
                <w:szCs w:val="21"/>
              </w:rPr>
              <w:t>daily</w:t>
            </w:r>
          </w:p>
        </w:tc>
        <w:tc>
          <w:tcPr>
            <w:tcW w:w="875" w:type="dxa"/>
            <w:shd w:val="clear" w:color="auto" w:fill="D9D9D9" w:themeFill="background1" w:themeFillShade="D9"/>
          </w:tcPr>
          <w:p w:rsidR="00FF2CD0" w:rsidRDefault="00FF2CD0" w:rsidP="00FF2CD0">
            <w:pPr>
              <w:jc w:val="center"/>
            </w:pPr>
            <w:r w:rsidRPr="00847BAB">
              <w:rPr>
                <w:rFonts w:ascii="Times New Roman" w:eastAsia="Times New Roman" w:hAnsi="Times New Roman" w:cs="Times New Roman"/>
                <w:sz w:val="21"/>
                <w:szCs w:val="21"/>
              </w:rPr>
              <w:t xml:space="preserve">Once </w:t>
            </w:r>
            <w:r w:rsidRPr="00847BAB">
              <w:rPr>
                <w:rFonts w:ascii="Times New Roman" w:eastAsia="Times New Roman" w:hAnsi="Times New Roman" w:cs="Times New Roman"/>
                <w:w w:val="108"/>
                <w:sz w:val="21"/>
                <w:szCs w:val="21"/>
              </w:rPr>
              <w:t>daily</w:t>
            </w:r>
          </w:p>
        </w:tc>
        <w:tc>
          <w:tcPr>
            <w:tcW w:w="1250" w:type="dxa"/>
            <w:gridSpan w:val="2"/>
            <w:shd w:val="clear" w:color="auto" w:fill="D9D9D9" w:themeFill="background1" w:themeFillShade="D9"/>
          </w:tcPr>
          <w:p w:rsidR="00FF2CD0" w:rsidRDefault="00FF2CD0" w:rsidP="00FF2CD0">
            <w:pPr>
              <w:jc w:val="center"/>
            </w:pPr>
            <w:r w:rsidRPr="00847BAB">
              <w:rPr>
                <w:rFonts w:ascii="Times New Roman" w:eastAsia="Times New Roman" w:hAnsi="Times New Roman" w:cs="Times New Roman"/>
                <w:sz w:val="21"/>
                <w:szCs w:val="21"/>
              </w:rPr>
              <w:t xml:space="preserve">Once </w:t>
            </w:r>
            <w:r w:rsidRPr="00847BAB">
              <w:rPr>
                <w:rFonts w:ascii="Times New Roman" w:eastAsia="Times New Roman" w:hAnsi="Times New Roman" w:cs="Times New Roman"/>
                <w:w w:val="108"/>
                <w:sz w:val="21"/>
                <w:szCs w:val="21"/>
              </w:rPr>
              <w:t>daily</w:t>
            </w:r>
          </w:p>
        </w:tc>
        <w:tc>
          <w:tcPr>
            <w:tcW w:w="1063" w:type="dxa"/>
            <w:shd w:val="clear" w:color="auto" w:fill="D9D9D9" w:themeFill="background1" w:themeFillShade="D9"/>
          </w:tcPr>
          <w:p w:rsidR="00FF2CD0" w:rsidRDefault="00FF2CD0" w:rsidP="00FF2CD0">
            <w:pPr>
              <w:jc w:val="center"/>
            </w:pPr>
            <w:r w:rsidRPr="00847BAB">
              <w:rPr>
                <w:rFonts w:ascii="Times New Roman" w:eastAsia="Times New Roman" w:hAnsi="Times New Roman" w:cs="Times New Roman"/>
                <w:sz w:val="21"/>
                <w:szCs w:val="21"/>
              </w:rPr>
              <w:t xml:space="preserve">Once </w:t>
            </w:r>
            <w:r w:rsidRPr="00847BAB">
              <w:rPr>
                <w:rFonts w:ascii="Times New Roman" w:eastAsia="Times New Roman" w:hAnsi="Times New Roman" w:cs="Times New Roman"/>
                <w:w w:val="108"/>
                <w:sz w:val="21"/>
                <w:szCs w:val="21"/>
              </w:rPr>
              <w:t>daily</w:t>
            </w:r>
          </w:p>
        </w:tc>
        <w:tc>
          <w:tcPr>
            <w:tcW w:w="1075" w:type="dxa"/>
            <w:shd w:val="clear" w:color="auto" w:fill="D9D9D9" w:themeFill="background1" w:themeFillShade="D9"/>
          </w:tcPr>
          <w:p w:rsidR="00FF2CD0" w:rsidRDefault="00FF2CD0" w:rsidP="00FF2CD0">
            <w:pPr>
              <w:jc w:val="center"/>
            </w:pPr>
            <w:r w:rsidRPr="00847BAB">
              <w:rPr>
                <w:rFonts w:ascii="Times New Roman" w:eastAsia="Times New Roman" w:hAnsi="Times New Roman" w:cs="Times New Roman"/>
                <w:sz w:val="21"/>
                <w:szCs w:val="21"/>
              </w:rPr>
              <w:t xml:space="preserve">Once </w:t>
            </w:r>
            <w:r w:rsidRPr="00847BAB">
              <w:rPr>
                <w:rFonts w:ascii="Times New Roman" w:eastAsia="Times New Roman" w:hAnsi="Times New Roman" w:cs="Times New Roman"/>
                <w:w w:val="108"/>
                <w:sz w:val="21"/>
                <w:szCs w:val="21"/>
              </w:rPr>
              <w:t>daily</w:t>
            </w:r>
          </w:p>
        </w:tc>
        <w:tc>
          <w:tcPr>
            <w:tcW w:w="1207" w:type="dxa"/>
            <w:vMerge/>
            <w:shd w:val="clear" w:color="auto" w:fill="D9D9D9" w:themeFill="background1" w:themeFillShade="D9"/>
          </w:tcPr>
          <w:p w:rsidR="00FF2CD0" w:rsidRDefault="00FF2CD0" w:rsidP="00FF2CD0"/>
        </w:tc>
        <w:tc>
          <w:tcPr>
            <w:tcW w:w="1170" w:type="dxa"/>
            <w:shd w:val="clear" w:color="auto" w:fill="D9D9D9" w:themeFill="background1" w:themeFillShade="D9"/>
          </w:tcPr>
          <w:p w:rsidR="00FF2CD0" w:rsidRPr="005E4E75" w:rsidRDefault="00FF2CD0" w:rsidP="00FF2CD0">
            <w:pPr>
              <w:jc w:val="center"/>
              <w:rPr>
                <w:sz w:val="20"/>
                <w:szCs w:val="20"/>
              </w:rPr>
            </w:pPr>
            <w:r w:rsidRPr="005E4E75">
              <w:rPr>
                <w:sz w:val="20"/>
                <w:szCs w:val="20"/>
              </w:rPr>
              <w:t>Once daily</w:t>
            </w:r>
          </w:p>
        </w:tc>
      </w:tr>
      <w:tr w:rsidR="00FF2CD0" w:rsidTr="00FF2CD0">
        <w:tc>
          <w:tcPr>
            <w:tcW w:w="9828" w:type="dxa"/>
            <w:gridSpan w:val="10"/>
            <w:shd w:val="clear" w:color="auto" w:fill="C6D9F1" w:themeFill="text2" w:themeFillTint="33"/>
          </w:tcPr>
          <w:p w:rsidR="00FF2CD0" w:rsidRDefault="00FF2CD0" w:rsidP="00FF2CD0">
            <w:r>
              <w:t>SINGLE DRUGS</w:t>
            </w:r>
          </w:p>
        </w:tc>
      </w:tr>
      <w:tr w:rsidR="00FF2CD0" w:rsidTr="00FF2CD0">
        <w:tc>
          <w:tcPr>
            <w:tcW w:w="1062" w:type="dxa"/>
          </w:tcPr>
          <w:p w:rsidR="00FF2CD0" w:rsidRDefault="00FF2CD0" w:rsidP="00FF2CD0">
            <w:r w:rsidRPr="00C203F3">
              <w:rPr>
                <w:rFonts w:ascii="Arial Narrow" w:eastAsia="Times New Roman" w:hAnsi="Arial Narrow" w:cs="Times New Roman"/>
                <w:color w:val="231F20"/>
                <w:sz w:val="24"/>
                <w:szCs w:val="24"/>
              </w:rPr>
              <w:t>EFV</w:t>
            </w:r>
            <w:r w:rsidRPr="00C203F3">
              <w:rPr>
                <w:rFonts w:ascii="Arial Narrow" w:eastAsia="Times New Roman" w:hAnsi="Arial Narrow" w:cs="Times New Roman"/>
                <w:color w:val="231F20"/>
                <w:w w:val="104"/>
                <w:position w:val="7"/>
                <w:sz w:val="24"/>
                <w:szCs w:val="24"/>
              </w:rPr>
              <w:t>a</w:t>
            </w:r>
          </w:p>
        </w:tc>
        <w:tc>
          <w:tcPr>
            <w:tcW w:w="1382" w:type="dxa"/>
          </w:tcPr>
          <w:p w:rsidR="00FF2CD0" w:rsidRDefault="00FF2CD0" w:rsidP="00FF2CD0">
            <w:pPr>
              <w:jc w:val="center"/>
            </w:pPr>
            <w:r>
              <w:t>200mg</w:t>
            </w:r>
          </w:p>
        </w:tc>
        <w:tc>
          <w:tcPr>
            <w:tcW w:w="744" w:type="dxa"/>
          </w:tcPr>
          <w:p w:rsidR="00FF2CD0" w:rsidRDefault="00FF2CD0" w:rsidP="00FF2CD0">
            <w:pPr>
              <w:jc w:val="center"/>
            </w:pPr>
            <w:r>
              <w:t>NR</w:t>
            </w:r>
          </w:p>
        </w:tc>
        <w:tc>
          <w:tcPr>
            <w:tcW w:w="875" w:type="dxa"/>
          </w:tcPr>
          <w:p w:rsidR="00FF2CD0" w:rsidRDefault="00FF2CD0" w:rsidP="00FF2CD0">
            <w:pPr>
              <w:jc w:val="center"/>
            </w:pPr>
            <w:r>
              <w:t>NR</w:t>
            </w:r>
          </w:p>
        </w:tc>
        <w:tc>
          <w:tcPr>
            <w:tcW w:w="899" w:type="dxa"/>
          </w:tcPr>
          <w:p w:rsidR="00FF2CD0" w:rsidRDefault="00FF2CD0" w:rsidP="00FF2CD0">
            <w:pPr>
              <w:jc w:val="center"/>
            </w:pPr>
            <w:r>
              <w:t>1</w:t>
            </w:r>
          </w:p>
        </w:tc>
        <w:tc>
          <w:tcPr>
            <w:tcW w:w="1414" w:type="dxa"/>
            <w:gridSpan w:val="2"/>
          </w:tcPr>
          <w:p w:rsidR="00FF2CD0" w:rsidRDefault="00FF2CD0" w:rsidP="00FF2CD0">
            <w:pPr>
              <w:jc w:val="center"/>
            </w:pPr>
            <w:r>
              <w:t>1.5</w:t>
            </w:r>
          </w:p>
        </w:tc>
        <w:tc>
          <w:tcPr>
            <w:tcW w:w="1075" w:type="dxa"/>
          </w:tcPr>
          <w:p w:rsidR="00FF2CD0" w:rsidRDefault="00FF2CD0" w:rsidP="00FF2CD0">
            <w:pPr>
              <w:jc w:val="center"/>
            </w:pPr>
            <w:r>
              <w:t>1.5</w:t>
            </w:r>
          </w:p>
        </w:tc>
        <w:tc>
          <w:tcPr>
            <w:tcW w:w="1207" w:type="dxa"/>
          </w:tcPr>
          <w:p w:rsidR="00FF2CD0" w:rsidRDefault="00FF2CD0" w:rsidP="00FF2CD0">
            <w:pPr>
              <w:jc w:val="center"/>
            </w:pPr>
            <w:r>
              <w:t>200</w:t>
            </w:r>
          </w:p>
        </w:tc>
        <w:tc>
          <w:tcPr>
            <w:tcW w:w="1170" w:type="dxa"/>
          </w:tcPr>
          <w:p w:rsidR="00FF2CD0" w:rsidRDefault="00FF2CD0" w:rsidP="00FF2CD0">
            <w:pPr>
              <w:jc w:val="center"/>
            </w:pPr>
            <w:r>
              <w:t>2</w:t>
            </w:r>
          </w:p>
        </w:tc>
      </w:tr>
      <w:tr w:rsidR="00FF2CD0" w:rsidTr="00FF2CD0">
        <w:tc>
          <w:tcPr>
            <w:tcW w:w="1062" w:type="dxa"/>
            <w:vMerge w:val="restart"/>
          </w:tcPr>
          <w:p w:rsidR="00FF2CD0" w:rsidRDefault="00FF2CD0" w:rsidP="00FF2CD0">
            <w:r w:rsidRPr="00C203F3">
              <w:rPr>
                <w:rFonts w:ascii="Arial Narrow" w:eastAsia="Times New Roman" w:hAnsi="Arial Narrow" w:cs="Times New Roman"/>
                <w:color w:val="231F20"/>
                <w:sz w:val="24"/>
                <w:szCs w:val="24"/>
              </w:rPr>
              <w:t>ddl</w:t>
            </w:r>
            <w:r w:rsidRPr="00C203F3">
              <w:rPr>
                <w:rFonts w:ascii="Arial Narrow" w:eastAsia="Times New Roman" w:hAnsi="Arial Narrow" w:cs="Times New Roman"/>
                <w:color w:val="231F20"/>
                <w:w w:val="104"/>
                <w:position w:val="7"/>
                <w:sz w:val="24"/>
                <w:szCs w:val="24"/>
              </w:rPr>
              <w:t>b</w:t>
            </w:r>
            <w:r>
              <w:rPr>
                <w:rFonts w:ascii="Arial Narrow" w:eastAsia="Times New Roman" w:hAnsi="Arial Narrow" w:cs="Times New Roman"/>
                <w:color w:val="231F20"/>
                <w:w w:val="104"/>
                <w:position w:val="7"/>
                <w:sz w:val="24"/>
                <w:szCs w:val="24"/>
              </w:rPr>
              <w:t xml:space="preserve"> </w:t>
            </w:r>
          </w:p>
        </w:tc>
        <w:tc>
          <w:tcPr>
            <w:tcW w:w="1382" w:type="dxa"/>
          </w:tcPr>
          <w:p w:rsidR="00FF2CD0" w:rsidRDefault="00FF2CD0" w:rsidP="00FF2CD0">
            <w:pPr>
              <w:jc w:val="center"/>
            </w:pPr>
            <w:r>
              <w:t>125 mg or</w:t>
            </w:r>
          </w:p>
        </w:tc>
        <w:tc>
          <w:tcPr>
            <w:tcW w:w="744" w:type="dxa"/>
            <w:vMerge w:val="restart"/>
          </w:tcPr>
          <w:p w:rsidR="00FF2CD0" w:rsidRDefault="00FF2CD0" w:rsidP="00FF2CD0">
            <w:pPr>
              <w:jc w:val="center"/>
            </w:pPr>
            <w:r w:rsidRPr="00462A18">
              <w:t>NR</w:t>
            </w:r>
          </w:p>
        </w:tc>
        <w:tc>
          <w:tcPr>
            <w:tcW w:w="875" w:type="dxa"/>
            <w:vMerge w:val="restart"/>
          </w:tcPr>
          <w:p w:rsidR="00FF2CD0" w:rsidRDefault="00FF2CD0" w:rsidP="00FF2CD0">
            <w:pPr>
              <w:jc w:val="center"/>
            </w:pPr>
            <w:r w:rsidRPr="00462A18">
              <w:t>NR</w:t>
            </w:r>
          </w:p>
        </w:tc>
        <w:tc>
          <w:tcPr>
            <w:tcW w:w="899" w:type="dxa"/>
            <w:vMerge w:val="restart"/>
          </w:tcPr>
          <w:p w:rsidR="00FF2CD0" w:rsidRDefault="00FF2CD0" w:rsidP="00FF2CD0">
            <w:pPr>
              <w:jc w:val="center"/>
            </w:pPr>
            <w:r w:rsidRPr="00462A18">
              <w:t>NR</w:t>
            </w:r>
          </w:p>
        </w:tc>
        <w:tc>
          <w:tcPr>
            <w:tcW w:w="1414" w:type="dxa"/>
            <w:gridSpan w:val="2"/>
            <w:vMerge w:val="restart"/>
          </w:tcPr>
          <w:p w:rsidR="00FF2CD0" w:rsidRDefault="00FF2CD0" w:rsidP="00FF2CD0">
            <w:pPr>
              <w:jc w:val="center"/>
            </w:pPr>
            <w:r>
              <w:t>1(200mg)</w:t>
            </w:r>
          </w:p>
        </w:tc>
        <w:tc>
          <w:tcPr>
            <w:tcW w:w="1075" w:type="dxa"/>
            <w:vMerge w:val="restart"/>
          </w:tcPr>
          <w:p w:rsidR="00FF2CD0" w:rsidRDefault="00FF2CD0" w:rsidP="00FF2CD0">
            <w:pPr>
              <w:jc w:val="center"/>
            </w:pPr>
            <w:r>
              <w:t>2(125mg)</w:t>
            </w:r>
          </w:p>
        </w:tc>
        <w:tc>
          <w:tcPr>
            <w:tcW w:w="1207" w:type="dxa"/>
            <w:vMerge w:val="restart"/>
          </w:tcPr>
          <w:p w:rsidR="00FF2CD0" w:rsidRDefault="00FF2CD0" w:rsidP="00FF2CD0">
            <w:pPr>
              <w:jc w:val="center"/>
            </w:pPr>
            <w:r>
              <w:t>125mg EC</w:t>
            </w:r>
          </w:p>
        </w:tc>
        <w:tc>
          <w:tcPr>
            <w:tcW w:w="1170" w:type="dxa"/>
            <w:vMerge w:val="restart"/>
          </w:tcPr>
          <w:p w:rsidR="00FF2CD0" w:rsidRDefault="00FF2CD0" w:rsidP="00FF2CD0">
            <w:pPr>
              <w:jc w:val="center"/>
            </w:pPr>
            <w:r>
              <w:t>2</w:t>
            </w:r>
          </w:p>
        </w:tc>
      </w:tr>
      <w:tr w:rsidR="00FF2CD0" w:rsidTr="00FF2CD0">
        <w:tc>
          <w:tcPr>
            <w:tcW w:w="1062" w:type="dxa"/>
            <w:vMerge/>
          </w:tcPr>
          <w:p w:rsidR="00FF2CD0" w:rsidRPr="00C203F3" w:rsidRDefault="00FF2CD0" w:rsidP="00FF2CD0">
            <w:pPr>
              <w:rPr>
                <w:rFonts w:ascii="Arial Narrow" w:eastAsia="Times New Roman" w:hAnsi="Arial Narrow" w:cs="Times New Roman"/>
                <w:color w:val="231F20"/>
                <w:sz w:val="24"/>
                <w:szCs w:val="24"/>
              </w:rPr>
            </w:pPr>
          </w:p>
        </w:tc>
        <w:tc>
          <w:tcPr>
            <w:tcW w:w="1382" w:type="dxa"/>
          </w:tcPr>
          <w:p w:rsidR="00FF2CD0" w:rsidRDefault="00FF2CD0" w:rsidP="00FF2CD0">
            <w:pPr>
              <w:jc w:val="center"/>
            </w:pPr>
            <w:r>
              <w:t>200mg EC</w:t>
            </w:r>
          </w:p>
        </w:tc>
        <w:tc>
          <w:tcPr>
            <w:tcW w:w="744" w:type="dxa"/>
            <w:vMerge/>
          </w:tcPr>
          <w:p w:rsidR="00FF2CD0" w:rsidRPr="00462A18" w:rsidRDefault="00FF2CD0" w:rsidP="00FF2CD0">
            <w:pPr>
              <w:jc w:val="center"/>
            </w:pPr>
          </w:p>
        </w:tc>
        <w:tc>
          <w:tcPr>
            <w:tcW w:w="875" w:type="dxa"/>
            <w:vMerge/>
          </w:tcPr>
          <w:p w:rsidR="00FF2CD0" w:rsidRPr="00462A18" w:rsidRDefault="00FF2CD0" w:rsidP="00FF2CD0">
            <w:pPr>
              <w:jc w:val="center"/>
            </w:pPr>
          </w:p>
        </w:tc>
        <w:tc>
          <w:tcPr>
            <w:tcW w:w="899" w:type="dxa"/>
            <w:vMerge/>
          </w:tcPr>
          <w:p w:rsidR="00FF2CD0" w:rsidRPr="00462A18" w:rsidRDefault="00FF2CD0" w:rsidP="00FF2CD0">
            <w:pPr>
              <w:jc w:val="center"/>
            </w:pPr>
          </w:p>
        </w:tc>
        <w:tc>
          <w:tcPr>
            <w:tcW w:w="1414" w:type="dxa"/>
            <w:gridSpan w:val="2"/>
            <w:vMerge/>
          </w:tcPr>
          <w:p w:rsidR="00FF2CD0" w:rsidRDefault="00FF2CD0" w:rsidP="00FF2CD0">
            <w:pPr>
              <w:jc w:val="center"/>
            </w:pPr>
          </w:p>
        </w:tc>
        <w:tc>
          <w:tcPr>
            <w:tcW w:w="1075" w:type="dxa"/>
            <w:vMerge/>
          </w:tcPr>
          <w:p w:rsidR="00FF2CD0" w:rsidRDefault="00FF2CD0" w:rsidP="00FF2CD0">
            <w:pPr>
              <w:jc w:val="center"/>
            </w:pPr>
          </w:p>
        </w:tc>
        <w:tc>
          <w:tcPr>
            <w:tcW w:w="1207" w:type="dxa"/>
            <w:vMerge/>
          </w:tcPr>
          <w:p w:rsidR="00FF2CD0" w:rsidRDefault="00FF2CD0" w:rsidP="00FF2CD0">
            <w:pPr>
              <w:jc w:val="center"/>
            </w:pPr>
          </w:p>
        </w:tc>
        <w:tc>
          <w:tcPr>
            <w:tcW w:w="1170" w:type="dxa"/>
            <w:vMerge/>
          </w:tcPr>
          <w:p w:rsidR="00FF2CD0" w:rsidRDefault="00FF2CD0" w:rsidP="00FF2CD0">
            <w:pPr>
              <w:jc w:val="center"/>
            </w:pPr>
          </w:p>
        </w:tc>
      </w:tr>
      <w:tr w:rsidR="00FF2CD0" w:rsidTr="00FF2CD0">
        <w:tc>
          <w:tcPr>
            <w:tcW w:w="9828" w:type="dxa"/>
            <w:gridSpan w:val="10"/>
          </w:tcPr>
          <w:p w:rsidR="00FF2CD0" w:rsidRDefault="00FF2CD0" w:rsidP="00FF2CD0">
            <w:r>
              <w:rPr>
                <w:rFonts w:ascii="Arial" w:eastAsia="Times New Roman" w:hAnsi="Arial" w:cs="Arial"/>
                <w:color w:val="231F20"/>
                <w:position w:val="2"/>
              </w:rPr>
              <w:t>a</w:t>
            </w:r>
            <w:r w:rsidRPr="005532C4">
              <w:rPr>
                <w:rFonts w:ascii="Arial" w:eastAsia="Times New Roman" w:hAnsi="Arial" w:cs="Arial"/>
                <w:color w:val="231F20"/>
                <w:position w:val="2"/>
              </w:rPr>
              <w:t>. EFV</w:t>
            </w:r>
            <w:r w:rsidRPr="005532C4">
              <w:rPr>
                <w:rFonts w:ascii="Arial" w:eastAsia="Times New Roman" w:hAnsi="Arial" w:cs="Arial"/>
                <w:color w:val="231F20"/>
              </w:rPr>
              <w:t>isnotrecommendedforchildrenbelow4yearsandweighinglessthan10</w:t>
            </w:r>
            <w:r w:rsidRPr="005532C4">
              <w:rPr>
                <w:rFonts w:ascii="Arial" w:eastAsia="Times New Roman" w:hAnsi="Arial" w:cs="Arial"/>
                <w:color w:val="231F20"/>
                <w:w w:val="102"/>
              </w:rPr>
              <w:t>kg</w:t>
            </w:r>
          </w:p>
        </w:tc>
      </w:tr>
      <w:tr w:rsidR="00FF2CD0" w:rsidTr="00FF2CD0">
        <w:tc>
          <w:tcPr>
            <w:tcW w:w="9828" w:type="dxa"/>
            <w:gridSpan w:val="10"/>
          </w:tcPr>
          <w:p w:rsidR="00FF2CD0" w:rsidRDefault="00FF2CD0" w:rsidP="00FF2CD0">
            <w:pPr>
              <w:spacing w:before="120" w:after="120"/>
              <w:ind w:right="-14"/>
            </w:pPr>
            <w:r>
              <w:rPr>
                <w:rFonts w:ascii="Arial" w:eastAsia="Times New Roman" w:hAnsi="Arial" w:cs="Arial"/>
                <w:color w:val="231F20"/>
                <w:position w:val="3"/>
              </w:rPr>
              <w:t>b</w:t>
            </w:r>
            <w:r w:rsidRPr="005532C4">
              <w:rPr>
                <w:rFonts w:ascii="Arial" w:eastAsia="Times New Roman" w:hAnsi="Arial" w:cs="Arial"/>
                <w:color w:val="231F20"/>
                <w:position w:val="3"/>
              </w:rPr>
              <w:t xml:space="preserve">. </w:t>
            </w:r>
            <w:r w:rsidRPr="005532C4">
              <w:rPr>
                <w:rFonts w:ascii="Arial" w:eastAsia="Times New Roman" w:hAnsi="Arial" w:cs="Arial"/>
                <w:color w:val="231F20"/>
                <w:position w:val="-1"/>
              </w:rPr>
              <w:t>ddl</w:t>
            </w:r>
            <w:r>
              <w:rPr>
                <w:rFonts w:ascii="Arial" w:eastAsia="Times New Roman" w:hAnsi="Arial" w:cs="Arial"/>
                <w:color w:val="231F20"/>
                <w:position w:val="-1"/>
              </w:rPr>
              <w:t xml:space="preserve"> </w:t>
            </w:r>
            <w:r w:rsidRPr="005532C4">
              <w:rPr>
                <w:rFonts w:ascii="Arial" w:eastAsia="Times New Roman" w:hAnsi="Arial" w:cs="Arial"/>
                <w:color w:val="231F20"/>
                <w:position w:val="-1"/>
              </w:rPr>
              <w:t>EC is not recommended for children weigh</w:t>
            </w:r>
            <w:r>
              <w:rPr>
                <w:rFonts w:ascii="Arial" w:eastAsia="Times New Roman" w:hAnsi="Arial" w:cs="Arial"/>
                <w:color w:val="231F20"/>
                <w:position w:val="-1"/>
              </w:rPr>
              <w:t>ing</w:t>
            </w:r>
            <w:r w:rsidRPr="005532C4">
              <w:rPr>
                <w:rFonts w:ascii="Arial" w:eastAsia="Times New Roman" w:hAnsi="Arial" w:cs="Arial"/>
                <w:color w:val="231F20"/>
                <w:position w:val="-1"/>
              </w:rPr>
              <w:t xml:space="preserve"> less than 10kg; this dose is recommended only for those10 kg and </w:t>
            </w:r>
            <w:r w:rsidRPr="005532C4">
              <w:rPr>
                <w:rFonts w:ascii="Arial" w:eastAsia="Times New Roman" w:hAnsi="Arial" w:cs="Arial"/>
                <w:color w:val="231F20"/>
                <w:w w:val="102"/>
                <w:position w:val="-1"/>
              </w:rPr>
              <w:t>above.</w:t>
            </w:r>
          </w:p>
        </w:tc>
      </w:tr>
      <w:tr w:rsidR="00FF2CD0" w:rsidTr="00FF2CD0">
        <w:tc>
          <w:tcPr>
            <w:tcW w:w="9828" w:type="dxa"/>
            <w:gridSpan w:val="10"/>
          </w:tcPr>
          <w:p w:rsidR="00FF2CD0" w:rsidRDefault="00FF2CD0" w:rsidP="00FF2CD0">
            <w:pPr>
              <w:spacing w:before="120" w:after="120"/>
              <w:ind w:left="144" w:right="-14"/>
            </w:pPr>
            <w:r w:rsidRPr="005532C4">
              <w:rPr>
                <w:rFonts w:ascii="Arial" w:eastAsia="Times New Roman" w:hAnsi="Arial" w:cs="Arial"/>
                <w:color w:val="231F20"/>
              </w:rPr>
              <w:t>NR=not recommended EC=enteric</w:t>
            </w:r>
            <w:r w:rsidRPr="005532C4">
              <w:rPr>
                <w:rFonts w:ascii="Arial" w:eastAsia="Times New Roman" w:hAnsi="Arial" w:cs="Arial"/>
                <w:color w:val="231F20"/>
                <w:w w:val="102"/>
              </w:rPr>
              <w:t xml:space="preserve"> coated</w:t>
            </w:r>
          </w:p>
        </w:tc>
      </w:tr>
    </w:tbl>
    <w:p w:rsidR="00FF2CD0" w:rsidRDefault="00FF2CD0" w:rsidP="00FF2CD0">
      <w:pPr>
        <w:pStyle w:val="Heading2"/>
        <w:ind w:left="513" w:firstLine="720"/>
        <w:rPr>
          <w:rFonts w:ascii="Arial Narrow" w:eastAsia="Arial" w:hAnsi="Arial Narrow"/>
          <w:sz w:val="24"/>
          <w:szCs w:val="24"/>
          <w:vertAlign w:val="superscript"/>
        </w:rPr>
        <w:sectPr w:rsidR="00FF2CD0" w:rsidSect="00FF2CD0">
          <w:headerReference w:type="default" r:id="rId25"/>
          <w:pgSz w:w="12760" w:h="9240" w:orient="landscape"/>
          <w:pgMar w:top="1440" w:right="1800" w:bottom="1440" w:left="1800" w:header="0" w:footer="0" w:gutter="0"/>
          <w:cols w:space="720"/>
          <w:docGrid w:linePitch="299"/>
        </w:sectPr>
      </w:pPr>
      <w:bookmarkStart w:id="1113" w:name="_Toc378258351"/>
    </w:p>
    <w:p w:rsidR="00FF2CD0" w:rsidRPr="00FF2CD0" w:rsidRDefault="00FF2CD0" w:rsidP="00FF2CD0">
      <w:pPr>
        <w:pStyle w:val="Heading2"/>
      </w:pPr>
      <w:r>
        <w:rPr>
          <w:szCs w:val="24"/>
        </w:rPr>
        <w:t xml:space="preserve">                   </w:t>
      </w:r>
      <w:bookmarkStart w:id="1114" w:name="_Toc382214193"/>
      <w:r w:rsidRPr="00FF2CD0">
        <w:rPr>
          <w:szCs w:val="24"/>
        </w:rPr>
        <w:t>ANNEX 6.</w:t>
      </w:r>
      <w:bookmarkEnd w:id="1113"/>
      <w:r w:rsidRPr="00FF2CD0">
        <w:rPr>
          <w:szCs w:val="24"/>
        </w:rPr>
        <w:tab/>
      </w:r>
      <w:bookmarkStart w:id="1115" w:name="_Toc378258352"/>
      <w:r w:rsidRPr="00FF2CD0">
        <w:t>NEW WHO DOSING RECOMMENDATIONS FOR EXISTING PEDIATRICS FDCS</w:t>
      </w:r>
      <w:bookmarkEnd w:id="1114"/>
      <w:bookmarkEnd w:id="1115"/>
    </w:p>
    <w:p w:rsidR="00FF2CD0" w:rsidRPr="00C03FCA" w:rsidRDefault="00FF2CD0" w:rsidP="00FF2CD0">
      <w:pPr>
        <w:spacing w:after="0" w:line="240" w:lineRule="auto"/>
        <w:ind w:left="513" w:right="-20" w:firstLine="720"/>
        <w:rPr>
          <w:rFonts w:ascii="Arial" w:eastAsia="Times New Roman" w:hAnsi="Arial" w:cs="Arial"/>
          <w:vertAlign w:val="superscript"/>
        </w:rPr>
      </w:pPr>
      <w:r w:rsidRPr="00C03FCA">
        <w:rPr>
          <w:rFonts w:ascii="Arial" w:eastAsia="Times New Roman" w:hAnsi="Arial" w:cs="Arial"/>
          <w:color w:val="231F20"/>
          <w:u w:val="single" w:color="231F20"/>
          <w:vertAlign w:val="superscript"/>
        </w:rPr>
        <w:t>Dosing Schedules:</w:t>
      </w:r>
    </w:p>
    <w:p w:rsidR="00FF2CD0" w:rsidRPr="00C03FCA" w:rsidRDefault="00FF2CD0" w:rsidP="00FF2CD0">
      <w:pPr>
        <w:spacing w:before="10" w:after="0" w:line="220" w:lineRule="exact"/>
        <w:rPr>
          <w:rFonts w:ascii="Arial" w:hAnsi="Arial" w:cs="Arial"/>
          <w:vertAlign w:val="superscript"/>
        </w:rPr>
      </w:pPr>
    </w:p>
    <w:p w:rsidR="00FF2CD0" w:rsidRPr="00C03FCA" w:rsidRDefault="00FF2CD0" w:rsidP="00FF2CD0">
      <w:pPr>
        <w:spacing w:after="0" w:line="404" w:lineRule="auto"/>
        <w:ind w:left="1233" w:right="3146"/>
        <w:rPr>
          <w:rFonts w:ascii="Arial" w:eastAsia="Times New Roman" w:hAnsi="Arial" w:cs="Arial"/>
          <w:vertAlign w:val="superscript"/>
        </w:rPr>
      </w:pPr>
      <w:r w:rsidRPr="00C03FCA">
        <w:rPr>
          <w:rFonts w:ascii="Arial" w:eastAsia="Times New Roman" w:hAnsi="Arial" w:cs="Arial"/>
          <w:color w:val="231F20"/>
          <w:vertAlign w:val="superscript"/>
        </w:rPr>
        <w:t>NVP/AZT/3TC (50/60/30mg) |AZT/3TC (60/30mg) | NVP/D4T/3TC (50 mg/6mg/30mg) | D4T/3TC (6mg/30mg) | NVP/D4T/3TC (100 mg/12mg/60mg) | D4T/3TC (12mg/60mg)</w:t>
      </w:r>
    </w:p>
    <w:p w:rsidR="00FF2CD0" w:rsidRPr="00C203F3" w:rsidRDefault="00FF2CD0" w:rsidP="00FF2CD0">
      <w:pPr>
        <w:spacing w:before="6" w:after="0" w:line="60" w:lineRule="exact"/>
        <w:rPr>
          <w:rFonts w:ascii="Arial Narrow" w:hAnsi="Arial Narrow"/>
          <w:sz w:val="24"/>
          <w:szCs w:val="24"/>
          <w:vertAlign w:val="superscript"/>
        </w:rPr>
      </w:pPr>
    </w:p>
    <w:tbl>
      <w:tblPr>
        <w:tblW w:w="0" w:type="auto"/>
        <w:tblInd w:w="1227" w:type="dxa"/>
        <w:tblLayout w:type="fixed"/>
        <w:tblCellMar>
          <w:left w:w="0" w:type="dxa"/>
          <w:right w:w="0" w:type="dxa"/>
        </w:tblCellMar>
        <w:tblLook w:val="01E0" w:firstRow="1" w:lastRow="1" w:firstColumn="1" w:lastColumn="1" w:noHBand="0" w:noVBand="0"/>
      </w:tblPr>
      <w:tblGrid>
        <w:gridCol w:w="2830"/>
        <w:gridCol w:w="1020"/>
        <w:gridCol w:w="884"/>
        <w:gridCol w:w="1138"/>
        <w:gridCol w:w="1191"/>
        <w:gridCol w:w="1134"/>
        <w:gridCol w:w="2244"/>
      </w:tblGrid>
      <w:tr w:rsidR="00FF2CD0" w:rsidRPr="00C203F3" w:rsidTr="00FF2CD0">
        <w:trPr>
          <w:trHeight w:hRule="exact" w:val="262"/>
        </w:trPr>
        <w:tc>
          <w:tcPr>
            <w:tcW w:w="2830" w:type="dxa"/>
            <w:tcBorders>
              <w:top w:val="single" w:sz="4" w:space="0" w:color="231F20"/>
              <w:left w:val="single" w:sz="4" w:space="0" w:color="231F20"/>
              <w:bottom w:val="single" w:sz="4" w:space="0" w:color="231F20"/>
              <w:right w:val="single" w:sz="4" w:space="0" w:color="231F20"/>
            </w:tcBorders>
            <w:shd w:val="clear" w:color="auto" w:fill="00AEEF"/>
          </w:tcPr>
          <w:p w:rsidR="00FF2CD0" w:rsidRPr="00C203F3" w:rsidRDefault="00FF2CD0" w:rsidP="00FF2CD0">
            <w:pPr>
              <w:spacing w:after="0" w:line="248"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b/>
                <w:bCs/>
                <w:color w:val="FFFFFF"/>
                <w:spacing w:val="-12"/>
                <w:sz w:val="24"/>
                <w:szCs w:val="24"/>
                <w:vertAlign w:val="superscript"/>
              </w:rPr>
              <w:t>W</w:t>
            </w:r>
            <w:r w:rsidRPr="00C203F3">
              <w:rPr>
                <w:rFonts w:ascii="Arial Narrow" w:eastAsia="Times New Roman" w:hAnsi="Arial Narrow" w:cs="Times New Roman"/>
                <w:b/>
                <w:bCs/>
                <w:color w:val="FFFFFF"/>
                <w:sz w:val="24"/>
                <w:szCs w:val="24"/>
                <w:vertAlign w:val="superscript"/>
              </w:rPr>
              <w:t>eight range (kg)</w:t>
            </w:r>
          </w:p>
        </w:tc>
        <w:tc>
          <w:tcPr>
            <w:tcW w:w="1020" w:type="dxa"/>
            <w:tcBorders>
              <w:top w:val="single" w:sz="4" w:space="0" w:color="231F20"/>
              <w:left w:val="single" w:sz="4" w:space="0" w:color="231F20"/>
              <w:bottom w:val="single" w:sz="4" w:space="0" w:color="231F20"/>
              <w:right w:val="single" w:sz="4" w:space="0" w:color="231F20"/>
            </w:tcBorders>
            <w:shd w:val="clear" w:color="auto" w:fill="00AEEF"/>
          </w:tcPr>
          <w:p w:rsidR="00FF2CD0" w:rsidRPr="00C203F3" w:rsidRDefault="00FF2CD0" w:rsidP="00FF2CD0">
            <w:pPr>
              <w:spacing w:after="0" w:line="248"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b/>
                <w:bCs/>
                <w:color w:val="FFFFFF"/>
                <w:sz w:val="24"/>
                <w:szCs w:val="24"/>
                <w:vertAlign w:val="superscript"/>
              </w:rPr>
              <w:t>&lt; 5.9 kg 6</w:t>
            </w:r>
          </w:p>
        </w:tc>
        <w:tc>
          <w:tcPr>
            <w:tcW w:w="884" w:type="dxa"/>
            <w:tcBorders>
              <w:top w:val="single" w:sz="4" w:space="0" w:color="231F20"/>
              <w:left w:val="single" w:sz="4" w:space="0" w:color="231F20"/>
              <w:bottom w:val="single" w:sz="4" w:space="0" w:color="231F20"/>
              <w:right w:val="single" w:sz="4" w:space="0" w:color="231F20"/>
            </w:tcBorders>
            <w:shd w:val="clear" w:color="auto" w:fill="00AEEF"/>
          </w:tcPr>
          <w:p w:rsidR="00FF2CD0" w:rsidRPr="00C203F3" w:rsidRDefault="00FF2CD0" w:rsidP="00FF2CD0">
            <w:pPr>
              <w:spacing w:after="0" w:line="248"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b/>
                <w:bCs/>
                <w:color w:val="FFFFFF"/>
                <w:sz w:val="24"/>
                <w:szCs w:val="24"/>
                <w:vertAlign w:val="superscript"/>
              </w:rPr>
              <w:t>6-9.9 kg</w:t>
            </w:r>
          </w:p>
        </w:tc>
        <w:tc>
          <w:tcPr>
            <w:tcW w:w="1138" w:type="dxa"/>
            <w:tcBorders>
              <w:top w:val="single" w:sz="4" w:space="0" w:color="231F20"/>
              <w:left w:val="single" w:sz="4" w:space="0" w:color="231F20"/>
              <w:bottom w:val="single" w:sz="4" w:space="0" w:color="231F20"/>
              <w:right w:val="single" w:sz="4" w:space="0" w:color="231F20"/>
            </w:tcBorders>
            <w:shd w:val="clear" w:color="auto" w:fill="00AEEF"/>
          </w:tcPr>
          <w:p w:rsidR="00FF2CD0" w:rsidRPr="00C203F3" w:rsidRDefault="00FF2CD0" w:rsidP="00FF2CD0">
            <w:pPr>
              <w:spacing w:after="0" w:line="248"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b/>
                <w:bCs/>
                <w:color w:val="FFFFFF"/>
                <w:sz w:val="24"/>
                <w:szCs w:val="24"/>
                <w:vertAlign w:val="superscript"/>
              </w:rPr>
              <w:t>10-13.9 kg</w:t>
            </w:r>
          </w:p>
        </w:tc>
        <w:tc>
          <w:tcPr>
            <w:tcW w:w="1191" w:type="dxa"/>
            <w:tcBorders>
              <w:top w:val="single" w:sz="4" w:space="0" w:color="231F20"/>
              <w:left w:val="single" w:sz="4" w:space="0" w:color="231F20"/>
              <w:bottom w:val="single" w:sz="4" w:space="0" w:color="231F20"/>
              <w:right w:val="single" w:sz="4" w:space="0" w:color="231F20"/>
            </w:tcBorders>
            <w:shd w:val="clear" w:color="auto" w:fill="00AEEF"/>
          </w:tcPr>
          <w:p w:rsidR="00FF2CD0" w:rsidRPr="00C203F3" w:rsidRDefault="00FF2CD0" w:rsidP="00FF2CD0">
            <w:pPr>
              <w:spacing w:after="0" w:line="248"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b/>
                <w:bCs/>
                <w:color w:val="FFFFFF"/>
                <w:sz w:val="24"/>
                <w:szCs w:val="24"/>
                <w:vertAlign w:val="superscript"/>
              </w:rPr>
              <w:t>14-19.9 kg</w:t>
            </w:r>
          </w:p>
        </w:tc>
        <w:tc>
          <w:tcPr>
            <w:tcW w:w="1134" w:type="dxa"/>
            <w:tcBorders>
              <w:top w:val="single" w:sz="4" w:space="0" w:color="231F20"/>
              <w:left w:val="single" w:sz="4" w:space="0" w:color="231F20"/>
              <w:bottom w:val="single" w:sz="4" w:space="0" w:color="231F20"/>
              <w:right w:val="single" w:sz="4" w:space="0" w:color="231F20"/>
            </w:tcBorders>
            <w:shd w:val="clear" w:color="auto" w:fill="00AEEF"/>
          </w:tcPr>
          <w:p w:rsidR="00FF2CD0" w:rsidRPr="00C203F3" w:rsidRDefault="00FF2CD0" w:rsidP="00FF2CD0">
            <w:pPr>
              <w:spacing w:after="0" w:line="248"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b/>
                <w:bCs/>
                <w:color w:val="FFFFFF"/>
                <w:sz w:val="24"/>
                <w:szCs w:val="24"/>
                <w:vertAlign w:val="superscript"/>
              </w:rPr>
              <w:t>20-24.9 kg</w:t>
            </w:r>
          </w:p>
        </w:tc>
        <w:tc>
          <w:tcPr>
            <w:tcW w:w="2244" w:type="dxa"/>
            <w:tcBorders>
              <w:top w:val="single" w:sz="4" w:space="0" w:color="231F20"/>
              <w:left w:val="single" w:sz="4" w:space="0" w:color="231F20"/>
              <w:bottom w:val="single" w:sz="4" w:space="0" w:color="231F20"/>
              <w:right w:val="single" w:sz="4" w:space="0" w:color="231F20"/>
            </w:tcBorders>
            <w:shd w:val="clear" w:color="auto" w:fill="00AEEF"/>
          </w:tcPr>
          <w:p w:rsidR="00FF2CD0" w:rsidRPr="00C203F3" w:rsidRDefault="00FF2CD0" w:rsidP="00FF2CD0">
            <w:pPr>
              <w:spacing w:after="0" w:line="248"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b/>
                <w:bCs/>
                <w:color w:val="FFFFFF"/>
                <w:sz w:val="24"/>
                <w:szCs w:val="24"/>
                <w:vertAlign w:val="superscript"/>
              </w:rPr>
              <w:t>25 kg andAbove</w:t>
            </w:r>
          </w:p>
        </w:tc>
      </w:tr>
      <w:tr w:rsidR="00FF2CD0" w:rsidRPr="00C203F3" w:rsidTr="00FF2CD0">
        <w:trPr>
          <w:trHeight w:hRule="exact" w:val="833"/>
        </w:trPr>
        <w:tc>
          <w:tcPr>
            <w:tcW w:w="2830" w:type="dxa"/>
            <w:vMerge w:val="restart"/>
            <w:tcBorders>
              <w:top w:val="single" w:sz="4" w:space="0" w:color="231F20"/>
              <w:left w:val="single" w:sz="4" w:space="0" w:color="231F20"/>
              <w:right w:val="single" w:sz="4" w:space="0" w:color="231F20"/>
            </w:tcBorders>
            <w:shd w:val="clear" w:color="auto" w:fill="C7EAFB"/>
          </w:tcPr>
          <w:p w:rsidR="00FF2CD0" w:rsidRPr="00C203F3" w:rsidRDefault="00FF2CD0" w:rsidP="00FF2CD0">
            <w:pPr>
              <w:spacing w:after="0" w:line="248"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b/>
                <w:bCs/>
                <w:color w:val="231F20"/>
                <w:sz w:val="24"/>
                <w:szCs w:val="24"/>
                <w:u w:val="thick" w:color="231F20"/>
                <w:vertAlign w:val="superscript"/>
              </w:rPr>
              <w:t>INDUCTION DOSE</w:t>
            </w:r>
          </w:p>
          <w:p w:rsidR="00FF2CD0" w:rsidRPr="00C203F3" w:rsidRDefault="00FF2CD0" w:rsidP="00FF2CD0">
            <w:pPr>
              <w:spacing w:before="3" w:after="0" w:line="242" w:lineRule="auto"/>
              <w:ind w:left="52" w:right="46"/>
              <w:rPr>
                <w:rFonts w:ascii="Arial Narrow" w:eastAsia="Times New Roman" w:hAnsi="Arial Narrow" w:cs="Times New Roman"/>
                <w:sz w:val="24"/>
                <w:szCs w:val="24"/>
                <w:vertAlign w:val="superscript"/>
              </w:rPr>
            </w:pPr>
            <w:r w:rsidRPr="00C203F3">
              <w:rPr>
                <w:rFonts w:ascii="Arial Narrow" w:eastAsia="Times New Roman" w:hAnsi="Arial Narrow" w:cs="Times New Roman"/>
                <w:b/>
                <w:bCs/>
                <w:color w:val="231F20"/>
                <w:sz w:val="24"/>
                <w:szCs w:val="24"/>
                <w:vertAlign w:val="superscript"/>
              </w:rPr>
              <w:t xml:space="preserve">NVP/AZT/3TC(50/60/30mg) </w:t>
            </w:r>
            <w:r w:rsidRPr="00C203F3">
              <w:rPr>
                <w:rFonts w:ascii="Arial Narrow" w:eastAsia="Times New Roman" w:hAnsi="Arial Narrow" w:cs="Times New Roman"/>
                <w:b/>
                <w:bCs/>
                <w:color w:val="231F20"/>
                <w:spacing w:val="-20"/>
                <w:sz w:val="24"/>
                <w:szCs w:val="24"/>
                <w:vertAlign w:val="superscript"/>
              </w:rPr>
              <w:t>T</w:t>
            </w:r>
            <w:r w:rsidRPr="00C203F3">
              <w:rPr>
                <w:rFonts w:ascii="Arial Narrow" w:eastAsia="Times New Roman" w:hAnsi="Arial Narrow" w:cs="Times New Roman"/>
                <w:b/>
                <w:bCs/>
                <w:color w:val="231F20"/>
                <w:sz w:val="24"/>
                <w:szCs w:val="24"/>
                <w:vertAlign w:val="superscript"/>
              </w:rPr>
              <w:t>ablet</w:t>
            </w:r>
          </w:p>
          <w:p w:rsidR="00FF2CD0" w:rsidRPr="00C203F3" w:rsidRDefault="00FF2CD0" w:rsidP="00FF2CD0">
            <w:pPr>
              <w:spacing w:before="65" w:after="0" w:line="240" w:lineRule="auto"/>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b/>
                <w:bCs/>
                <w:color w:val="231F20"/>
                <w:sz w:val="24"/>
                <w:szCs w:val="24"/>
                <w:vertAlign w:val="superscript"/>
              </w:rPr>
              <w:t>AZT/3TC(60/30mg)</w:t>
            </w:r>
            <w:r w:rsidRPr="00C203F3">
              <w:rPr>
                <w:rFonts w:ascii="Arial Narrow" w:eastAsia="Times New Roman" w:hAnsi="Arial Narrow" w:cs="Times New Roman"/>
                <w:b/>
                <w:bCs/>
                <w:color w:val="231F20"/>
                <w:spacing w:val="-20"/>
                <w:sz w:val="24"/>
                <w:szCs w:val="24"/>
                <w:vertAlign w:val="superscript"/>
              </w:rPr>
              <w:t>T</w:t>
            </w:r>
            <w:r w:rsidRPr="00C203F3">
              <w:rPr>
                <w:rFonts w:ascii="Arial Narrow" w:eastAsia="Times New Roman" w:hAnsi="Arial Narrow" w:cs="Times New Roman"/>
                <w:b/>
                <w:bCs/>
                <w:color w:val="231F20"/>
                <w:sz w:val="24"/>
                <w:szCs w:val="24"/>
                <w:vertAlign w:val="superscript"/>
              </w:rPr>
              <w:t>ablet</w:t>
            </w:r>
          </w:p>
        </w:tc>
        <w:tc>
          <w:tcPr>
            <w:tcW w:w="1020"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1A.M</w:t>
            </w:r>
          </w:p>
        </w:tc>
        <w:tc>
          <w:tcPr>
            <w:tcW w:w="884"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1.5A.M</w:t>
            </w:r>
          </w:p>
        </w:tc>
        <w:tc>
          <w:tcPr>
            <w:tcW w:w="1138"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2A.M</w:t>
            </w:r>
          </w:p>
        </w:tc>
        <w:tc>
          <w:tcPr>
            <w:tcW w:w="1191"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2.5</w:t>
            </w:r>
          </w:p>
          <w:p w:rsidR="00FF2CD0" w:rsidRPr="00C203F3" w:rsidRDefault="00FF2CD0" w:rsidP="00FF2CD0">
            <w:pPr>
              <w:spacing w:before="3" w:after="0" w:line="240" w:lineRule="auto"/>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A.M</w:t>
            </w:r>
          </w:p>
        </w:tc>
        <w:tc>
          <w:tcPr>
            <w:tcW w:w="1134"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3A.M</w:t>
            </w:r>
          </w:p>
        </w:tc>
        <w:tc>
          <w:tcPr>
            <w:tcW w:w="2244"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4A.M or 1 tab OD of</w:t>
            </w:r>
          </w:p>
          <w:p w:rsidR="00FF2CD0" w:rsidRPr="00C203F3" w:rsidRDefault="00FF2CD0" w:rsidP="00FF2CD0">
            <w:pPr>
              <w:spacing w:before="3" w:after="0" w:line="242" w:lineRule="auto"/>
              <w:ind w:left="52" w:right="101"/>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200/300/150mg (Adult formulation)</w:t>
            </w:r>
          </w:p>
        </w:tc>
      </w:tr>
      <w:tr w:rsidR="00FF2CD0" w:rsidRPr="00C203F3" w:rsidTr="00FF2CD0">
        <w:trPr>
          <w:trHeight w:hRule="exact" w:val="778"/>
        </w:trPr>
        <w:tc>
          <w:tcPr>
            <w:tcW w:w="2830" w:type="dxa"/>
            <w:vMerge/>
            <w:tcBorders>
              <w:left w:val="single" w:sz="4" w:space="0" w:color="231F20"/>
              <w:bottom w:val="single" w:sz="4" w:space="0" w:color="231F20"/>
              <w:right w:val="single" w:sz="4" w:space="0" w:color="231F20"/>
            </w:tcBorders>
            <w:shd w:val="clear" w:color="auto" w:fill="C7EAFB"/>
          </w:tcPr>
          <w:p w:rsidR="00FF2CD0" w:rsidRPr="00C203F3" w:rsidRDefault="00FF2CD0" w:rsidP="00FF2CD0">
            <w:pPr>
              <w:rPr>
                <w:rFonts w:ascii="Arial Narrow" w:hAnsi="Arial Narrow"/>
                <w:sz w:val="24"/>
                <w:szCs w:val="24"/>
                <w:vertAlign w:val="superscript"/>
              </w:rPr>
            </w:pPr>
          </w:p>
        </w:tc>
        <w:tc>
          <w:tcPr>
            <w:tcW w:w="1020"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1</w:t>
            </w:r>
            <w:r w:rsidRPr="00C203F3">
              <w:rPr>
                <w:rFonts w:ascii="Arial Narrow" w:eastAsia="Times New Roman" w:hAnsi="Arial Narrow" w:cs="Times New Roman"/>
                <w:color w:val="231F20"/>
                <w:spacing w:val="-24"/>
                <w:sz w:val="24"/>
                <w:szCs w:val="24"/>
                <w:vertAlign w:val="superscript"/>
              </w:rPr>
              <w:t>P</w:t>
            </w:r>
            <w:r w:rsidRPr="00C203F3">
              <w:rPr>
                <w:rFonts w:ascii="Arial Narrow" w:eastAsia="Times New Roman" w:hAnsi="Arial Narrow" w:cs="Times New Roman"/>
                <w:color w:val="231F20"/>
                <w:sz w:val="24"/>
                <w:szCs w:val="24"/>
                <w:vertAlign w:val="superscript"/>
              </w:rPr>
              <w:t>.M</w:t>
            </w:r>
          </w:p>
        </w:tc>
        <w:tc>
          <w:tcPr>
            <w:tcW w:w="884"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1.5</w:t>
            </w:r>
            <w:r w:rsidRPr="00C203F3">
              <w:rPr>
                <w:rFonts w:ascii="Arial Narrow" w:eastAsia="Times New Roman" w:hAnsi="Arial Narrow" w:cs="Times New Roman"/>
                <w:color w:val="231F20"/>
                <w:spacing w:val="-24"/>
                <w:sz w:val="24"/>
                <w:szCs w:val="24"/>
                <w:vertAlign w:val="superscript"/>
              </w:rPr>
              <w:t>P</w:t>
            </w:r>
            <w:r w:rsidRPr="00C203F3">
              <w:rPr>
                <w:rFonts w:ascii="Arial Narrow" w:eastAsia="Times New Roman" w:hAnsi="Arial Narrow" w:cs="Times New Roman"/>
                <w:color w:val="231F20"/>
                <w:sz w:val="24"/>
                <w:szCs w:val="24"/>
                <w:vertAlign w:val="superscript"/>
              </w:rPr>
              <w:t>.M</w:t>
            </w:r>
          </w:p>
        </w:tc>
        <w:tc>
          <w:tcPr>
            <w:tcW w:w="1138"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2</w:t>
            </w:r>
            <w:r w:rsidRPr="00C203F3">
              <w:rPr>
                <w:rFonts w:ascii="Arial Narrow" w:eastAsia="Times New Roman" w:hAnsi="Arial Narrow" w:cs="Times New Roman"/>
                <w:color w:val="231F20"/>
                <w:spacing w:val="-24"/>
                <w:sz w:val="24"/>
                <w:szCs w:val="24"/>
                <w:vertAlign w:val="superscript"/>
              </w:rPr>
              <w:t>P</w:t>
            </w:r>
            <w:r w:rsidRPr="00C203F3">
              <w:rPr>
                <w:rFonts w:ascii="Arial Narrow" w:eastAsia="Times New Roman" w:hAnsi="Arial Narrow" w:cs="Times New Roman"/>
                <w:color w:val="231F20"/>
                <w:sz w:val="24"/>
                <w:szCs w:val="24"/>
                <w:vertAlign w:val="superscript"/>
              </w:rPr>
              <w:t>.M</w:t>
            </w:r>
          </w:p>
        </w:tc>
        <w:tc>
          <w:tcPr>
            <w:tcW w:w="1191"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 xml:space="preserve">2.5 </w:t>
            </w:r>
            <w:r w:rsidRPr="00C203F3">
              <w:rPr>
                <w:rFonts w:ascii="Arial Narrow" w:eastAsia="Times New Roman" w:hAnsi="Arial Narrow" w:cs="Times New Roman"/>
                <w:color w:val="231F20"/>
                <w:spacing w:val="-24"/>
                <w:sz w:val="24"/>
                <w:szCs w:val="24"/>
                <w:vertAlign w:val="superscript"/>
              </w:rPr>
              <w:t>P</w:t>
            </w:r>
            <w:r w:rsidRPr="00C203F3">
              <w:rPr>
                <w:rFonts w:ascii="Arial Narrow" w:eastAsia="Times New Roman" w:hAnsi="Arial Narrow" w:cs="Times New Roman"/>
                <w:color w:val="231F20"/>
                <w:sz w:val="24"/>
                <w:szCs w:val="24"/>
                <w:vertAlign w:val="superscript"/>
              </w:rPr>
              <w:t>.M</w:t>
            </w:r>
          </w:p>
        </w:tc>
        <w:tc>
          <w:tcPr>
            <w:tcW w:w="1134"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 xml:space="preserve">3 </w:t>
            </w:r>
            <w:r w:rsidRPr="00C203F3">
              <w:rPr>
                <w:rFonts w:ascii="Arial Narrow" w:eastAsia="Times New Roman" w:hAnsi="Arial Narrow" w:cs="Times New Roman"/>
                <w:color w:val="231F20"/>
                <w:spacing w:val="-24"/>
                <w:sz w:val="24"/>
                <w:szCs w:val="24"/>
                <w:vertAlign w:val="superscript"/>
              </w:rPr>
              <w:t>P</w:t>
            </w:r>
            <w:r w:rsidRPr="00C203F3">
              <w:rPr>
                <w:rFonts w:ascii="Arial Narrow" w:eastAsia="Times New Roman" w:hAnsi="Arial Narrow" w:cs="Times New Roman"/>
                <w:color w:val="231F20"/>
                <w:sz w:val="24"/>
                <w:szCs w:val="24"/>
                <w:vertAlign w:val="superscript"/>
              </w:rPr>
              <w:t>.M</w:t>
            </w:r>
          </w:p>
        </w:tc>
        <w:tc>
          <w:tcPr>
            <w:tcW w:w="2244"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 xml:space="preserve">4 </w:t>
            </w:r>
            <w:r w:rsidRPr="00C203F3">
              <w:rPr>
                <w:rFonts w:ascii="Arial Narrow" w:eastAsia="Times New Roman" w:hAnsi="Arial Narrow" w:cs="Times New Roman"/>
                <w:color w:val="231F20"/>
                <w:spacing w:val="-24"/>
                <w:sz w:val="24"/>
                <w:szCs w:val="24"/>
                <w:vertAlign w:val="superscript"/>
              </w:rPr>
              <w:t>P</w:t>
            </w:r>
            <w:r w:rsidRPr="00C203F3">
              <w:rPr>
                <w:rFonts w:ascii="Arial Narrow" w:eastAsia="Times New Roman" w:hAnsi="Arial Narrow" w:cs="Times New Roman"/>
                <w:color w:val="231F20"/>
                <w:sz w:val="24"/>
                <w:szCs w:val="24"/>
                <w:vertAlign w:val="superscript"/>
              </w:rPr>
              <w:t>.M or 1 tab OD of</w:t>
            </w:r>
          </w:p>
          <w:p w:rsidR="00FF2CD0" w:rsidRPr="00C203F3" w:rsidRDefault="00FF2CD0" w:rsidP="00FF2CD0">
            <w:pPr>
              <w:spacing w:before="3" w:after="0" w:line="242" w:lineRule="auto"/>
              <w:ind w:left="52" w:right="492"/>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300/150mg (Adult formulation)</w:t>
            </w:r>
          </w:p>
        </w:tc>
      </w:tr>
      <w:tr w:rsidR="00FF2CD0" w:rsidRPr="00C203F3" w:rsidTr="00FF2CD0">
        <w:trPr>
          <w:trHeight w:hRule="exact" w:val="847"/>
        </w:trPr>
        <w:tc>
          <w:tcPr>
            <w:tcW w:w="2830"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48"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b/>
                <w:bCs/>
                <w:color w:val="231F20"/>
                <w:sz w:val="24"/>
                <w:szCs w:val="24"/>
                <w:u w:val="thick" w:color="231F20"/>
                <w:vertAlign w:val="superscript"/>
              </w:rPr>
              <w:t>MAIN</w:t>
            </w:r>
            <w:r w:rsidRPr="00C203F3">
              <w:rPr>
                <w:rFonts w:ascii="Arial Narrow" w:eastAsia="Times New Roman" w:hAnsi="Arial Narrow" w:cs="Times New Roman"/>
                <w:b/>
                <w:bCs/>
                <w:color w:val="231F20"/>
                <w:spacing w:val="-16"/>
                <w:sz w:val="24"/>
                <w:szCs w:val="24"/>
                <w:u w:val="thick" w:color="231F20"/>
                <w:vertAlign w:val="superscript"/>
              </w:rPr>
              <w:t>T</w:t>
            </w:r>
            <w:r w:rsidRPr="00C203F3">
              <w:rPr>
                <w:rFonts w:ascii="Arial Narrow" w:eastAsia="Times New Roman" w:hAnsi="Arial Narrow" w:cs="Times New Roman"/>
                <w:b/>
                <w:bCs/>
                <w:color w:val="231F20"/>
                <w:sz w:val="24"/>
                <w:szCs w:val="24"/>
                <w:u w:val="thick" w:color="231F20"/>
                <w:vertAlign w:val="superscript"/>
              </w:rPr>
              <w:t>ANANCE DOSE</w:t>
            </w:r>
          </w:p>
          <w:p w:rsidR="00FF2CD0" w:rsidRPr="00C203F3" w:rsidRDefault="00FF2CD0" w:rsidP="00FF2CD0">
            <w:pPr>
              <w:spacing w:before="3" w:after="0" w:line="242" w:lineRule="auto"/>
              <w:ind w:left="52" w:right="46"/>
              <w:rPr>
                <w:rFonts w:ascii="Arial Narrow" w:eastAsia="Times New Roman" w:hAnsi="Arial Narrow" w:cs="Times New Roman"/>
                <w:sz w:val="24"/>
                <w:szCs w:val="24"/>
                <w:vertAlign w:val="superscript"/>
              </w:rPr>
            </w:pPr>
            <w:r w:rsidRPr="00C203F3">
              <w:rPr>
                <w:rFonts w:ascii="Arial Narrow" w:eastAsia="Times New Roman" w:hAnsi="Arial Narrow" w:cs="Times New Roman"/>
                <w:b/>
                <w:bCs/>
                <w:color w:val="231F20"/>
                <w:sz w:val="24"/>
                <w:szCs w:val="24"/>
                <w:vertAlign w:val="superscript"/>
              </w:rPr>
              <w:t xml:space="preserve">NVP/AZT/3TC(50/60/30mg) </w:t>
            </w:r>
            <w:r w:rsidRPr="00C203F3">
              <w:rPr>
                <w:rFonts w:ascii="Arial Narrow" w:eastAsia="Times New Roman" w:hAnsi="Arial Narrow" w:cs="Times New Roman"/>
                <w:b/>
                <w:bCs/>
                <w:color w:val="231F20"/>
                <w:spacing w:val="-20"/>
                <w:sz w:val="24"/>
                <w:szCs w:val="24"/>
                <w:vertAlign w:val="superscript"/>
              </w:rPr>
              <w:t>T</w:t>
            </w:r>
            <w:r w:rsidRPr="00C203F3">
              <w:rPr>
                <w:rFonts w:ascii="Arial Narrow" w:eastAsia="Times New Roman" w:hAnsi="Arial Narrow" w:cs="Times New Roman"/>
                <w:b/>
                <w:bCs/>
                <w:color w:val="231F20"/>
                <w:sz w:val="24"/>
                <w:szCs w:val="24"/>
                <w:vertAlign w:val="superscript"/>
              </w:rPr>
              <w:t>ablet</w:t>
            </w:r>
          </w:p>
        </w:tc>
        <w:tc>
          <w:tcPr>
            <w:tcW w:w="1020"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1 BD</w:t>
            </w:r>
          </w:p>
        </w:tc>
        <w:tc>
          <w:tcPr>
            <w:tcW w:w="884"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1.5 BD</w:t>
            </w:r>
          </w:p>
        </w:tc>
        <w:tc>
          <w:tcPr>
            <w:tcW w:w="1138"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2 BD</w:t>
            </w:r>
          </w:p>
        </w:tc>
        <w:tc>
          <w:tcPr>
            <w:tcW w:w="1191"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2.5 BD</w:t>
            </w:r>
          </w:p>
        </w:tc>
        <w:tc>
          <w:tcPr>
            <w:tcW w:w="1134"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3 BD</w:t>
            </w:r>
          </w:p>
        </w:tc>
        <w:tc>
          <w:tcPr>
            <w:tcW w:w="2244"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4 BD or 1 tab BD of</w:t>
            </w:r>
          </w:p>
          <w:p w:rsidR="00FF2CD0" w:rsidRPr="00C203F3" w:rsidRDefault="00FF2CD0" w:rsidP="00FF2CD0">
            <w:pPr>
              <w:spacing w:before="3" w:after="0" w:line="242" w:lineRule="auto"/>
              <w:ind w:left="52" w:right="101"/>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200/300/150mg (Adult formulation)</w:t>
            </w:r>
          </w:p>
        </w:tc>
      </w:tr>
      <w:tr w:rsidR="00FF2CD0" w:rsidRPr="00C203F3" w:rsidTr="00FF2CD0">
        <w:trPr>
          <w:trHeight w:hRule="exact" w:val="778"/>
        </w:trPr>
        <w:tc>
          <w:tcPr>
            <w:tcW w:w="2830" w:type="dxa"/>
            <w:vMerge w:val="restart"/>
            <w:tcBorders>
              <w:top w:val="single" w:sz="4" w:space="0" w:color="231F20"/>
              <w:left w:val="single" w:sz="4" w:space="0" w:color="231F20"/>
              <w:right w:val="single" w:sz="4" w:space="0" w:color="231F20"/>
            </w:tcBorders>
            <w:shd w:val="clear" w:color="auto" w:fill="C7EAFB"/>
          </w:tcPr>
          <w:p w:rsidR="00FF2CD0" w:rsidRPr="00C203F3" w:rsidRDefault="00FF2CD0" w:rsidP="00FF2CD0">
            <w:pPr>
              <w:spacing w:after="0" w:line="248"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b/>
                <w:bCs/>
                <w:color w:val="231F20"/>
                <w:sz w:val="24"/>
                <w:szCs w:val="24"/>
                <w:u w:val="thick" w:color="231F20"/>
                <w:vertAlign w:val="superscript"/>
              </w:rPr>
              <w:t>INDUCTION DOSE</w:t>
            </w:r>
          </w:p>
          <w:p w:rsidR="00FF2CD0" w:rsidRPr="00C203F3" w:rsidRDefault="00FF2CD0" w:rsidP="00FF2CD0">
            <w:pPr>
              <w:spacing w:before="3" w:after="0" w:line="242" w:lineRule="auto"/>
              <w:ind w:left="52" w:right="192"/>
              <w:rPr>
                <w:rFonts w:ascii="Arial Narrow" w:eastAsia="Times New Roman" w:hAnsi="Arial Narrow" w:cs="Times New Roman"/>
                <w:sz w:val="24"/>
                <w:szCs w:val="24"/>
                <w:vertAlign w:val="superscript"/>
              </w:rPr>
            </w:pPr>
            <w:r w:rsidRPr="00C203F3">
              <w:rPr>
                <w:rFonts w:ascii="Arial Narrow" w:eastAsia="Times New Roman" w:hAnsi="Arial Narrow" w:cs="Times New Roman"/>
                <w:b/>
                <w:bCs/>
                <w:color w:val="231F20"/>
                <w:sz w:val="24"/>
                <w:szCs w:val="24"/>
                <w:vertAlign w:val="superscript"/>
              </w:rPr>
              <w:t xml:space="preserve">NVP/D4T/3TC(50/6/30mg) </w:t>
            </w:r>
            <w:r w:rsidRPr="00C203F3">
              <w:rPr>
                <w:rFonts w:ascii="Arial Narrow" w:eastAsia="Times New Roman" w:hAnsi="Arial Narrow" w:cs="Times New Roman"/>
                <w:b/>
                <w:bCs/>
                <w:color w:val="231F20"/>
                <w:spacing w:val="-20"/>
                <w:sz w:val="24"/>
                <w:szCs w:val="24"/>
                <w:vertAlign w:val="superscript"/>
              </w:rPr>
              <w:t>T</w:t>
            </w:r>
            <w:r w:rsidRPr="00C203F3">
              <w:rPr>
                <w:rFonts w:ascii="Arial Narrow" w:eastAsia="Times New Roman" w:hAnsi="Arial Narrow" w:cs="Times New Roman"/>
                <w:b/>
                <w:bCs/>
                <w:color w:val="231F20"/>
                <w:sz w:val="24"/>
                <w:szCs w:val="24"/>
                <w:vertAlign w:val="superscript"/>
              </w:rPr>
              <w:t>ablet</w:t>
            </w:r>
          </w:p>
          <w:p w:rsidR="00FF2CD0" w:rsidRPr="00C203F3" w:rsidRDefault="00FF2CD0" w:rsidP="00FF2CD0">
            <w:pPr>
              <w:spacing w:before="10" w:after="0" w:line="240" w:lineRule="auto"/>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b/>
                <w:bCs/>
                <w:color w:val="231F20"/>
                <w:sz w:val="24"/>
                <w:szCs w:val="24"/>
                <w:vertAlign w:val="superscript"/>
              </w:rPr>
              <w:t>D4T/3TC(6/30mg)</w:t>
            </w:r>
            <w:r w:rsidRPr="00C203F3">
              <w:rPr>
                <w:rFonts w:ascii="Arial Narrow" w:eastAsia="Times New Roman" w:hAnsi="Arial Narrow" w:cs="Times New Roman"/>
                <w:b/>
                <w:bCs/>
                <w:color w:val="231F20"/>
                <w:spacing w:val="-20"/>
                <w:sz w:val="24"/>
                <w:szCs w:val="24"/>
                <w:vertAlign w:val="superscript"/>
              </w:rPr>
              <w:t>T</w:t>
            </w:r>
            <w:r w:rsidRPr="00C203F3">
              <w:rPr>
                <w:rFonts w:ascii="Arial Narrow" w:eastAsia="Times New Roman" w:hAnsi="Arial Narrow" w:cs="Times New Roman"/>
                <w:b/>
                <w:bCs/>
                <w:color w:val="231F20"/>
                <w:sz w:val="24"/>
                <w:szCs w:val="24"/>
                <w:vertAlign w:val="superscript"/>
              </w:rPr>
              <w:t>ablet</w:t>
            </w:r>
          </w:p>
        </w:tc>
        <w:tc>
          <w:tcPr>
            <w:tcW w:w="1020"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1A.M</w:t>
            </w:r>
          </w:p>
        </w:tc>
        <w:tc>
          <w:tcPr>
            <w:tcW w:w="884"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1.5A.M</w:t>
            </w:r>
          </w:p>
        </w:tc>
        <w:tc>
          <w:tcPr>
            <w:tcW w:w="1138"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2A.M</w:t>
            </w:r>
          </w:p>
        </w:tc>
        <w:tc>
          <w:tcPr>
            <w:tcW w:w="1191"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2.5A.M</w:t>
            </w:r>
          </w:p>
        </w:tc>
        <w:tc>
          <w:tcPr>
            <w:tcW w:w="1134"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3A.M</w:t>
            </w:r>
          </w:p>
        </w:tc>
        <w:tc>
          <w:tcPr>
            <w:tcW w:w="2244"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4A.M or 1 tab OD of</w:t>
            </w:r>
          </w:p>
          <w:p w:rsidR="00FF2CD0" w:rsidRPr="00C203F3" w:rsidRDefault="00FF2CD0" w:rsidP="00FF2CD0">
            <w:pPr>
              <w:spacing w:before="3" w:after="0" w:line="242" w:lineRule="auto"/>
              <w:ind w:left="52" w:right="101"/>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200/300/150mg (Adult formulation)</w:t>
            </w:r>
          </w:p>
        </w:tc>
      </w:tr>
      <w:tr w:rsidR="00FF2CD0" w:rsidRPr="00C203F3" w:rsidTr="00FF2CD0">
        <w:trPr>
          <w:trHeight w:hRule="exact" w:val="778"/>
        </w:trPr>
        <w:tc>
          <w:tcPr>
            <w:tcW w:w="2830" w:type="dxa"/>
            <w:vMerge/>
            <w:tcBorders>
              <w:left w:val="single" w:sz="4" w:space="0" w:color="231F20"/>
              <w:bottom w:val="single" w:sz="4" w:space="0" w:color="231F20"/>
              <w:right w:val="single" w:sz="4" w:space="0" w:color="231F20"/>
            </w:tcBorders>
            <w:shd w:val="clear" w:color="auto" w:fill="C7EAFB"/>
          </w:tcPr>
          <w:p w:rsidR="00FF2CD0" w:rsidRPr="00C203F3" w:rsidRDefault="00FF2CD0" w:rsidP="00FF2CD0">
            <w:pPr>
              <w:rPr>
                <w:rFonts w:ascii="Arial Narrow" w:hAnsi="Arial Narrow"/>
                <w:sz w:val="24"/>
                <w:szCs w:val="24"/>
                <w:vertAlign w:val="superscript"/>
              </w:rPr>
            </w:pPr>
          </w:p>
        </w:tc>
        <w:tc>
          <w:tcPr>
            <w:tcW w:w="1020"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1</w:t>
            </w:r>
            <w:r w:rsidRPr="00C203F3">
              <w:rPr>
                <w:rFonts w:ascii="Arial Narrow" w:eastAsia="Times New Roman" w:hAnsi="Arial Narrow" w:cs="Times New Roman"/>
                <w:color w:val="231F20"/>
                <w:spacing w:val="-24"/>
                <w:sz w:val="24"/>
                <w:szCs w:val="24"/>
                <w:vertAlign w:val="superscript"/>
              </w:rPr>
              <w:t>P</w:t>
            </w:r>
            <w:r w:rsidRPr="00C203F3">
              <w:rPr>
                <w:rFonts w:ascii="Arial Narrow" w:eastAsia="Times New Roman" w:hAnsi="Arial Narrow" w:cs="Times New Roman"/>
                <w:color w:val="231F20"/>
                <w:sz w:val="24"/>
                <w:szCs w:val="24"/>
                <w:vertAlign w:val="superscript"/>
              </w:rPr>
              <w:t>.M</w:t>
            </w:r>
          </w:p>
        </w:tc>
        <w:tc>
          <w:tcPr>
            <w:tcW w:w="884"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1.5</w:t>
            </w:r>
            <w:r w:rsidRPr="00C203F3">
              <w:rPr>
                <w:rFonts w:ascii="Arial Narrow" w:eastAsia="Times New Roman" w:hAnsi="Arial Narrow" w:cs="Times New Roman"/>
                <w:color w:val="231F20"/>
                <w:spacing w:val="-24"/>
                <w:sz w:val="24"/>
                <w:szCs w:val="24"/>
                <w:vertAlign w:val="superscript"/>
              </w:rPr>
              <w:t>P</w:t>
            </w:r>
            <w:r w:rsidRPr="00C203F3">
              <w:rPr>
                <w:rFonts w:ascii="Arial Narrow" w:eastAsia="Times New Roman" w:hAnsi="Arial Narrow" w:cs="Times New Roman"/>
                <w:color w:val="231F20"/>
                <w:sz w:val="24"/>
                <w:szCs w:val="24"/>
                <w:vertAlign w:val="superscript"/>
              </w:rPr>
              <w:t>.M</w:t>
            </w:r>
          </w:p>
        </w:tc>
        <w:tc>
          <w:tcPr>
            <w:tcW w:w="1138"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2</w:t>
            </w:r>
            <w:r w:rsidRPr="00C203F3">
              <w:rPr>
                <w:rFonts w:ascii="Arial Narrow" w:eastAsia="Times New Roman" w:hAnsi="Arial Narrow" w:cs="Times New Roman"/>
                <w:color w:val="231F20"/>
                <w:spacing w:val="-24"/>
                <w:sz w:val="24"/>
                <w:szCs w:val="24"/>
                <w:vertAlign w:val="superscript"/>
              </w:rPr>
              <w:t>P</w:t>
            </w:r>
            <w:r w:rsidRPr="00C203F3">
              <w:rPr>
                <w:rFonts w:ascii="Arial Narrow" w:eastAsia="Times New Roman" w:hAnsi="Arial Narrow" w:cs="Times New Roman"/>
                <w:color w:val="231F20"/>
                <w:sz w:val="24"/>
                <w:szCs w:val="24"/>
                <w:vertAlign w:val="superscript"/>
              </w:rPr>
              <w:t>.M</w:t>
            </w:r>
          </w:p>
        </w:tc>
        <w:tc>
          <w:tcPr>
            <w:tcW w:w="1191"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 xml:space="preserve">2.5 </w:t>
            </w:r>
            <w:r w:rsidRPr="00C203F3">
              <w:rPr>
                <w:rFonts w:ascii="Arial Narrow" w:eastAsia="Times New Roman" w:hAnsi="Arial Narrow" w:cs="Times New Roman"/>
                <w:color w:val="231F20"/>
                <w:spacing w:val="-24"/>
                <w:sz w:val="24"/>
                <w:szCs w:val="24"/>
                <w:vertAlign w:val="superscript"/>
              </w:rPr>
              <w:t>P</w:t>
            </w:r>
            <w:r w:rsidRPr="00C203F3">
              <w:rPr>
                <w:rFonts w:ascii="Arial Narrow" w:eastAsia="Times New Roman" w:hAnsi="Arial Narrow" w:cs="Times New Roman"/>
                <w:color w:val="231F20"/>
                <w:sz w:val="24"/>
                <w:szCs w:val="24"/>
                <w:vertAlign w:val="superscript"/>
              </w:rPr>
              <w:t>.M</w:t>
            </w:r>
          </w:p>
        </w:tc>
        <w:tc>
          <w:tcPr>
            <w:tcW w:w="1134"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 xml:space="preserve">3 </w:t>
            </w:r>
            <w:r w:rsidRPr="00C203F3">
              <w:rPr>
                <w:rFonts w:ascii="Arial Narrow" w:eastAsia="Times New Roman" w:hAnsi="Arial Narrow" w:cs="Times New Roman"/>
                <w:color w:val="231F20"/>
                <w:spacing w:val="-24"/>
                <w:sz w:val="24"/>
                <w:szCs w:val="24"/>
                <w:vertAlign w:val="superscript"/>
              </w:rPr>
              <w:t>P</w:t>
            </w:r>
            <w:r w:rsidRPr="00C203F3">
              <w:rPr>
                <w:rFonts w:ascii="Arial Narrow" w:eastAsia="Times New Roman" w:hAnsi="Arial Narrow" w:cs="Times New Roman"/>
                <w:color w:val="231F20"/>
                <w:sz w:val="24"/>
                <w:szCs w:val="24"/>
                <w:vertAlign w:val="superscript"/>
              </w:rPr>
              <w:t>.M</w:t>
            </w:r>
          </w:p>
        </w:tc>
        <w:tc>
          <w:tcPr>
            <w:tcW w:w="2244" w:type="dxa"/>
            <w:tcBorders>
              <w:top w:val="single" w:sz="4" w:space="0" w:color="231F20"/>
              <w:left w:val="single" w:sz="4" w:space="0" w:color="231F20"/>
              <w:bottom w:val="single" w:sz="4" w:space="0" w:color="231F20"/>
              <w:right w:val="single" w:sz="4" w:space="0" w:color="231F20"/>
            </w:tcBorders>
            <w:shd w:val="clear" w:color="auto" w:fill="C7EAFB"/>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 xml:space="preserve">4 </w:t>
            </w:r>
            <w:r w:rsidRPr="00C203F3">
              <w:rPr>
                <w:rFonts w:ascii="Arial Narrow" w:eastAsia="Times New Roman" w:hAnsi="Arial Narrow" w:cs="Times New Roman"/>
                <w:color w:val="231F20"/>
                <w:spacing w:val="-24"/>
                <w:sz w:val="24"/>
                <w:szCs w:val="24"/>
                <w:vertAlign w:val="superscript"/>
              </w:rPr>
              <w:t>P</w:t>
            </w:r>
            <w:r w:rsidRPr="00C203F3">
              <w:rPr>
                <w:rFonts w:ascii="Arial Narrow" w:eastAsia="Times New Roman" w:hAnsi="Arial Narrow" w:cs="Times New Roman"/>
                <w:color w:val="231F20"/>
                <w:sz w:val="24"/>
                <w:szCs w:val="24"/>
                <w:vertAlign w:val="superscript"/>
              </w:rPr>
              <w:t>.M or 1 tab OD of</w:t>
            </w:r>
          </w:p>
          <w:p w:rsidR="00FF2CD0" w:rsidRPr="00C203F3" w:rsidRDefault="00FF2CD0" w:rsidP="00FF2CD0">
            <w:pPr>
              <w:spacing w:before="3" w:after="0" w:line="242" w:lineRule="auto"/>
              <w:ind w:left="52" w:right="492"/>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300/150mg (Adult formulation)</w:t>
            </w:r>
          </w:p>
        </w:tc>
      </w:tr>
      <w:tr w:rsidR="00FF2CD0" w:rsidRPr="00C203F3" w:rsidTr="00FF2CD0">
        <w:trPr>
          <w:trHeight w:hRule="exact" w:val="974"/>
        </w:trPr>
        <w:tc>
          <w:tcPr>
            <w:tcW w:w="283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48"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b/>
                <w:bCs/>
                <w:color w:val="231F20"/>
                <w:sz w:val="24"/>
                <w:szCs w:val="24"/>
                <w:u w:val="thick" w:color="231F20"/>
                <w:vertAlign w:val="superscript"/>
              </w:rPr>
              <w:t>MAIN</w:t>
            </w:r>
            <w:r w:rsidRPr="00C203F3">
              <w:rPr>
                <w:rFonts w:ascii="Arial Narrow" w:eastAsia="Times New Roman" w:hAnsi="Arial Narrow" w:cs="Times New Roman"/>
                <w:b/>
                <w:bCs/>
                <w:color w:val="231F20"/>
                <w:spacing w:val="-16"/>
                <w:sz w:val="24"/>
                <w:szCs w:val="24"/>
                <w:u w:val="thick" w:color="231F20"/>
                <w:vertAlign w:val="superscript"/>
              </w:rPr>
              <w:t>T</w:t>
            </w:r>
            <w:r w:rsidRPr="00C203F3">
              <w:rPr>
                <w:rFonts w:ascii="Arial Narrow" w:eastAsia="Times New Roman" w:hAnsi="Arial Narrow" w:cs="Times New Roman"/>
                <w:b/>
                <w:bCs/>
                <w:color w:val="231F20"/>
                <w:sz w:val="24"/>
                <w:szCs w:val="24"/>
                <w:u w:val="thick" w:color="231F20"/>
                <w:vertAlign w:val="superscript"/>
              </w:rPr>
              <w:t>ANANCE DOSE</w:t>
            </w:r>
          </w:p>
          <w:p w:rsidR="00FF2CD0" w:rsidRPr="00C203F3" w:rsidRDefault="00FF2CD0" w:rsidP="00FF2CD0">
            <w:pPr>
              <w:spacing w:before="3" w:after="0" w:line="200" w:lineRule="exact"/>
              <w:rPr>
                <w:rFonts w:ascii="Arial Narrow" w:hAnsi="Arial Narrow"/>
                <w:sz w:val="24"/>
                <w:szCs w:val="24"/>
                <w:vertAlign w:val="superscript"/>
              </w:rPr>
            </w:pPr>
          </w:p>
          <w:p w:rsidR="00FF2CD0" w:rsidRPr="00C203F3" w:rsidRDefault="00FF2CD0" w:rsidP="00FF2CD0">
            <w:pPr>
              <w:spacing w:after="0" w:line="242" w:lineRule="auto"/>
              <w:ind w:left="52" w:right="137"/>
              <w:rPr>
                <w:rFonts w:ascii="Arial Narrow" w:eastAsia="Times New Roman" w:hAnsi="Arial Narrow" w:cs="Times New Roman"/>
                <w:sz w:val="24"/>
                <w:szCs w:val="24"/>
                <w:vertAlign w:val="superscript"/>
              </w:rPr>
            </w:pPr>
            <w:r w:rsidRPr="00C203F3">
              <w:rPr>
                <w:rFonts w:ascii="Arial Narrow" w:eastAsia="Times New Roman" w:hAnsi="Arial Narrow" w:cs="Times New Roman"/>
                <w:b/>
                <w:bCs/>
                <w:color w:val="231F20"/>
                <w:sz w:val="24"/>
                <w:szCs w:val="24"/>
                <w:vertAlign w:val="superscript"/>
              </w:rPr>
              <w:t xml:space="preserve">NVP/D4T/3TC (50/6/30mg) </w:t>
            </w:r>
            <w:r w:rsidRPr="00C203F3">
              <w:rPr>
                <w:rFonts w:ascii="Arial Narrow" w:eastAsia="Times New Roman" w:hAnsi="Arial Narrow" w:cs="Times New Roman"/>
                <w:b/>
                <w:bCs/>
                <w:color w:val="231F20"/>
                <w:spacing w:val="-20"/>
                <w:sz w:val="24"/>
                <w:szCs w:val="24"/>
                <w:vertAlign w:val="superscript"/>
              </w:rPr>
              <w:t>T</w:t>
            </w:r>
            <w:r w:rsidRPr="00C203F3">
              <w:rPr>
                <w:rFonts w:ascii="Arial Narrow" w:eastAsia="Times New Roman" w:hAnsi="Arial Narrow" w:cs="Times New Roman"/>
                <w:b/>
                <w:bCs/>
                <w:color w:val="231F20"/>
                <w:sz w:val="24"/>
                <w:szCs w:val="24"/>
                <w:vertAlign w:val="superscript"/>
              </w:rPr>
              <w:t>ablet</w:t>
            </w:r>
          </w:p>
        </w:tc>
        <w:tc>
          <w:tcPr>
            <w:tcW w:w="102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1 BD</w:t>
            </w:r>
          </w:p>
        </w:tc>
        <w:tc>
          <w:tcPr>
            <w:tcW w:w="88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1.5 BD</w:t>
            </w:r>
          </w:p>
        </w:tc>
        <w:tc>
          <w:tcPr>
            <w:tcW w:w="113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2 BD</w:t>
            </w:r>
          </w:p>
        </w:tc>
        <w:tc>
          <w:tcPr>
            <w:tcW w:w="1191"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2.5 BD</w:t>
            </w:r>
          </w:p>
        </w:tc>
        <w:tc>
          <w:tcPr>
            <w:tcW w:w="113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3 BD</w:t>
            </w:r>
          </w:p>
        </w:tc>
        <w:tc>
          <w:tcPr>
            <w:tcW w:w="224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4 BD or 1 tab BD of</w:t>
            </w:r>
          </w:p>
          <w:p w:rsidR="00FF2CD0" w:rsidRPr="00C203F3" w:rsidRDefault="00FF2CD0" w:rsidP="00FF2CD0">
            <w:pPr>
              <w:spacing w:before="3" w:after="0" w:line="242" w:lineRule="auto"/>
              <w:ind w:left="52" w:right="211"/>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200/30/150mg (Adult formulation)</w:t>
            </w:r>
          </w:p>
        </w:tc>
      </w:tr>
    </w:tbl>
    <w:p w:rsidR="00FF2CD0" w:rsidRPr="00C203F3" w:rsidRDefault="00FF2CD0" w:rsidP="00FF2CD0">
      <w:pPr>
        <w:spacing w:after="0"/>
        <w:rPr>
          <w:rFonts w:ascii="Arial Narrow" w:hAnsi="Arial Narrow"/>
          <w:sz w:val="24"/>
          <w:szCs w:val="24"/>
          <w:vertAlign w:val="superscript"/>
        </w:rPr>
        <w:sectPr w:rsidR="00FF2CD0" w:rsidRPr="00C203F3">
          <w:pgSz w:w="12760" w:h="9240" w:orient="landscape"/>
          <w:pgMar w:top="420" w:right="0" w:bottom="280" w:left="0" w:header="0" w:footer="0" w:gutter="0"/>
          <w:cols w:space="720"/>
        </w:sectPr>
      </w:pPr>
    </w:p>
    <w:p w:rsidR="00FF2CD0" w:rsidRPr="00C203F3" w:rsidRDefault="00AA771C" w:rsidP="00FF2CD0">
      <w:pPr>
        <w:spacing w:before="7" w:after="0" w:line="220" w:lineRule="exact"/>
        <w:rPr>
          <w:rFonts w:ascii="Arial Narrow" w:hAnsi="Arial Narrow"/>
          <w:sz w:val="24"/>
          <w:szCs w:val="24"/>
          <w:vertAlign w:val="superscript"/>
        </w:rPr>
      </w:pPr>
      <w:r>
        <w:rPr>
          <w:rFonts w:ascii="Arial Narrow" w:hAnsi="Arial Narrow"/>
          <w:noProof/>
          <w:sz w:val="24"/>
          <w:szCs w:val="24"/>
          <w:vertAlign w:val="superscript"/>
        </w:rPr>
        <mc:AlternateContent>
          <mc:Choice Requires="wpg">
            <w:drawing>
              <wp:anchor distT="0" distB="0" distL="114300" distR="114300" simplePos="0" relativeHeight="251756544" behindDoc="1" locked="0" layoutInCell="1" allowOverlap="1">
                <wp:simplePos x="0" y="0"/>
                <wp:positionH relativeFrom="page">
                  <wp:posOffset>7827010</wp:posOffset>
                </wp:positionH>
                <wp:positionV relativeFrom="page">
                  <wp:posOffset>0</wp:posOffset>
                </wp:positionV>
                <wp:extent cx="1270" cy="190500"/>
                <wp:effectExtent l="0" t="0" r="17780" b="19050"/>
                <wp:wrapNone/>
                <wp:docPr id="79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12326" y="0"/>
                          <a:chExt cx="2" cy="300"/>
                        </a:xfrm>
                      </wpg:grpSpPr>
                      <wps:wsp>
                        <wps:cNvPr id="798" name="Freeform 461"/>
                        <wps:cNvSpPr>
                          <a:spLocks/>
                        </wps:cNvSpPr>
                        <wps:spPr bwMode="auto">
                          <a:xfrm>
                            <a:off x="12326"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0" o:spid="_x0000_s1026" style="position:absolute;margin-left:616.3pt;margin-top:0;width:.1pt;height:15pt;z-index:-251559936;mso-position-horizontal-relative:page;mso-position-vertical-relative:page" coordorigin="12326"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">
                <v:shape id="Freeform 461" o:spid="_x0000_s1027" style="position:absolute;left:12326;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4ijsEA&#10;AADcAAAADwAAAGRycy9kb3ducmV2LnhtbERPTYvCMBC9C/sfwix4EU314Lq1UZZFwYOXqrDXoRmb&#10;0mZSmtjWf28Owh4f7zvbj7YRPXW+cqxguUhAEBdOV1wquF2P8w0IH5A1No5JwZM87HcfkwxT7QbO&#10;qb+EUsQQ9ikqMCG0qZS+MGTRL1xLHLm76yyGCLtS6g6HGG4buUqStbRYcWww2NKvoaK+PKyCXI7n&#10;2dW09tCH4S8vNsn5/qiVmn6OP1sQgcbwL367T1rB13dcG8/EIy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Io7BAAAA3AAAAA8AAAAAAAAAAAAAAAAAmAIAAGRycy9kb3du&#10;cmV2LnhtbFBLBQYAAAAABAAEAPUAAACGAwAAAAA=&#10;" path="m,300l,e" filled="f" strokeweight=".25pt">
                  <v:path arrowok="t" o:connecttype="custom" o:connectlocs="0,300;0,0" o:connectangles="0,0"/>
                </v:shape>
                <w10:wrap anchorx="page" anchory="page"/>
              </v:group>
            </w:pict>
          </mc:Fallback>
        </mc:AlternateContent>
      </w:r>
      <w:r>
        <w:rPr>
          <w:rFonts w:ascii="Arial Narrow" w:hAnsi="Arial Narrow"/>
          <w:noProof/>
          <w:sz w:val="24"/>
          <w:szCs w:val="24"/>
          <w:vertAlign w:val="superscript"/>
        </w:rPr>
        <mc:AlternateContent>
          <mc:Choice Requires="wpg">
            <w:drawing>
              <wp:anchor distT="0" distB="0" distL="114300" distR="114300" simplePos="0" relativeHeight="251757568" behindDoc="1" locked="0" layoutInCell="1" allowOverlap="1">
                <wp:simplePos x="0" y="0"/>
                <wp:positionH relativeFrom="page">
                  <wp:posOffset>7827010</wp:posOffset>
                </wp:positionH>
                <wp:positionV relativeFrom="page">
                  <wp:posOffset>5671185</wp:posOffset>
                </wp:positionV>
                <wp:extent cx="1270" cy="190500"/>
                <wp:effectExtent l="0" t="0" r="17780" b="19050"/>
                <wp:wrapNone/>
                <wp:docPr id="795"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12326" y="8931"/>
                          <a:chExt cx="2" cy="300"/>
                        </a:xfrm>
                      </wpg:grpSpPr>
                      <wps:wsp>
                        <wps:cNvPr id="796" name="Freeform 459"/>
                        <wps:cNvSpPr>
                          <a:spLocks/>
                        </wps:cNvSpPr>
                        <wps:spPr bwMode="auto">
                          <a:xfrm>
                            <a:off x="12326" y="8931"/>
                            <a:ext cx="2" cy="300"/>
                          </a:xfrm>
                          <a:custGeom>
                            <a:avLst/>
                            <a:gdLst>
                              <a:gd name="T0" fmla="+- 0 8931 8931"/>
                              <a:gd name="T1" fmla="*/ 8931 h 300"/>
                              <a:gd name="T2" fmla="+- 0 9231 8931"/>
                              <a:gd name="T3" fmla="*/ 9231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 o:spid="_x0000_s1026" style="position:absolute;margin-left:616.3pt;margin-top:446.55pt;width:.1pt;height:15pt;z-index:-251558912;mso-position-horizontal-relative:page;mso-position-vertical-relative:page" coordorigin="12326,8931"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">
                <v:shape id="Freeform 459" o:spid="_x0000_s1027" style="position:absolute;left:12326;top:8931;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TZ8MA&#10;AADcAAAADwAAAGRycy9kb3ducmV2LnhtbESPQYvCMBSE74L/ITzBi2jqHly3GmVZXPDgpVbY66N5&#10;NsXmpTSxrf/eCMIeh5n5htnuB1uLjlpfOVawXCQgiAunKy4VXPLf+RqED8gaa8ek4EEe9rvxaIup&#10;dj1n1J1DKSKEfYoKTAhNKqUvDFn0C9cQR+/qWoshyraUusU+wm0tP5JkJS1WHBcMNvRjqLid71ZB&#10;JofTLDeNPXSh/8uKdXK63m9KTSfD9wZEoCH8h9/to1bw+bWC15l4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0TZ8MAAADcAAAADwAAAAAAAAAAAAAAAACYAgAAZHJzL2Rv&#10;d25yZXYueG1sUEsFBgAAAAAEAAQA9QAAAIgDAAAAAA==&#10;" path="m,l,300e" filled="f" strokeweight=".25pt">
                  <v:path arrowok="t" o:connecttype="custom" o:connectlocs="0,8931;0,9231" o:connectangles="0,0"/>
                </v:shape>
                <w10:wrap anchorx="page" anchory="page"/>
              </v:group>
            </w:pict>
          </mc:Fallback>
        </mc:AlternateContent>
      </w:r>
      <w:r>
        <w:rPr>
          <w:rFonts w:ascii="Arial Narrow" w:hAnsi="Arial Narrow"/>
          <w:noProof/>
          <w:sz w:val="24"/>
          <w:szCs w:val="24"/>
          <w:vertAlign w:val="superscript"/>
        </w:rPr>
        <mc:AlternateContent>
          <mc:Choice Requires="wpg">
            <w:drawing>
              <wp:anchor distT="0" distB="0" distL="114300" distR="114300" simplePos="0" relativeHeight="251758592" behindDoc="1" locked="0" layoutInCell="1" allowOverlap="1">
                <wp:simplePos x="0" y="0"/>
                <wp:positionH relativeFrom="page">
                  <wp:posOffset>7903210</wp:posOffset>
                </wp:positionH>
                <wp:positionV relativeFrom="page">
                  <wp:posOffset>266700</wp:posOffset>
                </wp:positionV>
                <wp:extent cx="190500" cy="1270"/>
                <wp:effectExtent l="0" t="0" r="19050" b="17780"/>
                <wp:wrapNone/>
                <wp:docPr id="791"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2446" y="420"/>
                          <a:chExt cx="300" cy="2"/>
                        </a:xfrm>
                      </wpg:grpSpPr>
                      <wps:wsp>
                        <wps:cNvPr id="792" name="Freeform 455"/>
                        <wps:cNvSpPr>
                          <a:spLocks/>
                        </wps:cNvSpPr>
                        <wps:spPr bwMode="auto">
                          <a:xfrm>
                            <a:off x="12446" y="420"/>
                            <a:ext cx="300" cy="2"/>
                          </a:xfrm>
                          <a:custGeom>
                            <a:avLst/>
                            <a:gdLst>
                              <a:gd name="T0" fmla="+- 0 12446 12446"/>
                              <a:gd name="T1" fmla="*/ T0 w 300"/>
                              <a:gd name="T2" fmla="+- 0 12746 12446"/>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 o:spid="_x0000_s1026" style="position:absolute;margin-left:622.3pt;margin-top:21pt;width:15pt;height:.1pt;z-index:-251557888;mso-position-horizontal-relative:page;mso-position-vertical-relative:page" coordorigin="12446,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">
                <v:shape id="Freeform 455" o:spid="_x0000_s1027" style="position:absolute;left:12446;top:420;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evsQA&#10;AADcAAAADwAAAGRycy9kb3ducmV2LnhtbESPT2vCQBTE74LfYXlCb7oxlqrRVbRQmnoQ/Hd/ZJ9J&#10;MPs27G41/fbdQsHjMDO/YZbrzjTiTs7XlhWMRwkI4sLqmksF59PHcAbCB2SNjWVS8EMe1qt+b4mZ&#10;tg8+0P0YShEh7DNUUIXQZlL6oiKDfmRb4uhdrTMYonSl1A4fEW4amSbJmzRYc1yosKX3iorb8dso&#10;2O/ZObxO0vGnmU920+3rJf/KlXoZdJsFiEBdeIb/27lWMJ2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OXr7EAAAA3AAAAA8AAAAAAAAAAAAAAAAAmAIAAGRycy9k&#10;b3ducmV2LnhtbFBLBQYAAAAABAAEAPUAAACJAwAAAAA=&#10;" path="m,l300,e" filled="f" strokeweight=".25pt">
                  <v:path arrowok="t" o:connecttype="custom" o:connectlocs="0,0;300,0" o:connectangles="0,0"/>
                </v:shape>
                <w10:wrap anchorx="page" anchory="page"/>
              </v:group>
            </w:pict>
          </mc:Fallback>
        </mc:AlternateContent>
      </w:r>
      <w:r>
        <w:rPr>
          <w:rFonts w:ascii="Arial Narrow" w:hAnsi="Arial Narrow"/>
          <w:noProof/>
          <w:sz w:val="24"/>
          <w:szCs w:val="24"/>
          <w:vertAlign w:val="superscript"/>
        </w:rPr>
        <mc:AlternateContent>
          <mc:Choice Requires="wpg">
            <w:drawing>
              <wp:anchor distT="0" distB="0" distL="114300" distR="114300" simplePos="0" relativeHeight="251759616" behindDoc="1" locked="0" layoutInCell="1" allowOverlap="1">
                <wp:simplePos x="0" y="0"/>
                <wp:positionH relativeFrom="page">
                  <wp:posOffset>7903210</wp:posOffset>
                </wp:positionH>
                <wp:positionV relativeFrom="page">
                  <wp:posOffset>5594985</wp:posOffset>
                </wp:positionV>
                <wp:extent cx="190500" cy="1270"/>
                <wp:effectExtent l="0" t="0" r="19050" b="17780"/>
                <wp:wrapNone/>
                <wp:docPr id="789"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2446" y="8811"/>
                          <a:chExt cx="300" cy="2"/>
                        </a:xfrm>
                      </wpg:grpSpPr>
                      <wps:wsp>
                        <wps:cNvPr id="790" name="Freeform 453"/>
                        <wps:cNvSpPr>
                          <a:spLocks/>
                        </wps:cNvSpPr>
                        <wps:spPr bwMode="auto">
                          <a:xfrm>
                            <a:off x="12446" y="8811"/>
                            <a:ext cx="300" cy="2"/>
                          </a:xfrm>
                          <a:custGeom>
                            <a:avLst/>
                            <a:gdLst>
                              <a:gd name="T0" fmla="+- 0 12446 12446"/>
                              <a:gd name="T1" fmla="*/ T0 w 300"/>
                              <a:gd name="T2" fmla="+- 0 12746 12446"/>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2" o:spid="_x0000_s1026" style="position:absolute;margin-left:622.3pt;margin-top:440.55pt;width:15pt;height:.1pt;z-index:-251556864;mso-position-horizontal-relative:page;mso-position-vertical-relative:page" coordorigin="12446,8811"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">
                <v:shape id="Freeform 453" o:spid="_x0000_s1027" style="position:absolute;left:12446;top:8811;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BlUsEA&#10;AADcAAAADwAAAGRycy9kb3ducmV2LnhtbERPy4rCMBTdC/5DuAOz09QHPjpGUUGsLgQfs78017ZM&#10;c1OSjNa/nywGXB7Oe7FqTS0e5HxlWcGgn4Agzq2uuFBwu+56MxA+IGusLZOCF3lYLbudBabaPvlM&#10;j0soRAxhn6KCMoQmldLnJRn0fdsQR+5uncEQoSukdviM4aaWwySZSIMVx4YSG9qWlP9cfo2C04md&#10;w/toONib+eg43Yy/s0Om1OdHu/4CEagNb/G/O9MKpvM4P56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QZVLBAAAA3AAAAA8AAAAAAAAAAAAAAAAAmAIAAGRycy9kb3du&#10;cmV2LnhtbFBLBQYAAAAABAAEAPUAAACGAwAAAAA=&#10;" path="m,l300,e" filled="f" strokeweight=".25pt">
                  <v:path arrowok="t" o:connecttype="custom" o:connectlocs="0,0;300,0" o:connectangles="0,0"/>
                </v:shape>
                <w10:wrap anchorx="page" anchory="page"/>
              </v:group>
            </w:pict>
          </mc:Fallback>
        </mc:AlternateContent>
      </w:r>
      <w:r>
        <w:rPr>
          <w:rFonts w:ascii="Arial Narrow" w:hAnsi="Arial Narrow"/>
          <w:noProof/>
          <w:sz w:val="24"/>
          <w:szCs w:val="24"/>
          <w:vertAlign w:val="superscript"/>
        </w:rPr>
        <mc:AlternateContent>
          <mc:Choice Requires="wps">
            <w:drawing>
              <wp:anchor distT="0" distB="0" distL="114300" distR="114300" simplePos="0" relativeHeight="251760640" behindDoc="1" locked="0" layoutInCell="1" allowOverlap="1">
                <wp:simplePos x="0" y="0"/>
                <wp:positionH relativeFrom="page">
                  <wp:posOffset>411480</wp:posOffset>
                </wp:positionH>
                <wp:positionV relativeFrom="page">
                  <wp:posOffset>838200</wp:posOffset>
                </wp:positionV>
                <wp:extent cx="165100" cy="234950"/>
                <wp:effectExtent l="0" t="0" r="6350" b="12700"/>
                <wp:wrapNone/>
                <wp:docPr id="786"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sidP="00FF2CD0">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color w:val="FFFFFF"/>
                              </w:rPr>
                              <w:t>294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478" type="#_x0000_t202" style="position:absolute;margin-left:32.4pt;margin-top:66pt;width:13pt;height:18.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" filled="f" stroked="f">
                <v:textbox style="layout-flow:vertical" inset="0,0,0,0">
                  <w:txbxContent>
                    <w:p w:rsidR="00B247C9" w:rsidRDefault="00B247C9" w:rsidP="00FF2CD0">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color w:val="FFFFFF"/>
                        </w:rPr>
                        <w:t>294</w:t>
                      </w:r>
                    </w:p>
                  </w:txbxContent>
                </v:textbox>
                <w10:wrap anchorx="page" anchory="page"/>
              </v:shape>
            </w:pict>
          </mc:Fallback>
        </mc:AlternateContent>
      </w:r>
    </w:p>
    <w:tbl>
      <w:tblPr>
        <w:tblW w:w="0" w:type="auto"/>
        <w:tblInd w:w="114" w:type="dxa"/>
        <w:tblLayout w:type="fixed"/>
        <w:tblCellMar>
          <w:left w:w="0" w:type="dxa"/>
          <w:right w:w="0" w:type="dxa"/>
        </w:tblCellMar>
        <w:tblLook w:val="01E0" w:firstRow="1" w:lastRow="1" w:firstColumn="1" w:lastColumn="1" w:noHBand="0" w:noVBand="0"/>
      </w:tblPr>
      <w:tblGrid>
        <w:gridCol w:w="2830"/>
        <w:gridCol w:w="1020"/>
        <w:gridCol w:w="884"/>
        <w:gridCol w:w="1138"/>
        <w:gridCol w:w="1191"/>
        <w:gridCol w:w="1134"/>
        <w:gridCol w:w="2244"/>
      </w:tblGrid>
      <w:tr w:rsidR="00FF2CD0" w:rsidRPr="00C203F3" w:rsidTr="00FF2CD0">
        <w:trPr>
          <w:trHeight w:hRule="exact" w:val="778"/>
        </w:trPr>
        <w:tc>
          <w:tcPr>
            <w:tcW w:w="2830" w:type="dxa"/>
            <w:vMerge w:val="restart"/>
            <w:tcBorders>
              <w:top w:val="single" w:sz="4" w:space="0" w:color="231F20"/>
              <w:left w:val="single" w:sz="4" w:space="0" w:color="231F20"/>
              <w:right w:val="single" w:sz="4" w:space="0" w:color="231F20"/>
            </w:tcBorders>
            <w:shd w:val="clear" w:color="auto" w:fill="E4F5FD"/>
          </w:tcPr>
          <w:p w:rsidR="00FF2CD0" w:rsidRPr="00C203F3" w:rsidRDefault="00FF2CD0" w:rsidP="00FF2CD0">
            <w:pPr>
              <w:spacing w:after="0" w:line="248"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b/>
                <w:bCs/>
                <w:color w:val="231F20"/>
                <w:sz w:val="24"/>
                <w:szCs w:val="24"/>
                <w:u w:val="thick" w:color="231F20"/>
                <w:vertAlign w:val="superscript"/>
              </w:rPr>
              <w:t>INDUCTION DOSE</w:t>
            </w:r>
          </w:p>
          <w:p w:rsidR="00FF2CD0" w:rsidRPr="00C203F3" w:rsidRDefault="00FF2CD0" w:rsidP="00FF2CD0">
            <w:pPr>
              <w:spacing w:before="3" w:after="0" w:line="242" w:lineRule="auto"/>
              <w:ind w:left="52" w:right="-7"/>
              <w:rPr>
                <w:rFonts w:ascii="Arial Narrow" w:eastAsia="Times New Roman" w:hAnsi="Arial Narrow" w:cs="Times New Roman"/>
                <w:sz w:val="24"/>
                <w:szCs w:val="24"/>
                <w:vertAlign w:val="superscript"/>
              </w:rPr>
            </w:pPr>
            <w:r w:rsidRPr="00C203F3">
              <w:rPr>
                <w:rFonts w:ascii="Arial Narrow" w:eastAsia="Times New Roman" w:hAnsi="Arial Narrow" w:cs="Times New Roman"/>
                <w:b/>
                <w:bCs/>
                <w:color w:val="231F20"/>
                <w:spacing w:val="-1"/>
                <w:sz w:val="24"/>
                <w:szCs w:val="24"/>
                <w:vertAlign w:val="superscript"/>
              </w:rPr>
              <w:t>NVP/D4T/3TC(100/12/60mg</w:t>
            </w:r>
            <w:r w:rsidRPr="00C203F3">
              <w:rPr>
                <w:rFonts w:ascii="Arial Narrow" w:eastAsia="Times New Roman" w:hAnsi="Arial Narrow" w:cs="Times New Roman"/>
                <w:b/>
                <w:bCs/>
                <w:color w:val="231F20"/>
                <w:sz w:val="24"/>
                <w:szCs w:val="24"/>
                <w:vertAlign w:val="superscript"/>
              </w:rPr>
              <w:t xml:space="preserve">) </w:t>
            </w:r>
            <w:r w:rsidRPr="00C203F3">
              <w:rPr>
                <w:rFonts w:ascii="Arial Narrow" w:eastAsia="Times New Roman" w:hAnsi="Arial Narrow" w:cs="Times New Roman"/>
                <w:b/>
                <w:bCs/>
                <w:color w:val="231F20"/>
                <w:spacing w:val="-20"/>
                <w:sz w:val="24"/>
                <w:szCs w:val="24"/>
                <w:vertAlign w:val="superscript"/>
              </w:rPr>
              <w:t>T</w:t>
            </w:r>
            <w:r w:rsidRPr="00C203F3">
              <w:rPr>
                <w:rFonts w:ascii="Arial Narrow" w:eastAsia="Times New Roman" w:hAnsi="Arial Narrow" w:cs="Times New Roman"/>
                <w:b/>
                <w:bCs/>
                <w:color w:val="231F20"/>
                <w:sz w:val="24"/>
                <w:szCs w:val="24"/>
                <w:vertAlign w:val="superscript"/>
              </w:rPr>
              <w:t>ablet</w:t>
            </w:r>
          </w:p>
          <w:p w:rsidR="00FF2CD0" w:rsidRPr="00C203F3" w:rsidRDefault="00FF2CD0" w:rsidP="00FF2CD0">
            <w:pPr>
              <w:spacing w:before="10" w:after="0" w:line="240" w:lineRule="auto"/>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b/>
                <w:bCs/>
                <w:color w:val="231F20"/>
                <w:sz w:val="24"/>
                <w:szCs w:val="24"/>
                <w:vertAlign w:val="superscript"/>
              </w:rPr>
              <w:t>D4T/3TC(12/60mg)</w:t>
            </w:r>
            <w:r w:rsidRPr="00C203F3">
              <w:rPr>
                <w:rFonts w:ascii="Arial Narrow" w:eastAsia="Times New Roman" w:hAnsi="Arial Narrow" w:cs="Times New Roman"/>
                <w:b/>
                <w:bCs/>
                <w:color w:val="231F20"/>
                <w:spacing w:val="-20"/>
                <w:sz w:val="24"/>
                <w:szCs w:val="24"/>
                <w:vertAlign w:val="superscript"/>
              </w:rPr>
              <w:t>T</w:t>
            </w:r>
            <w:r w:rsidRPr="00C203F3">
              <w:rPr>
                <w:rFonts w:ascii="Arial Narrow" w:eastAsia="Times New Roman" w:hAnsi="Arial Narrow" w:cs="Times New Roman"/>
                <w:b/>
                <w:bCs/>
                <w:color w:val="231F20"/>
                <w:sz w:val="24"/>
                <w:szCs w:val="24"/>
                <w:vertAlign w:val="superscript"/>
              </w:rPr>
              <w:t>ablet</w:t>
            </w:r>
          </w:p>
        </w:tc>
        <w:tc>
          <w:tcPr>
            <w:tcW w:w="102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0.5A.M</w:t>
            </w:r>
          </w:p>
        </w:tc>
        <w:tc>
          <w:tcPr>
            <w:tcW w:w="88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1A.M</w:t>
            </w:r>
          </w:p>
        </w:tc>
        <w:tc>
          <w:tcPr>
            <w:tcW w:w="113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1A.M</w:t>
            </w:r>
          </w:p>
        </w:tc>
        <w:tc>
          <w:tcPr>
            <w:tcW w:w="1191"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1.5A.M</w:t>
            </w:r>
          </w:p>
        </w:tc>
        <w:tc>
          <w:tcPr>
            <w:tcW w:w="113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1.5A.M</w:t>
            </w:r>
          </w:p>
        </w:tc>
        <w:tc>
          <w:tcPr>
            <w:tcW w:w="224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2A.M or 1 tab OD of</w:t>
            </w:r>
          </w:p>
          <w:p w:rsidR="00FF2CD0" w:rsidRPr="00C203F3" w:rsidRDefault="00FF2CD0" w:rsidP="00FF2CD0">
            <w:pPr>
              <w:spacing w:before="3" w:after="0" w:line="242" w:lineRule="auto"/>
              <w:ind w:left="52" w:right="211"/>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200/30/150mg (Adult formulation)</w:t>
            </w:r>
          </w:p>
        </w:tc>
      </w:tr>
      <w:tr w:rsidR="00FF2CD0" w:rsidRPr="00C203F3" w:rsidTr="00FF2CD0">
        <w:trPr>
          <w:trHeight w:hRule="exact" w:val="1290"/>
        </w:trPr>
        <w:tc>
          <w:tcPr>
            <w:tcW w:w="2830" w:type="dxa"/>
            <w:vMerge/>
            <w:tcBorders>
              <w:left w:val="single" w:sz="4" w:space="0" w:color="231F20"/>
              <w:bottom w:val="single" w:sz="4" w:space="0" w:color="231F20"/>
              <w:right w:val="single" w:sz="4" w:space="0" w:color="231F20"/>
            </w:tcBorders>
            <w:shd w:val="clear" w:color="auto" w:fill="E4F5FD"/>
          </w:tcPr>
          <w:p w:rsidR="00FF2CD0" w:rsidRPr="00C203F3" w:rsidRDefault="00FF2CD0" w:rsidP="00FF2CD0">
            <w:pPr>
              <w:rPr>
                <w:rFonts w:ascii="Arial Narrow" w:hAnsi="Arial Narrow"/>
                <w:sz w:val="24"/>
                <w:szCs w:val="24"/>
                <w:vertAlign w:val="superscript"/>
              </w:rPr>
            </w:pPr>
          </w:p>
        </w:tc>
        <w:tc>
          <w:tcPr>
            <w:tcW w:w="102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 xml:space="preserve">0.5 </w:t>
            </w:r>
            <w:r w:rsidRPr="00C203F3">
              <w:rPr>
                <w:rFonts w:ascii="Arial Narrow" w:eastAsia="Times New Roman" w:hAnsi="Arial Narrow" w:cs="Times New Roman"/>
                <w:color w:val="231F20"/>
                <w:spacing w:val="-24"/>
                <w:sz w:val="24"/>
                <w:szCs w:val="24"/>
                <w:vertAlign w:val="superscript"/>
              </w:rPr>
              <w:t>P</w:t>
            </w:r>
            <w:r w:rsidRPr="00C203F3">
              <w:rPr>
                <w:rFonts w:ascii="Arial Narrow" w:eastAsia="Times New Roman" w:hAnsi="Arial Narrow" w:cs="Times New Roman"/>
                <w:color w:val="231F20"/>
                <w:sz w:val="24"/>
                <w:szCs w:val="24"/>
                <w:vertAlign w:val="superscript"/>
              </w:rPr>
              <w:t>.M</w:t>
            </w:r>
          </w:p>
        </w:tc>
        <w:tc>
          <w:tcPr>
            <w:tcW w:w="88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 xml:space="preserve">0.5 </w:t>
            </w:r>
            <w:r w:rsidRPr="00C203F3">
              <w:rPr>
                <w:rFonts w:ascii="Arial Narrow" w:eastAsia="Times New Roman" w:hAnsi="Arial Narrow" w:cs="Times New Roman"/>
                <w:color w:val="231F20"/>
                <w:spacing w:val="-24"/>
                <w:sz w:val="24"/>
                <w:szCs w:val="24"/>
                <w:vertAlign w:val="superscript"/>
              </w:rPr>
              <w:t>P</w:t>
            </w:r>
            <w:r w:rsidRPr="00C203F3">
              <w:rPr>
                <w:rFonts w:ascii="Arial Narrow" w:eastAsia="Times New Roman" w:hAnsi="Arial Narrow" w:cs="Times New Roman"/>
                <w:color w:val="231F20"/>
                <w:sz w:val="24"/>
                <w:szCs w:val="24"/>
                <w:vertAlign w:val="superscript"/>
              </w:rPr>
              <w:t>.M</w:t>
            </w:r>
          </w:p>
        </w:tc>
        <w:tc>
          <w:tcPr>
            <w:tcW w:w="113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 xml:space="preserve">1 </w:t>
            </w:r>
            <w:r w:rsidRPr="00C203F3">
              <w:rPr>
                <w:rFonts w:ascii="Arial Narrow" w:eastAsia="Times New Roman" w:hAnsi="Arial Narrow" w:cs="Times New Roman"/>
                <w:color w:val="231F20"/>
                <w:spacing w:val="-24"/>
                <w:sz w:val="24"/>
                <w:szCs w:val="24"/>
                <w:vertAlign w:val="superscript"/>
              </w:rPr>
              <w:t>P</w:t>
            </w:r>
            <w:r w:rsidRPr="00C203F3">
              <w:rPr>
                <w:rFonts w:ascii="Arial Narrow" w:eastAsia="Times New Roman" w:hAnsi="Arial Narrow" w:cs="Times New Roman"/>
                <w:color w:val="231F20"/>
                <w:sz w:val="24"/>
                <w:szCs w:val="24"/>
                <w:vertAlign w:val="superscript"/>
              </w:rPr>
              <w:t>.M</w:t>
            </w:r>
          </w:p>
        </w:tc>
        <w:tc>
          <w:tcPr>
            <w:tcW w:w="1191"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 xml:space="preserve">1 </w:t>
            </w:r>
            <w:r w:rsidRPr="00C203F3">
              <w:rPr>
                <w:rFonts w:ascii="Arial Narrow" w:eastAsia="Times New Roman" w:hAnsi="Arial Narrow" w:cs="Times New Roman"/>
                <w:color w:val="231F20"/>
                <w:spacing w:val="-24"/>
                <w:sz w:val="24"/>
                <w:szCs w:val="24"/>
                <w:vertAlign w:val="superscript"/>
              </w:rPr>
              <w:t>P</w:t>
            </w:r>
            <w:r w:rsidRPr="00C203F3">
              <w:rPr>
                <w:rFonts w:ascii="Arial Narrow" w:eastAsia="Times New Roman" w:hAnsi="Arial Narrow" w:cs="Times New Roman"/>
                <w:color w:val="231F20"/>
                <w:sz w:val="24"/>
                <w:szCs w:val="24"/>
                <w:vertAlign w:val="superscript"/>
              </w:rPr>
              <w:t>.M</w:t>
            </w:r>
          </w:p>
        </w:tc>
        <w:tc>
          <w:tcPr>
            <w:tcW w:w="113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 xml:space="preserve">1.5 </w:t>
            </w:r>
            <w:r w:rsidRPr="00C203F3">
              <w:rPr>
                <w:rFonts w:ascii="Arial Narrow" w:eastAsia="Times New Roman" w:hAnsi="Arial Narrow" w:cs="Times New Roman"/>
                <w:color w:val="231F20"/>
                <w:spacing w:val="-24"/>
                <w:sz w:val="24"/>
                <w:szCs w:val="24"/>
                <w:vertAlign w:val="superscript"/>
              </w:rPr>
              <w:t>P</w:t>
            </w:r>
            <w:r w:rsidRPr="00C203F3">
              <w:rPr>
                <w:rFonts w:ascii="Arial Narrow" w:eastAsia="Times New Roman" w:hAnsi="Arial Narrow" w:cs="Times New Roman"/>
                <w:color w:val="231F20"/>
                <w:sz w:val="24"/>
                <w:szCs w:val="24"/>
                <w:vertAlign w:val="superscript"/>
              </w:rPr>
              <w:t>.M</w:t>
            </w:r>
          </w:p>
        </w:tc>
        <w:tc>
          <w:tcPr>
            <w:tcW w:w="224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 xml:space="preserve">2 </w:t>
            </w:r>
            <w:r w:rsidRPr="00C203F3">
              <w:rPr>
                <w:rFonts w:ascii="Arial Narrow" w:eastAsia="Times New Roman" w:hAnsi="Arial Narrow" w:cs="Times New Roman"/>
                <w:color w:val="231F20"/>
                <w:spacing w:val="-24"/>
                <w:sz w:val="24"/>
                <w:szCs w:val="24"/>
                <w:vertAlign w:val="superscript"/>
              </w:rPr>
              <w:t>P</w:t>
            </w:r>
            <w:r w:rsidRPr="00C203F3">
              <w:rPr>
                <w:rFonts w:ascii="Arial Narrow" w:eastAsia="Times New Roman" w:hAnsi="Arial Narrow" w:cs="Times New Roman"/>
                <w:color w:val="231F20"/>
                <w:sz w:val="24"/>
                <w:szCs w:val="24"/>
                <w:vertAlign w:val="superscript"/>
              </w:rPr>
              <w:t>.M or</w:t>
            </w:r>
          </w:p>
          <w:p w:rsidR="00FF2CD0" w:rsidRPr="00C203F3" w:rsidRDefault="00FF2CD0" w:rsidP="00FF2CD0">
            <w:pPr>
              <w:spacing w:before="3" w:after="0" w:line="240" w:lineRule="auto"/>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1 tab OD of</w:t>
            </w:r>
          </w:p>
          <w:p w:rsidR="00FF2CD0" w:rsidRPr="00C203F3" w:rsidRDefault="00FF2CD0" w:rsidP="00FF2CD0">
            <w:pPr>
              <w:spacing w:before="3" w:after="0" w:line="242" w:lineRule="auto"/>
              <w:ind w:left="52" w:right="1012"/>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30/150mg (Adult formulation)</w:t>
            </w:r>
          </w:p>
        </w:tc>
      </w:tr>
      <w:tr w:rsidR="00FF2CD0" w:rsidRPr="00C203F3" w:rsidTr="00FF2CD0">
        <w:trPr>
          <w:trHeight w:hRule="exact" w:val="1290"/>
        </w:trPr>
        <w:tc>
          <w:tcPr>
            <w:tcW w:w="283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u w:val="single" w:color="231F20"/>
                <w:vertAlign w:val="superscript"/>
              </w:rPr>
              <w:t>MAIN</w:t>
            </w:r>
            <w:r w:rsidRPr="00C203F3">
              <w:rPr>
                <w:rFonts w:ascii="Arial Narrow" w:eastAsia="Times New Roman" w:hAnsi="Arial Narrow" w:cs="Times New Roman"/>
                <w:color w:val="231F20"/>
                <w:spacing w:val="-18"/>
                <w:sz w:val="24"/>
                <w:szCs w:val="24"/>
                <w:u w:val="single" w:color="231F20"/>
                <w:vertAlign w:val="superscript"/>
              </w:rPr>
              <w:t>T</w:t>
            </w:r>
            <w:r w:rsidRPr="00C203F3">
              <w:rPr>
                <w:rFonts w:ascii="Arial Narrow" w:eastAsia="Times New Roman" w:hAnsi="Arial Narrow" w:cs="Times New Roman"/>
                <w:color w:val="231F20"/>
                <w:sz w:val="24"/>
                <w:szCs w:val="24"/>
                <w:u w:val="single" w:color="231F20"/>
                <w:vertAlign w:val="superscript"/>
              </w:rPr>
              <w:t>ANANCEDOSE</w:t>
            </w:r>
          </w:p>
          <w:p w:rsidR="00FF2CD0" w:rsidRPr="00C203F3" w:rsidRDefault="00FF2CD0" w:rsidP="00FF2CD0">
            <w:pPr>
              <w:spacing w:before="3" w:after="0" w:line="240" w:lineRule="auto"/>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NVP/D4T/3TC (100</w:t>
            </w:r>
          </w:p>
          <w:p w:rsidR="00FF2CD0" w:rsidRPr="00C203F3" w:rsidRDefault="00FF2CD0" w:rsidP="00FF2CD0">
            <w:pPr>
              <w:spacing w:before="3" w:after="0" w:line="240" w:lineRule="auto"/>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/12/60mg)</w:t>
            </w:r>
            <w:r w:rsidRPr="00C203F3">
              <w:rPr>
                <w:rFonts w:ascii="Arial Narrow" w:eastAsia="Times New Roman" w:hAnsi="Arial Narrow" w:cs="Times New Roman"/>
                <w:color w:val="231F20"/>
                <w:spacing w:val="-15"/>
                <w:sz w:val="24"/>
                <w:szCs w:val="24"/>
                <w:vertAlign w:val="superscript"/>
              </w:rPr>
              <w:t>T</w:t>
            </w:r>
            <w:r w:rsidRPr="00C203F3">
              <w:rPr>
                <w:rFonts w:ascii="Arial Narrow" w:eastAsia="Times New Roman" w:hAnsi="Arial Narrow" w:cs="Times New Roman"/>
                <w:color w:val="231F20"/>
                <w:sz w:val="24"/>
                <w:szCs w:val="24"/>
                <w:vertAlign w:val="superscript"/>
              </w:rPr>
              <w:t>ablet</w:t>
            </w:r>
          </w:p>
        </w:tc>
        <w:tc>
          <w:tcPr>
            <w:tcW w:w="102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0.5 BD</w:t>
            </w:r>
          </w:p>
        </w:tc>
        <w:tc>
          <w:tcPr>
            <w:tcW w:w="88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1A.M</w:t>
            </w:r>
          </w:p>
          <w:p w:rsidR="00FF2CD0" w:rsidRPr="00C203F3" w:rsidRDefault="00FF2CD0" w:rsidP="00FF2CD0">
            <w:pPr>
              <w:spacing w:before="3" w:after="0" w:line="240" w:lineRule="auto"/>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 xml:space="preserve">0.5 </w:t>
            </w:r>
            <w:r w:rsidRPr="00C203F3">
              <w:rPr>
                <w:rFonts w:ascii="Arial Narrow" w:eastAsia="Times New Roman" w:hAnsi="Arial Narrow" w:cs="Times New Roman"/>
                <w:color w:val="231F20"/>
                <w:spacing w:val="-24"/>
                <w:sz w:val="24"/>
                <w:szCs w:val="24"/>
                <w:vertAlign w:val="superscript"/>
              </w:rPr>
              <w:t>P</w:t>
            </w:r>
            <w:r w:rsidRPr="00C203F3">
              <w:rPr>
                <w:rFonts w:ascii="Arial Narrow" w:eastAsia="Times New Roman" w:hAnsi="Arial Narrow" w:cs="Times New Roman"/>
                <w:color w:val="231F20"/>
                <w:sz w:val="24"/>
                <w:szCs w:val="24"/>
                <w:vertAlign w:val="superscript"/>
              </w:rPr>
              <w:t>.M</w:t>
            </w:r>
          </w:p>
        </w:tc>
        <w:tc>
          <w:tcPr>
            <w:tcW w:w="113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1 BD</w:t>
            </w:r>
          </w:p>
        </w:tc>
        <w:tc>
          <w:tcPr>
            <w:tcW w:w="1191"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1.5A.M</w:t>
            </w:r>
          </w:p>
          <w:p w:rsidR="00FF2CD0" w:rsidRPr="00C203F3" w:rsidRDefault="00FF2CD0" w:rsidP="00FF2CD0">
            <w:pPr>
              <w:spacing w:before="3" w:after="0" w:line="240" w:lineRule="auto"/>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 xml:space="preserve">1 </w:t>
            </w:r>
            <w:r w:rsidRPr="00C203F3">
              <w:rPr>
                <w:rFonts w:ascii="Arial Narrow" w:eastAsia="Times New Roman" w:hAnsi="Arial Narrow" w:cs="Times New Roman"/>
                <w:color w:val="231F20"/>
                <w:spacing w:val="-24"/>
                <w:sz w:val="24"/>
                <w:szCs w:val="24"/>
                <w:vertAlign w:val="superscript"/>
              </w:rPr>
              <w:t>P</w:t>
            </w:r>
            <w:r w:rsidRPr="00C203F3">
              <w:rPr>
                <w:rFonts w:ascii="Arial Narrow" w:eastAsia="Times New Roman" w:hAnsi="Arial Narrow" w:cs="Times New Roman"/>
                <w:color w:val="231F20"/>
                <w:sz w:val="24"/>
                <w:szCs w:val="24"/>
                <w:vertAlign w:val="superscript"/>
              </w:rPr>
              <w:t>.M</w:t>
            </w:r>
          </w:p>
        </w:tc>
        <w:tc>
          <w:tcPr>
            <w:tcW w:w="113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1.5 BD</w:t>
            </w:r>
          </w:p>
        </w:tc>
        <w:tc>
          <w:tcPr>
            <w:tcW w:w="224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2 BD or</w:t>
            </w:r>
          </w:p>
          <w:p w:rsidR="00FF2CD0" w:rsidRPr="00C203F3" w:rsidRDefault="00FF2CD0" w:rsidP="00FF2CD0">
            <w:pPr>
              <w:spacing w:before="3" w:after="0" w:line="240" w:lineRule="auto"/>
              <w:ind w:left="52" w:right="-20"/>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1 tab BD of</w:t>
            </w:r>
          </w:p>
          <w:p w:rsidR="00FF2CD0" w:rsidRPr="00C203F3" w:rsidRDefault="00FF2CD0" w:rsidP="00FF2CD0">
            <w:pPr>
              <w:spacing w:before="3" w:after="0" w:line="242" w:lineRule="auto"/>
              <w:ind w:left="52" w:right="841"/>
              <w:rPr>
                <w:rFonts w:ascii="Arial Narrow" w:eastAsia="Times New Roman" w:hAnsi="Arial Narrow" w:cs="Times New Roman"/>
                <w:sz w:val="24"/>
                <w:szCs w:val="24"/>
                <w:vertAlign w:val="superscript"/>
              </w:rPr>
            </w:pPr>
            <w:r w:rsidRPr="00C203F3">
              <w:rPr>
                <w:rFonts w:ascii="Arial Narrow" w:eastAsia="Times New Roman" w:hAnsi="Arial Narrow" w:cs="Times New Roman"/>
                <w:color w:val="231F20"/>
                <w:sz w:val="24"/>
                <w:szCs w:val="24"/>
                <w:vertAlign w:val="superscript"/>
              </w:rPr>
              <w:t>200/30/150mg (Adult formulation)</w:t>
            </w:r>
          </w:p>
        </w:tc>
      </w:tr>
    </w:tbl>
    <w:p w:rsidR="00FF2CD0" w:rsidRPr="00C203F3" w:rsidRDefault="00FF2CD0" w:rsidP="00FF2CD0">
      <w:pPr>
        <w:spacing w:after="0"/>
        <w:rPr>
          <w:rFonts w:ascii="Arial Narrow" w:hAnsi="Arial Narrow"/>
          <w:sz w:val="24"/>
          <w:szCs w:val="24"/>
          <w:vertAlign w:val="superscript"/>
        </w:rPr>
        <w:sectPr w:rsidR="00FF2CD0" w:rsidRPr="00C203F3">
          <w:headerReference w:type="default" r:id="rId26"/>
          <w:pgSz w:w="12760" w:h="9240" w:orient="landscape"/>
          <w:pgMar w:top="820" w:right="720" w:bottom="280" w:left="1340" w:header="0" w:footer="0" w:gutter="0"/>
          <w:cols w:space="720"/>
        </w:sectPr>
      </w:pPr>
    </w:p>
    <w:p w:rsidR="00FF2CD0" w:rsidRPr="00C203F3" w:rsidRDefault="00FF2CD0" w:rsidP="00FF2CD0">
      <w:pPr>
        <w:pStyle w:val="Heading2"/>
        <w:ind w:left="720" w:firstLine="720"/>
        <w:rPr>
          <w:rFonts w:ascii="Arial Narrow" w:eastAsia="Arial" w:hAnsi="Arial Narrow"/>
          <w:sz w:val="24"/>
          <w:szCs w:val="24"/>
        </w:rPr>
      </w:pPr>
      <w:bookmarkStart w:id="1116" w:name="_Toc378258353"/>
      <w:bookmarkStart w:id="1117" w:name="_Toc382214194"/>
      <w:r w:rsidRPr="00C203F3">
        <w:rPr>
          <w:rFonts w:ascii="Arial Narrow" w:eastAsia="Arial" w:hAnsi="Arial Narrow"/>
          <w:sz w:val="24"/>
          <w:szCs w:val="24"/>
        </w:rPr>
        <w:t>ANNEX 7.</w:t>
      </w:r>
      <w:bookmarkEnd w:id="1116"/>
      <w:r w:rsidRPr="00C203F3">
        <w:rPr>
          <w:rFonts w:ascii="Arial Narrow" w:eastAsia="Arial" w:hAnsi="Arial Narrow"/>
          <w:sz w:val="24"/>
          <w:szCs w:val="24"/>
        </w:rPr>
        <w:tab/>
      </w:r>
      <w:bookmarkStart w:id="1118" w:name="_Toc378258354"/>
      <w:r w:rsidRPr="00C203F3">
        <w:rPr>
          <w:rFonts w:ascii="Arial Narrow" w:eastAsia="Arial" w:hAnsi="Arial Narrow"/>
          <w:sz w:val="24"/>
          <w:szCs w:val="24"/>
        </w:rPr>
        <w:t>THE ROLE</w:t>
      </w:r>
      <w:r>
        <w:rPr>
          <w:rFonts w:ascii="Arial Narrow" w:eastAsia="Arial" w:hAnsi="Arial Narrow"/>
          <w:sz w:val="24"/>
          <w:szCs w:val="24"/>
        </w:rPr>
        <w:t xml:space="preserve"> </w:t>
      </w:r>
      <w:r w:rsidRPr="00C203F3">
        <w:rPr>
          <w:rFonts w:ascii="Arial Narrow" w:eastAsia="Arial" w:hAnsi="Arial Narrow"/>
          <w:sz w:val="24"/>
          <w:szCs w:val="24"/>
        </w:rPr>
        <w:t>AND SOURCES OF SELECTED MICRONUTRIENTS</w:t>
      </w:r>
      <w:bookmarkEnd w:id="1117"/>
      <w:bookmarkEnd w:id="1118"/>
    </w:p>
    <w:p w:rsidR="00FF2CD0" w:rsidRPr="00C203F3" w:rsidRDefault="00FF2CD0" w:rsidP="00FF2CD0">
      <w:pPr>
        <w:spacing w:before="5" w:after="0" w:line="220" w:lineRule="exact"/>
        <w:rPr>
          <w:rFonts w:ascii="Arial Narrow" w:hAnsi="Arial Narrow"/>
          <w:sz w:val="24"/>
          <w:szCs w:val="24"/>
        </w:rPr>
      </w:pPr>
    </w:p>
    <w:tbl>
      <w:tblPr>
        <w:tblW w:w="0" w:type="auto"/>
        <w:tblInd w:w="1454" w:type="dxa"/>
        <w:tblLayout w:type="fixed"/>
        <w:tblCellMar>
          <w:left w:w="0" w:type="dxa"/>
          <w:right w:w="0" w:type="dxa"/>
        </w:tblCellMar>
        <w:tblLook w:val="01E0" w:firstRow="1" w:lastRow="1" w:firstColumn="1" w:lastColumn="1" w:noHBand="0" w:noVBand="0"/>
      </w:tblPr>
      <w:tblGrid>
        <w:gridCol w:w="1752"/>
        <w:gridCol w:w="4781"/>
        <w:gridCol w:w="3982"/>
      </w:tblGrid>
      <w:tr w:rsidR="00FF2CD0" w:rsidRPr="00C03FCA" w:rsidTr="00FF2CD0">
        <w:trPr>
          <w:trHeight w:hRule="exact" w:val="262"/>
        </w:trPr>
        <w:tc>
          <w:tcPr>
            <w:tcW w:w="1752" w:type="dxa"/>
            <w:tcBorders>
              <w:top w:val="single" w:sz="4" w:space="0" w:color="231F20"/>
              <w:left w:val="single" w:sz="4" w:space="0" w:color="231F20"/>
              <w:bottom w:val="single" w:sz="4" w:space="0" w:color="231F20"/>
              <w:right w:val="single" w:sz="4" w:space="0" w:color="231F20"/>
            </w:tcBorders>
            <w:shd w:val="clear" w:color="auto" w:fill="00AEEF"/>
          </w:tcPr>
          <w:p w:rsidR="00FF2CD0" w:rsidRPr="00C03FCA" w:rsidRDefault="00FF2CD0" w:rsidP="00FF2CD0">
            <w:pPr>
              <w:spacing w:after="0" w:line="248" w:lineRule="exact"/>
              <w:ind w:left="52" w:right="-20"/>
              <w:rPr>
                <w:rFonts w:ascii="Arial" w:eastAsia="Times New Roman" w:hAnsi="Arial" w:cs="Arial"/>
              </w:rPr>
            </w:pPr>
            <w:r w:rsidRPr="00C03FCA">
              <w:rPr>
                <w:rFonts w:ascii="Arial" w:eastAsia="Times New Roman" w:hAnsi="Arial" w:cs="Arial"/>
                <w:b/>
                <w:bCs/>
                <w:color w:val="FFFFFF"/>
              </w:rPr>
              <w:t>Mic</w:t>
            </w:r>
            <w:r w:rsidRPr="00C03FCA">
              <w:rPr>
                <w:rFonts w:ascii="Arial" w:eastAsia="Times New Roman" w:hAnsi="Arial" w:cs="Arial"/>
                <w:b/>
                <w:bCs/>
                <w:color w:val="FFFFFF"/>
                <w:spacing w:val="-4"/>
              </w:rPr>
              <w:t>r</w:t>
            </w:r>
            <w:r w:rsidRPr="00C03FCA">
              <w:rPr>
                <w:rFonts w:ascii="Arial" w:eastAsia="Times New Roman" w:hAnsi="Arial" w:cs="Arial"/>
                <w:b/>
                <w:bCs/>
                <w:color w:val="FFFFFF"/>
              </w:rPr>
              <w:t>onutrient</w:t>
            </w:r>
          </w:p>
        </w:tc>
        <w:tc>
          <w:tcPr>
            <w:tcW w:w="4781" w:type="dxa"/>
            <w:tcBorders>
              <w:top w:val="single" w:sz="4" w:space="0" w:color="231F20"/>
              <w:left w:val="single" w:sz="4" w:space="0" w:color="231F20"/>
              <w:bottom w:val="single" w:sz="4" w:space="0" w:color="231F20"/>
              <w:right w:val="single" w:sz="4" w:space="0" w:color="231F20"/>
            </w:tcBorders>
            <w:shd w:val="clear" w:color="auto" w:fill="00AEEF"/>
          </w:tcPr>
          <w:p w:rsidR="00FF2CD0" w:rsidRPr="00C03FCA" w:rsidRDefault="00FF2CD0" w:rsidP="00FF2CD0">
            <w:pPr>
              <w:spacing w:after="0" w:line="248" w:lineRule="exact"/>
              <w:ind w:left="52" w:right="-20"/>
              <w:rPr>
                <w:rFonts w:ascii="Arial" w:eastAsia="Times New Roman" w:hAnsi="Arial" w:cs="Arial"/>
              </w:rPr>
            </w:pPr>
            <w:r w:rsidRPr="00C03FCA">
              <w:rPr>
                <w:rFonts w:ascii="Arial" w:eastAsia="Times New Roman" w:hAnsi="Arial" w:cs="Arial"/>
                <w:b/>
                <w:bCs/>
                <w:color w:val="FFFFFF"/>
              </w:rPr>
              <w:t>Role</w:t>
            </w:r>
          </w:p>
        </w:tc>
        <w:tc>
          <w:tcPr>
            <w:tcW w:w="3982" w:type="dxa"/>
            <w:tcBorders>
              <w:top w:val="single" w:sz="4" w:space="0" w:color="231F20"/>
              <w:left w:val="single" w:sz="4" w:space="0" w:color="231F20"/>
              <w:bottom w:val="single" w:sz="4" w:space="0" w:color="231F20"/>
              <w:right w:val="single" w:sz="4" w:space="0" w:color="231F20"/>
            </w:tcBorders>
            <w:shd w:val="clear" w:color="auto" w:fill="00AEEF"/>
          </w:tcPr>
          <w:p w:rsidR="00FF2CD0" w:rsidRPr="00C03FCA" w:rsidRDefault="00FF2CD0" w:rsidP="00FF2CD0">
            <w:pPr>
              <w:spacing w:after="0" w:line="248" w:lineRule="exact"/>
              <w:ind w:left="52" w:right="-20"/>
              <w:rPr>
                <w:rFonts w:ascii="Arial" w:eastAsia="Times New Roman" w:hAnsi="Arial" w:cs="Arial"/>
              </w:rPr>
            </w:pPr>
            <w:r w:rsidRPr="00C03FCA">
              <w:rPr>
                <w:rFonts w:ascii="Arial" w:eastAsia="Times New Roman" w:hAnsi="Arial" w:cs="Arial"/>
                <w:b/>
                <w:bCs/>
                <w:color w:val="FFFFFF"/>
              </w:rPr>
              <w:t>Food sou</w:t>
            </w:r>
            <w:r w:rsidRPr="00C03FCA">
              <w:rPr>
                <w:rFonts w:ascii="Arial" w:eastAsia="Times New Roman" w:hAnsi="Arial" w:cs="Arial"/>
                <w:b/>
                <w:bCs/>
                <w:color w:val="FFFFFF"/>
                <w:spacing w:val="-4"/>
              </w:rPr>
              <w:t>r</w:t>
            </w:r>
            <w:r w:rsidRPr="00C03FCA">
              <w:rPr>
                <w:rFonts w:ascii="Arial" w:eastAsia="Times New Roman" w:hAnsi="Arial" w:cs="Arial"/>
                <w:b/>
                <w:bCs/>
                <w:color w:val="FFFFFF"/>
              </w:rPr>
              <w:t>ces</w:t>
            </w:r>
          </w:p>
        </w:tc>
      </w:tr>
      <w:tr w:rsidR="00FF2CD0" w:rsidRPr="00C03FCA" w:rsidTr="00FF2CD0">
        <w:trPr>
          <w:trHeight w:hRule="exact" w:val="2002"/>
        </w:trPr>
        <w:tc>
          <w:tcPr>
            <w:tcW w:w="175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spacing w:val="-13"/>
              </w:rPr>
              <w:t>V</w:t>
            </w:r>
            <w:r w:rsidRPr="00C03FCA">
              <w:rPr>
                <w:rFonts w:ascii="Arial" w:eastAsia="Times New Roman" w:hAnsi="Arial" w:cs="Arial"/>
                <w:color w:val="231F20"/>
              </w:rPr>
              <w:t>itamin</w:t>
            </w:r>
            <w:r>
              <w:rPr>
                <w:rFonts w:ascii="Arial" w:eastAsia="Times New Roman" w:hAnsi="Arial" w:cs="Arial"/>
                <w:color w:val="231F20"/>
              </w:rPr>
              <w:t xml:space="preserve"> </w:t>
            </w:r>
            <w:r w:rsidRPr="00C03FCA">
              <w:rPr>
                <w:rFonts w:ascii="Arial" w:eastAsia="Times New Roman" w:hAnsi="Arial" w:cs="Arial"/>
                <w:color w:val="231F20"/>
              </w:rPr>
              <w:t>A</w:t>
            </w:r>
          </w:p>
        </w:tc>
        <w:tc>
          <w:tcPr>
            <w:tcW w:w="4781"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Growth and function of</w:t>
            </w:r>
            <w:r>
              <w:rPr>
                <w:rFonts w:ascii="Arial" w:eastAsia="Times New Roman" w:hAnsi="Arial" w:cs="Arial"/>
                <w:color w:val="231F20"/>
              </w:rPr>
              <w:t xml:space="preserve"> </w:t>
            </w:r>
            <w:r w:rsidRPr="00C03FCA">
              <w:rPr>
                <w:rFonts w:ascii="Arial" w:eastAsia="Times New Roman" w:hAnsi="Arial" w:cs="Arial"/>
                <w:color w:val="231F20"/>
              </w:rPr>
              <w:t>T</w:t>
            </w:r>
            <w:r>
              <w:rPr>
                <w:rFonts w:ascii="Arial" w:eastAsia="Times New Roman" w:hAnsi="Arial" w:cs="Arial"/>
                <w:color w:val="231F20"/>
              </w:rPr>
              <w:t xml:space="preserve"> </w:t>
            </w:r>
            <w:r w:rsidRPr="00C03FCA">
              <w:rPr>
                <w:rFonts w:ascii="Arial" w:eastAsia="Times New Roman" w:hAnsi="Arial" w:cs="Arial"/>
                <w:color w:val="231F20"/>
              </w:rPr>
              <w:t>and B cells for immunit</w:t>
            </w:r>
            <w:r w:rsidRPr="00C03FCA">
              <w:rPr>
                <w:rFonts w:ascii="Arial" w:eastAsia="Times New Roman" w:hAnsi="Arial" w:cs="Arial"/>
                <w:color w:val="231F20"/>
                <w:spacing w:val="-15"/>
              </w:rPr>
              <w:t>y</w:t>
            </w:r>
            <w:r w:rsidRPr="00C03FCA">
              <w:rPr>
                <w:rFonts w:ascii="Arial" w:eastAsia="Times New Roman" w:hAnsi="Arial" w:cs="Arial"/>
                <w:color w:val="231F20"/>
              </w:rPr>
              <w:t>,</w:t>
            </w:r>
            <w:r>
              <w:rPr>
                <w:rFonts w:ascii="Arial" w:eastAsia="Times New Roman" w:hAnsi="Arial" w:cs="Arial"/>
                <w:color w:val="231F20"/>
              </w:rPr>
              <w:t xml:space="preserve"> </w:t>
            </w:r>
            <w:r w:rsidRPr="00C03FCA">
              <w:rPr>
                <w:rFonts w:ascii="Arial" w:eastAsia="Times New Roman" w:hAnsi="Arial" w:cs="Arial"/>
                <w:color w:val="231F20"/>
              </w:rPr>
              <w:t>maintenance of mucosal epithelial cells, including the lining of the respirator</w:t>
            </w:r>
            <w:r w:rsidRPr="00C03FCA">
              <w:rPr>
                <w:rFonts w:ascii="Arial" w:eastAsia="Times New Roman" w:hAnsi="Arial" w:cs="Arial"/>
                <w:color w:val="231F20"/>
                <w:spacing w:val="-15"/>
              </w:rPr>
              <w:t>y</w:t>
            </w:r>
            <w:r w:rsidRPr="00C03FCA">
              <w:rPr>
                <w:rFonts w:ascii="Arial" w:eastAsia="Times New Roman" w:hAnsi="Arial" w:cs="Arial"/>
                <w:color w:val="231F20"/>
              </w:rPr>
              <w:t>, gastrointestinal and gastro-urinary tracts; vitamin</w:t>
            </w:r>
            <w:r>
              <w:rPr>
                <w:rFonts w:ascii="Arial" w:eastAsia="Times New Roman" w:hAnsi="Arial" w:cs="Arial"/>
                <w:color w:val="231F20"/>
              </w:rPr>
              <w:t xml:space="preserve"> </w:t>
            </w:r>
            <w:r w:rsidRPr="00C03FCA">
              <w:rPr>
                <w:rFonts w:ascii="Arial" w:eastAsia="Times New Roman" w:hAnsi="Arial" w:cs="Arial"/>
                <w:color w:val="231F20"/>
              </w:rPr>
              <w:t>A</w:t>
            </w:r>
            <w:r>
              <w:rPr>
                <w:rFonts w:ascii="Arial" w:eastAsia="Times New Roman" w:hAnsi="Arial" w:cs="Arial"/>
                <w:color w:val="231F20"/>
              </w:rPr>
              <w:t xml:space="preserve"> </w:t>
            </w:r>
            <w:r w:rsidRPr="00C03FCA">
              <w:rPr>
                <w:rFonts w:ascii="Arial" w:eastAsia="Times New Roman" w:hAnsi="Arial" w:cs="Arial"/>
                <w:color w:val="231F20"/>
              </w:rPr>
              <w:t>deficiency</w:t>
            </w:r>
            <w:r>
              <w:rPr>
                <w:rFonts w:ascii="Arial" w:eastAsia="Times New Roman" w:hAnsi="Arial" w:cs="Arial"/>
                <w:color w:val="231F20"/>
              </w:rPr>
              <w:t xml:space="preserve"> </w:t>
            </w:r>
            <w:r w:rsidRPr="00C03FCA">
              <w:rPr>
                <w:rFonts w:ascii="Arial" w:eastAsia="Times New Roman" w:hAnsi="Arial" w:cs="Arial"/>
                <w:color w:val="231F20"/>
              </w:rPr>
              <w:t>is associated</w:t>
            </w:r>
            <w:r>
              <w:rPr>
                <w:rFonts w:ascii="Arial" w:eastAsia="Times New Roman" w:hAnsi="Arial" w:cs="Arial"/>
                <w:color w:val="231F20"/>
              </w:rPr>
              <w:t xml:space="preserve"> </w:t>
            </w:r>
            <w:r w:rsidRPr="00C03FCA">
              <w:rPr>
                <w:rFonts w:ascii="Arial" w:eastAsia="Times New Roman" w:hAnsi="Arial" w:cs="Arial"/>
                <w:color w:val="231F20"/>
              </w:rPr>
              <w:t>with increased adult mortalit</w:t>
            </w:r>
            <w:r w:rsidRPr="00C03FCA">
              <w:rPr>
                <w:rFonts w:ascii="Arial" w:eastAsia="Times New Roman" w:hAnsi="Arial" w:cs="Arial"/>
                <w:color w:val="231F20"/>
                <w:spacing w:val="-15"/>
              </w:rPr>
              <w:t>y</w:t>
            </w:r>
            <w:r w:rsidRPr="00C03FCA">
              <w:rPr>
                <w:rFonts w:ascii="Arial" w:eastAsia="Times New Roman" w:hAnsi="Arial" w:cs="Arial"/>
                <w:color w:val="231F20"/>
              </w:rPr>
              <w:t>, higher infant mortality and child growth failure</w:t>
            </w:r>
            <w:r>
              <w:rPr>
                <w:rFonts w:ascii="Arial" w:eastAsia="Times New Roman" w:hAnsi="Arial" w:cs="Arial"/>
                <w:color w:val="231F20"/>
              </w:rPr>
              <w:t>.</w:t>
            </w:r>
          </w:p>
        </w:tc>
        <w:tc>
          <w:tcPr>
            <w:tcW w:w="398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Liver and dairy products, kidne</w:t>
            </w:r>
            <w:r w:rsidRPr="00C03FCA">
              <w:rPr>
                <w:rFonts w:ascii="Arial" w:eastAsia="Times New Roman" w:hAnsi="Arial" w:cs="Arial"/>
                <w:color w:val="231F20"/>
                <w:spacing w:val="-15"/>
              </w:rPr>
              <w:t>y</w:t>
            </w:r>
            <w:r w:rsidRPr="00C03FCA">
              <w:rPr>
                <w:rFonts w:ascii="Arial" w:eastAsia="Times New Roman" w:hAnsi="Arial" w:cs="Arial"/>
                <w:color w:val="231F20"/>
              </w:rPr>
              <w:t>, egg, some</w:t>
            </w:r>
            <w:r>
              <w:rPr>
                <w:rFonts w:ascii="Arial" w:eastAsia="Times New Roman" w:hAnsi="Arial" w:cs="Arial"/>
                <w:color w:val="231F20"/>
              </w:rPr>
              <w:t xml:space="preserve"> </w:t>
            </w:r>
            <w:r w:rsidRPr="00C03FCA">
              <w:rPr>
                <w:rFonts w:ascii="Arial" w:eastAsia="Times New Roman" w:hAnsi="Arial" w:cs="Arial"/>
                <w:color w:val="231F20"/>
              </w:rPr>
              <w:t>fish,</w:t>
            </w:r>
            <w:r>
              <w:rPr>
                <w:rFonts w:ascii="Arial" w:eastAsia="Times New Roman" w:hAnsi="Arial" w:cs="Arial"/>
                <w:color w:val="231F20"/>
              </w:rPr>
              <w:t xml:space="preserve"> </w:t>
            </w:r>
            <w:r w:rsidRPr="00C03FCA">
              <w:rPr>
                <w:rFonts w:ascii="Arial" w:eastAsia="Times New Roman" w:hAnsi="Arial" w:cs="Arial"/>
                <w:color w:val="231F20"/>
              </w:rPr>
              <w:t>yellow sweet potato, pumpkin, palm oil, carrot, dark green leaf</w:t>
            </w:r>
            <w:r w:rsidRPr="00C03FCA">
              <w:rPr>
                <w:rFonts w:ascii="Arial" w:eastAsia="Times New Roman" w:hAnsi="Arial" w:cs="Arial"/>
                <w:color w:val="231F20"/>
                <w:spacing w:val="-15"/>
              </w:rPr>
              <w:t>y</w:t>
            </w:r>
            <w:r w:rsidRPr="00C03FCA">
              <w:rPr>
                <w:rFonts w:ascii="Arial" w:eastAsia="Times New Roman" w:hAnsi="Arial" w:cs="Arial"/>
                <w:color w:val="231F20"/>
              </w:rPr>
              <w:t>, vegetables, fruits, such as papaya and mango</w:t>
            </w:r>
          </w:p>
        </w:tc>
      </w:tr>
      <w:tr w:rsidR="00FF2CD0" w:rsidRPr="00C03FCA" w:rsidTr="00FF2CD0">
        <w:trPr>
          <w:trHeight w:hRule="exact" w:val="895"/>
        </w:trPr>
        <w:tc>
          <w:tcPr>
            <w:tcW w:w="175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Thiamine</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spacing w:val="-13"/>
              </w:rPr>
              <w:t>V</w:t>
            </w:r>
            <w:r w:rsidRPr="00C03FCA">
              <w:rPr>
                <w:rFonts w:ascii="Arial" w:eastAsia="Times New Roman" w:hAnsi="Arial" w:cs="Arial"/>
                <w:color w:val="231F20"/>
              </w:rPr>
              <w:t>itamin B1</w:t>
            </w:r>
          </w:p>
        </w:tc>
        <w:tc>
          <w:tcPr>
            <w:tcW w:w="4781"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Important for ene</w:t>
            </w:r>
            <w:r w:rsidRPr="00C03FCA">
              <w:rPr>
                <w:rFonts w:ascii="Arial" w:eastAsia="Times New Roman" w:hAnsi="Arial" w:cs="Arial"/>
                <w:color w:val="231F20"/>
                <w:spacing w:val="-4"/>
              </w:rPr>
              <w:t>r</w:t>
            </w:r>
            <w:r w:rsidRPr="00C03FCA">
              <w:rPr>
                <w:rFonts w:ascii="Arial" w:eastAsia="Times New Roman" w:hAnsi="Arial" w:cs="Arial"/>
                <w:color w:val="231F20"/>
              </w:rPr>
              <w:t>gy metabolism; supports appetite</w:t>
            </w:r>
            <w:r>
              <w:rPr>
                <w:rFonts w:ascii="Arial" w:eastAsia="Times New Roman" w:hAnsi="Arial" w:cs="Arial"/>
                <w:color w:val="231F20"/>
              </w:rPr>
              <w:t xml:space="preserve"> </w:t>
            </w:r>
            <w:r w:rsidRPr="00C03FCA">
              <w:rPr>
                <w:rFonts w:ascii="Arial" w:eastAsia="Times New Roman" w:hAnsi="Arial" w:cs="Arial"/>
                <w:color w:val="231F20"/>
              </w:rPr>
              <w:t>and nervous system functions</w:t>
            </w:r>
            <w:r>
              <w:rPr>
                <w:rFonts w:ascii="Arial" w:eastAsia="Times New Roman" w:hAnsi="Arial" w:cs="Arial"/>
                <w:color w:val="231F20"/>
              </w:rPr>
              <w:t>.</w:t>
            </w:r>
          </w:p>
        </w:tc>
        <w:tc>
          <w:tcPr>
            <w:tcW w:w="398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Whole-grain cereals, beans, meat, fish,</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chicken, egg</w:t>
            </w:r>
          </w:p>
        </w:tc>
      </w:tr>
      <w:tr w:rsidR="00FF2CD0" w:rsidRPr="00C03FCA" w:rsidTr="00FF2CD0">
        <w:trPr>
          <w:trHeight w:hRule="exact" w:val="895"/>
        </w:trPr>
        <w:tc>
          <w:tcPr>
            <w:tcW w:w="175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Riboflavin</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spacing w:val="-13"/>
              </w:rPr>
              <w:t>V</w:t>
            </w:r>
            <w:r w:rsidRPr="00C03FCA">
              <w:rPr>
                <w:rFonts w:ascii="Arial" w:eastAsia="Times New Roman" w:hAnsi="Arial" w:cs="Arial"/>
                <w:color w:val="231F20"/>
              </w:rPr>
              <w:t>itamin B2</w:t>
            </w:r>
          </w:p>
        </w:tc>
        <w:tc>
          <w:tcPr>
            <w:tcW w:w="4781"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Important for ene</w:t>
            </w:r>
            <w:r w:rsidRPr="00C03FCA">
              <w:rPr>
                <w:rFonts w:ascii="Arial" w:eastAsia="Times New Roman" w:hAnsi="Arial" w:cs="Arial"/>
                <w:color w:val="231F20"/>
                <w:spacing w:val="-4"/>
              </w:rPr>
              <w:t>r</w:t>
            </w:r>
            <w:r w:rsidRPr="00C03FCA">
              <w:rPr>
                <w:rFonts w:ascii="Arial" w:eastAsia="Times New Roman" w:hAnsi="Arial" w:cs="Arial"/>
                <w:color w:val="231F20"/>
              </w:rPr>
              <w:t>gy metabolism; support normal</w:t>
            </w:r>
            <w:r>
              <w:rPr>
                <w:rFonts w:ascii="Arial" w:eastAsia="Times New Roman" w:hAnsi="Arial" w:cs="Arial"/>
                <w:color w:val="231F20"/>
              </w:rPr>
              <w:t xml:space="preserve"> </w:t>
            </w:r>
            <w:r w:rsidRPr="00C03FCA">
              <w:rPr>
                <w:rFonts w:ascii="Arial" w:eastAsia="Times New Roman" w:hAnsi="Arial" w:cs="Arial"/>
                <w:color w:val="231F20"/>
              </w:rPr>
              <w:t>vision, health, and integrity of skin</w:t>
            </w:r>
            <w:r>
              <w:rPr>
                <w:rFonts w:ascii="Arial" w:eastAsia="Times New Roman" w:hAnsi="Arial" w:cs="Arial"/>
                <w:color w:val="231F20"/>
              </w:rPr>
              <w:t xml:space="preserve">. </w:t>
            </w:r>
          </w:p>
        </w:tc>
        <w:tc>
          <w:tcPr>
            <w:tcW w:w="398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Milk, egg, live</w:t>
            </w:r>
            <w:r w:rsidRPr="00C03FCA">
              <w:rPr>
                <w:rFonts w:ascii="Arial" w:eastAsia="Times New Roman" w:hAnsi="Arial" w:cs="Arial"/>
                <w:color w:val="231F20"/>
                <w:spacing w:val="-9"/>
              </w:rPr>
              <w:t>r</w:t>
            </w:r>
            <w:r w:rsidRPr="00C03FCA">
              <w:rPr>
                <w:rFonts w:ascii="Arial" w:eastAsia="Times New Roman" w:hAnsi="Arial" w:cs="Arial"/>
                <w:color w:val="231F20"/>
              </w:rPr>
              <w:t>, yoghurt, meat, dark green</w:t>
            </w:r>
            <w:r>
              <w:rPr>
                <w:rFonts w:ascii="Arial" w:eastAsia="Times New Roman" w:hAnsi="Arial" w:cs="Arial"/>
                <w:color w:val="231F20"/>
              </w:rPr>
              <w:t xml:space="preserve"> </w:t>
            </w:r>
            <w:r w:rsidRPr="00C03FCA">
              <w:rPr>
                <w:rFonts w:ascii="Arial" w:eastAsia="Times New Roman" w:hAnsi="Arial" w:cs="Arial"/>
                <w:color w:val="231F20"/>
              </w:rPr>
              <w:t>leafy vegetables, whole grain cereals, fish and beans</w:t>
            </w:r>
          </w:p>
        </w:tc>
      </w:tr>
      <w:tr w:rsidR="00FF2CD0" w:rsidRPr="00C03FCA" w:rsidTr="00FF2CD0">
        <w:trPr>
          <w:trHeight w:hRule="exact" w:val="895"/>
        </w:trPr>
        <w:tc>
          <w:tcPr>
            <w:tcW w:w="175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Niacin</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spacing w:val="-13"/>
              </w:rPr>
              <w:t>V</w:t>
            </w:r>
            <w:r w:rsidRPr="00C03FCA">
              <w:rPr>
                <w:rFonts w:ascii="Arial" w:eastAsia="Times New Roman" w:hAnsi="Arial" w:cs="Arial"/>
                <w:color w:val="231F20"/>
              </w:rPr>
              <w:t>itamin B3</w:t>
            </w:r>
          </w:p>
        </w:tc>
        <w:tc>
          <w:tcPr>
            <w:tcW w:w="4781"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Essential for ene</w:t>
            </w:r>
            <w:r w:rsidRPr="00C03FCA">
              <w:rPr>
                <w:rFonts w:ascii="Arial" w:eastAsia="Times New Roman" w:hAnsi="Arial" w:cs="Arial"/>
                <w:color w:val="231F20"/>
                <w:spacing w:val="-4"/>
              </w:rPr>
              <w:t>r</w:t>
            </w:r>
            <w:r w:rsidRPr="00C03FCA">
              <w:rPr>
                <w:rFonts w:ascii="Arial" w:eastAsia="Times New Roman" w:hAnsi="Arial" w:cs="Arial"/>
                <w:color w:val="231F20"/>
              </w:rPr>
              <w:t>gy metabolism, support health</w:t>
            </w:r>
          </w:p>
          <w:p w:rsidR="00FF2CD0" w:rsidRPr="00C03FCA" w:rsidRDefault="00FF2CD0" w:rsidP="00FF2CD0">
            <w:pPr>
              <w:spacing w:before="3" w:after="0" w:line="242" w:lineRule="auto"/>
              <w:ind w:left="52" w:right="213"/>
              <w:rPr>
                <w:rFonts w:ascii="Arial" w:eastAsia="Times New Roman" w:hAnsi="Arial" w:cs="Arial"/>
              </w:rPr>
            </w:pPr>
            <w:r w:rsidRPr="00C03FCA">
              <w:rPr>
                <w:rFonts w:ascii="Arial" w:eastAsia="Times New Roman" w:hAnsi="Arial" w:cs="Arial"/>
                <w:color w:val="231F20"/>
              </w:rPr>
              <w:t>and integrity of the skin and nervous and digestive systems</w:t>
            </w:r>
            <w:r>
              <w:rPr>
                <w:rFonts w:ascii="Arial" w:eastAsia="Times New Roman" w:hAnsi="Arial" w:cs="Arial"/>
                <w:color w:val="231F20"/>
              </w:rPr>
              <w:t>.</w:t>
            </w:r>
          </w:p>
        </w:tc>
        <w:tc>
          <w:tcPr>
            <w:tcW w:w="398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Milk, egg, meat, poultr</w:t>
            </w:r>
            <w:r w:rsidRPr="00C03FCA">
              <w:rPr>
                <w:rFonts w:ascii="Arial" w:eastAsia="Times New Roman" w:hAnsi="Arial" w:cs="Arial"/>
                <w:color w:val="231F20"/>
                <w:spacing w:val="-15"/>
              </w:rPr>
              <w:t>y</w:t>
            </w:r>
            <w:r w:rsidRPr="00C03FCA">
              <w:rPr>
                <w:rFonts w:ascii="Arial" w:eastAsia="Times New Roman" w:hAnsi="Arial" w:cs="Arial"/>
                <w:color w:val="231F20"/>
              </w:rPr>
              <w:t>, peanuts,</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groundnuts, wholegrain cereals, fish</w:t>
            </w:r>
          </w:p>
        </w:tc>
      </w:tr>
      <w:tr w:rsidR="00FF2CD0" w:rsidRPr="00C03FCA" w:rsidTr="00FF2CD0">
        <w:trPr>
          <w:trHeight w:hRule="exact" w:val="913"/>
        </w:trPr>
        <w:tc>
          <w:tcPr>
            <w:tcW w:w="175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Pyridoxine</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spacing w:val="-13"/>
              </w:rPr>
              <w:t>V</w:t>
            </w:r>
            <w:r w:rsidRPr="00C03FCA">
              <w:rPr>
                <w:rFonts w:ascii="Arial" w:eastAsia="Times New Roman" w:hAnsi="Arial" w:cs="Arial"/>
                <w:color w:val="231F20"/>
              </w:rPr>
              <w:t>itamin B6</w:t>
            </w:r>
          </w:p>
        </w:tc>
        <w:tc>
          <w:tcPr>
            <w:tcW w:w="4781"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Facilitates metabolism and absorption of fats and</w:t>
            </w:r>
            <w:r>
              <w:rPr>
                <w:rFonts w:ascii="Arial" w:eastAsia="Times New Roman" w:hAnsi="Arial" w:cs="Arial"/>
                <w:color w:val="231F20"/>
              </w:rPr>
              <w:t xml:space="preserve"> </w:t>
            </w:r>
            <w:r w:rsidRPr="00C03FCA">
              <w:rPr>
                <w:rFonts w:ascii="Arial" w:eastAsia="Times New Roman" w:hAnsi="Arial" w:cs="Arial"/>
                <w:color w:val="231F20"/>
              </w:rPr>
              <w:t>protein; helps make red blood cells</w:t>
            </w:r>
          </w:p>
        </w:tc>
        <w:tc>
          <w:tcPr>
            <w:tcW w:w="398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Sweet potato, white beans, avocado,</w:t>
            </w:r>
          </w:p>
          <w:p w:rsidR="00FF2CD0" w:rsidRPr="00C03FCA" w:rsidRDefault="00FF2CD0" w:rsidP="00FF2CD0">
            <w:pPr>
              <w:spacing w:before="3" w:after="0" w:line="242" w:lineRule="auto"/>
              <w:ind w:left="52" w:right="252"/>
              <w:rPr>
                <w:rFonts w:ascii="Arial" w:eastAsia="Times New Roman" w:hAnsi="Arial" w:cs="Arial"/>
              </w:rPr>
            </w:pPr>
            <w:r w:rsidRPr="00C03FCA">
              <w:rPr>
                <w:rFonts w:ascii="Arial" w:eastAsia="Times New Roman" w:hAnsi="Arial" w:cs="Arial"/>
                <w:color w:val="231F20"/>
              </w:rPr>
              <w:t>Cabbage, broccoli, meat, fish,</w:t>
            </w:r>
            <w:r>
              <w:rPr>
                <w:rFonts w:ascii="Arial" w:eastAsia="Times New Roman" w:hAnsi="Arial" w:cs="Arial"/>
                <w:color w:val="231F20"/>
              </w:rPr>
              <w:t xml:space="preserve"> </w:t>
            </w:r>
            <w:r w:rsidRPr="00C03FCA">
              <w:rPr>
                <w:rFonts w:ascii="Arial" w:eastAsia="Times New Roman" w:hAnsi="Arial" w:cs="Arial"/>
                <w:color w:val="231F20"/>
              </w:rPr>
              <w:t>green leafy vegetables</w:t>
            </w:r>
            <w:r>
              <w:rPr>
                <w:rFonts w:ascii="Arial" w:eastAsia="Times New Roman" w:hAnsi="Arial" w:cs="Arial"/>
                <w:color w:val="231F20"/>
              </w:rPr>
              <w:t xml:space="preserve">. </w:t>
            </w:r>
          </w:p>
        </w:tc>
      </w:tr>
      <w:tr w:rsidR="00FF2CD0" w:rsidRPr="00C03FCA" w:rsidTr="00FF2CD0">
        <w:trPr>
          <w:trHeight w:hRule="exact" w:val="850"/>
        </w:trPr>
        <w:tc>
          <w:tcPr>
            <w:tcW w:w="175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Cobalamin</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spacing w:val="-13"/>
              </w:rPr>
              <w:t>V</w:t>
            </w:r>
            <w:r w:rsidRPr="00C03FCA">
              <w:rPr>
                <w:rFonts w:ascii="Arial" w:eastAsia="Times New Roman" w:hAnsi="Arial" w:cs="Arial"/>
                <w:color w:val="231F20"/>
              </w:rPr>
              <w:t>itamin B12</w:t>
            </w:r>
          </w:p>
        </w:tc>
        <w:tc>
          <w:tcPr>
            <w:tcW w:w="4781"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Important for new cell development and</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maintenance of the nerve cells</w:t>
            </w:r>
          </w:p>
        </w:tc>
        <w:tc>
          <w:tcPr>
            <w:tcW w:w="398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Red meat, fish,</w:t>
            </w:r>
            <w:r>
              <w:rPr>
                <w:rFonts w:ascii="Arial" w:eastAsia="Times New Roman" w:hAnsi="Arial" w:cs="Arial"/>
                <w:color w:val="231F20"/>
              </w:rPr>
              <w:t xml:space="preserve"> </w:t>
            </w:r>
            <w:r w:rsidRPr="00C03FCA">
              <w:rPr>
                <w:rFonts w:ascii="Arial" w:eastAsia="Times New Roman" w:hAnsi="Arial" w:cs="Arial"/>
                <w:color w:val="231F20"/>
              </w:rPr>
              <w:t>chicken, shellfish,</w:t>
            </w:r>
            <w:r>
              <w:rPr>
                <w:rFonts w:ascii="Arial" w:eastAsia="Times New Roman" w:hAnsi="Arial" w:cs="Arial"/>
                <w:color w:val="231F20"/>
              </w:rPr>
              <w:t xml:space="preserve"> </w:t>
            </w:r>
            <w:r w:rsidRPr="00C03FCA">
              <w:rPr>
                <w:rFonts w:ascii="Arial" w:eastAsia="Times New Roman" w:hAnsi="Arial" w:cs="Arial"/>
                <w:color w:val="231F20"/>
              </w:rPr>
              <w:t>cheese,</w:t>
            </w:r>
            <w:r>
              <w:rPr>
                <w:rFonts w:ascii="Arial" w:eastAsia="Times New Roman" w:hAnsi="Arial" w:cs="Arial"/>
                <w:color w:val="231F20"/>
              </w:rPr>
              <w:t xml:space="preserve"> </w:t>
            </w:r>
            <w:r w:rsidRPr="00C03FCA">
              <w:rPr>
                <w:rFonts w:ascii="Arial" w:eastAsia="Times New Roman" w:hAnsi="Arial" w:cs="Arial"/>
                <w:color w:val="231F20"/>
              </w:rPr>
              <w:t>eggs, milk, fermented products</w:t>
            </w:r>
            <w:r>
              <w:rPr>
                <w:rFonts w:ascii="Arial" w:eastAsia="Times New Roman" w:hAnsi="Arial" w:cs="Arial"/>
                <w:color w:val="231F20"/>
              </w:rPr>
              <w:t>.</w:t>
            </w:r>
          </w:p>
        </w:tc>
      </w:tr>
      <w:tr w:rsidR="00FF2CD0" w:rsidRPr="00C03FCA" w:rsidTr="00FF2CD0">
        <w:trPr>
          <w:trHeight w:hRule="exact" w:val="778"/>
        </w:trPr>
        <w:tc>
          <w:tcPr>
            <w:tcW w:w="175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Ascorbic</w:t>
            </w:r>
            <w:r>
              <w:rPr>
                <w:rFonts w:ascii="Arial" w:eastAsia="Times New Roman" w:hAnsi="Arial" w:cs="Arial"/>
                <w:color w:val="231F20"/>
              </w:rPr>
              <w:t xml:space="preserve"> </w:t>
            </w:r>
            <w:r w:rsidRPr="00C03FCA">
              <w:rPr>
                <w:rFonts w:ascii="Arial" w:eastAsia="Times New Roman" w:hAnsi="Arial" w:cs="Arial"/>
                <w:color w:val="231F20"/>
              </w:rPr>
              <w:t>Acid</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spacing w:val="-13"/>
              </w:rPr>
              <w:t>V</w:t>
            </w:r>
            <w:r w:rsidRPr="00C03FCA">
              <w:rPr>
                <w:rFonts w:ascii="Arial" w:eastAsia="Times New Roman" w:hAnsi="Arial" w:cs="Arial"/>
                <w:color w:val="231F20"/>
              </w:rPr>
              <w:t>itamin C</w:t>
            </w:r>
          </w:p>
        </w:tc>
        <w:tc>
          <w:tcPr>
            <w:tcW w:w="4781"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Important for protein</w:t>
            </w:r>
            <w:r>
              <w:rPr>
                <w:rFonts w:ascii="Arial" w:eastAsia="Times New Roman" w:hAnsi="Arial" w:cs="Arial"/>
                <w:color w:val="231F20"/>
              </w:rPr>
              <w:t xml:space="preserve"> </w:t>
            </w:r>
            <w:r w:rsidRPr="00C03FCA">
              <w:rPr>
                <w:rFonts w:ascii="Arial" w:eastAsia="Times New Roman" w:hAnsi="Arial" w:cs="Arial"/>
                <w:color w:val="231F20"/>
              </w:rPr>
              <w:t>metabolism, immune function and iron absorption;</w:t>
            </w:r>
            <w:r>
              <w:rPr>
                <w:rFonts w:ascii="Arial" w:eastAsia="Times New Roman" w:hAnsi="Arial" w:cs="Arial"/>
                <w:color w:val="231F20"/>
              </w:rPr>
              <w:t xml:space="preserve"> </w:t>
            </w:r>
            <w:r w:rsidRPr="00C03FCA">
              <w:rPr>
                <w:rFonts w:ascii="Arial" w:eastAsia="Times New Roman" w:hAnsi="Arial" w:cs="Arial"/>
                <w:color w:val="231F20"/>
              </w:rPr>
              <w:t>Increases</w:t>
            </w:r>
            <w:r>
              <w:rPr>
                <w:rFonts w:ascii="Arial" w:eastAsia="Times New Roman" w:hAnsi="Arial" w:cs="Arial"/>
                <w:color w:val="231F20"/>
              </w:rPr>
              <w:t xml:space="preserve"> </w:t>
            </w:r>
            <w:r w:rsidRPr="00C03FCA">
              <w:rPr>
                <w:rFonts w:ascii="Arial" w:eastAsia="Times New Roman" w:hAnsi="Arial" w:cs="Arial"/>
                <w:color w:val="231F20"/>
              </w:rPr>
              <w:t>resistance to infections</w:t>
            </w:r>
          </w:p>
        </w:tc>
        <w:tc>
          <w:tcPr>
            <w:tcW w:w="3982"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Citrus fruits, such as orange,</w:t>
            </w:r>
            <w:r>
              <w:rPr>
                <w:rFonts w:ascii="Arial" w:eastAsia="Times New Roman" w:hAnsi="Arial" w:cs="Arial"/>
                <w:color w:val="231F20"/>
              </w:rPr>
              <w:t xml:space="preserve"> </w:t>
            </w:r>
            <w:r w:rsidRPr="00C03FCA">
              <w:rPr>
                <w:rFonts w:ascii="Arial" w:eastAsia="Times New Roman" w:hAnsi="Arial" w:cs="Arial"/>
                <w:color w:val="231F20"/>
              </w:rPr>
              <w:t>lemon, tangerine, guava, baobab, tomato</w:t>
            </w:r>
          </w:p>
        </w:tc>
      </w:tr>
    </w:tbl>
    <w:p w:rsidR="00FF2CD0" w:rsidRPr="00C203F3" w:rsidRDefault="00FF2CD0" w:rsidP="00FF2CD0">
      <w:pPr>
        <w:spacing w:after="0"/>
        <w:rPr>
          <w:rFonts w:ascii="Arial Narrow" w:hAnsi="Arial Narrow"/>
          <w:sz w:val="24"/>
          <w:szCs w:val="24"/>
        </w:rPr>
        <w:sectPr w:rsidR="00FF2CD0" w:rsidRPr="00C203F3">
          <w:pgSz w:w="12760" w:h="9240" w:orient="landscape"/>
          <w:pgMar w:top="420" w:right="0" w:bottom="280" w:left="0" w:header="0" w:footer="0" w:gutter="0"/>
          <w:cols w:space="720"/>
        </w:sectPr>
      </w:pPr>
    </w:p>
    <w:p w:rsidR="00FF2CD0" w:rsidRPr="00C203F3" w:rsidRDefault="00AA771C" w:rsidP="00FF2CD0">
      <w:pPr>
        <w:spacing w:before="3" w:after="0" w:line="120" w:lineRule="exact"/>
        <w:rPr>
          <w:rFonts w:ascii="Arial Narrow" w:hAnsi="Arial Narrow"/>
          <w:sz w:val="24"/>
          <w:szCs w:val="24"/>
        </w:rPr>
      </w:pPr>
      <w:r>
        <w:rPr>
          <w:rFonts w:ascii="Arial Narrow" w:hAnsi="Arial Narrow"/>
          <w:noProof/>
          <w:sz w:val="24"/>
          <w:szCs w:val="24"/>
        </w:rPr>
        <mc:AlternateContent>
          <mc:Choice Requires="wpg">
            <w:drawing>
              <wp:anchor distT="0" distB="0" distL="114300" distR="114300" simplePos="0" relativeHeight="251761664" behindDoc="1" locked="0" layoutInCell="1" allowOverlap="1">
                <wp:simplePos x="0" y="0"/>
                <wp:positionH relativeFrom="page">
                  <wp:posOffset>7827010</wp:posOffset>
                </wp:positionH>
                <wp:positionV relativeFrom="page">
                  <wp:posOffset>0</wp:posOffset>
                </wp:positionV>
                <wp:extent cx="1270" cy="190500"/>
                <wp:effectExtent l="0" t="0" r="17780" b="19050"/>
                <wp:wrapNone/>
                <wp:docPr id="745"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12326" y="0"/>
                          <a:chExt cx="2" cy="300"/>
                        </a:xfrm>
                      </wpg:grpSpPr>
                      <wps:wsp>
                        <wps:cNvPr id="746" name="Freeform 409"/>
                        <wps:cNvSpPr>
                          <a:spLocks/>
                        </wps:cNvSpPr>
                        <wps:spPr bwMode="auto">
                          <a:xfrm>
                            <a:off x="12326"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8" o:spid="_x0000_s1026" style="position:absolute;margin-left:616.3pt;margin-top:0;width:.1pt;height:15pt;z-index:-251554816;mso-position-horizontal-relative:page;mso-position-vertical-relative:page" coordorigin="12326"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">
                <v:shape id="Freeform 409" o:spid="_x0000_s1027" style="position:absolute;left:12326;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0/IMMA&#10;AADcAAAADwAAAGRycy9kb3ducmV2LnhtbESPQYvCMBSE78L+h/AW9iJrqohK1ygiCnvwUit4fTTP&#10;pti8lCa23X+/EQSPw8x8w6y3g61FR62vHCuYThIQxIXTFZcKLvnxewXCB2SNtWNS8EcetpuP0RpT&#10;7XrOqDuHUkQI+xQVmBCaVEpfGLLoJ64hjt7NtRZDlG0pdYt9hNtazpJkIS1WHBcMNrQ3VNzPD6sg&#10;k8NpnJvGHrrQX7NilZxuj7tSX5/D7gdEoCG8w6/2r1awnC/ge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0/IMMAAADcAAAADwAAAAAAAAAAAAAAAACYAgAAZHJzL2Rv&#10;d25yZXYueG1sUEsFBgAAAAAEAAQA9QAAAIgDAAAAAA==&#10;" path="m,300l,e" filled="f" strokeweight=".25pt">
                  <v:path arrowok="t" o:connecttype="custom" o:connectlocs="0,300;0,0" o:connectangles="0,0"/>
                </v:shape>
                <w10:wrap anchorx="page" anchory="page"/>
              </v:group>
            </w:pict>
          </mc:Fallback>
        </mc:AlternateContent>
      </w:r>
      <w:r>
        <w:rPr>
          <w:rFonts w:ascii="Arial Narrow" w:hAnsi="Arial Narrow"/>
          <w:noProof/>
          <w:sz w:val="24"/>
          <w:szCs w:val="24"/>
        </w:rPr>
        <mc:AlternateContent>
          <mc:Choice Requires="wpg">
            <w:drawing>
              <wp:anchor distT="0" distB="0" distL="114300" distR="114300" simplePos="0" relativeHeight="251762688" behindDoc="1" locked="0" layoutInCell="1" allowOverlap="1">
                <wp:simplePos x="0" y="0"/>
                <wp:positionH relativeFrom="page">
                  <wp:posOffset>7827010</wp:posOffset>
                </wp:positionH>
                <wp:positionV relativeFrom="page">
                  <wp:posOffset>5671185</wp:posOffset>
                </wp:positionV>
                <wp:extent cx="1270" cy="190500"/>
                <wp:effectExtent l="0" t="0" r="17780" b="19050"/>
                <wp:wrapNone/>
                <wp:docPr id="743"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12326" y="8931"/>
                          <a:chExt cx="2" cy="300"/>
                        </a:xfrm>
                      </wpg:grpSpPr>
                      <wps:wsp>
                        <wps:cNvPr id="744" name="Freeform 407"/>
                        <wps:cNvSpPr>
                          <a:spLocks/>
                        </wps:cNvSpPr>
                        <wps:spPr bwMode="auto">
                          <a:xfrm>
                            <a:off x="12326" y="8931"/>
                            <a:ext cx="2" cy="300"/>
                          </a:xfrm>
                          <a:custGeom>
                            <a:avLst/>
                            <a:gdLst>
                              <a:gd name="T0" fmla="+- 0 8931 8931"/>
                              <a:gd name="T1" fmla="*/ 8931 h 300"/>
                              <a:gd name="T2" fmla="+- 0 9231 8931"/>
                              <a:gd name="T3" fmla="*/ 9231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6" o:spid="_x0000_s1026" style="position:absolute;margin-left:616.3pt;margin-top:446.55pt;width:.1pt;height:15pt;z-index:-251553792;mso-position-horizontal-relative:page;mso-position-vertical-relative:page" coordorigin="12326,8931"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">
                <v:shape id="Freeform 407" o:spid="_x0000_s1027" style="position:absolute;left:12326;top:8931;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EzMUA&#10;AADcAAAADwAAAGRycy9kb3ducmV2LnhtbESPwWrDMBBE74X+g9hCL6WWG0ISXMshhAZ6yMVJINfF&#10;2ljG1spYiu3+fVUo5DjMzBsm3862EyMNvnGs4CNJQRBXTjdcK7icD+8bED4ga+wck4If8rAtnp9y&#10;zLSbuKTxFGoRIewzVGBC6DMpfWXIok9cTxy9mxsshiiHWuoBpwi3nVyk6UpabDguGOxpb6hqT3er&#10;oJTz8e1sevs1hulaVpv0eLu3Sr2+zLtPEIHm8Aj/t7+1gvVyCX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wTMxQAAANwAAAAPAAAAAAAAAAAAAAAAAJgCAABkcnMv&#10;ZG93bnJldi54bWxQSwUGAAAAAAQABAD1AAAAigMAAAAA&#10;" path="m,l,300e" filled="f" strokeweight=".25pt">
                  <v:path arrowok="t" o:connecttype="custom" o:connectlocs="0,8931;0,9231" o:connectangles="0,0"/>
                </v:shape>
                <w10:wrap anchorx="page" anchory="page"/>
              </v:group>
            </w:pict>
          </mc:Fallback>
        </mc:AlternateContent>
      </w:r>
      <w:r>
        <w:rPr>
          <w:rFonts w:ascii="Arial Narrow" w:hAnsi="Arial Narrow"/>
          <w:noProof/>
          <w:sz w:val="24"/>
          <w:szCs w:val="24"/>
        </w:rPr>
        <mc:AlternateContent>
          <mc:Choice Requires="wpg">
            <w:drawing>
              <wp:anchor distT="0" distB="0" distL="114300" distR="114300" simplePos="0" relativeHeight="251763712" behindDoc="1" locked="0" layoutInCell="1" allowOverlap="1">
                <wp:simplePos x="0" y="0"/>
                <wp:positionH relativeFrom="page">
                  <wp:posOffset>7903210</wp:posOffset>
                </wp:positionH>
                <wp:positionV relativeFrom="page">
                  <wp:posOffset>266700</wp:posOffset>
                </wp:positionV>
                <wp:extent cx="190500" cy="1270"/>
                <wp:effectExtent l="0" t="0" r="19050" b="17780"/>
                <wp:wrapNone/>
                <wp:docPr id="739"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2446" y="420"/>
                          <a:chExt cx="300" cy="2"/>
                        </a:xfrm>
                      </wpg:grpSpPr>
                      <wps:wsp>
                        <wps:cNvPr id="740" name="Freeform 403"/>
                        <wps:cNvSpPr>
                          <a:spLocks/>
                        </wps:cNvSpPr>
                        <wps:spPr bwMode="auto">
                          <a:xfrm>
                            <a:off x="12446" y="420"/>
                            <a:ext cx="300" cy="2"/>
                          </a:xfrm>
                          <a:custGeom>
                            <a:avLst/>
                            <a:gdLst>
                              <a:gd name="T0" fmla="+- 0 12446 12446"/>
                              <a:gd name="T1" fmla="*/ T0 w 300"/>
                              <a:gd name="T2" fmla="+- 0 12746 12446"/>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026" style="position:absolute;margin-left:622.3pt;margin-top:21pt;width:15pt;height:.1pt;z-index:-251552768;mso-position-horizontal-relative:page;mso-position-vertical-relative:page" coordorigin="12446,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">
                <v:shape id="Freeform 403" o:spid="_x0000_s1027" style="position:absolute;left:12446;top:420;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JFcIA&#10;AADcAAAADwAAAGRycy9kb3ducmV2LnhtbERPz2vCMBS+D/Y/hDfwNtOq6NYZyyaIdQdh6u6P5tmW&#10;NS8liW3975fDYMeP7/c6H00renK+sawgnSYgiEurG64UXM675xcQPiBrbC2Tgjt5yDePD2vMtB34&#10;i/pTqEQMYZ+hgjqELpPSlzUZ9FPbEUfuap3BEKGrpHY4xHDTylmSLKXBhmNDjR1tayp/Tjej4Hhk&#10;5/A6n6V78zr/XH0svotDodTkaXx/AxFoDP/iP3ehFawWcX4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EkVwgAAANwAAAAPAAAAAAAAAAAAAAAAAJgCAABkcnMvZG93&#10;bnJldi54bWxQSwUGAAAAAAQABAD1AAAAhwMAAAAA&#10;" path="m,l300,e" filled="f" strokeweight=".25pt">
                  <v:path arrowok="t" o:connecttype="custom" o:connectlocs="0,0;300,0" o:connectangles="0,0"/>
                </v:shape>
                <w10:wrap anchorx="page" anchory="page"/>
              </v:group>
            </w:pict>
          </mc:Fallback>
        </mc:AlternateContent>
      </w:r>
      <w:r>
        <w:rPr>
          <w:rFonts w:ascii="Arial Narrow" w:hAnsi="Arial Narrow"/>
          <w:noProof/>
          <w:sz w:val="24"/>
          <w:szCs w:val="24"/>
        </w:rPr>
        <mc:AlternateContent>
          <mc:Choice Requires="wpg">
            <w:drawing>
              <wp:anchor distT="0" distB="0" distL="114300" distR="114300" simplePos="0" relativeHeight="251764736" behindDoc="1" locked="0" layoutInCell="1" allowOverlap="1">
                <wp:simplePos x="0" y="0"/>
                <wp:positionH relativeFrom="page">
                  <wp:posOffset>7903210</wp:posOffset>
                </wp:positionH>
                <wp:positionV relativeFrom="page">
                  <wp:posOffset>5594985</wp:posOffset>
                </wp:positionV>
                <wp:extent cx="190500" cy="1270"/>
                <wp:effectExtent l="0" t="0" r="19050" b="17780"/>
                <wp:wrapNone/>
                <wp:docPr id="737"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2446" y="8811"/>
                          <a:chExt cx="300" cy="2"/>
                        </a:xfrm>
                      </wpg:grpSpPr>
                      <wps:wsp>
                        <wps:cNvPr id="738" name="Freeform 401"/>
                        <wps:cNvSpPr>
                          <a:spLocks/>
                        </wps:cNvSpPr>
                        <wps:spPr bwMode="auto">
                          <a:xfrm>
                            <a:off x="12446" y="8811"/>
                            <a:ext cx="300" cy="2"/>
                          </a:xfrm>
                          <a:custGeom>
                            <a:avLst/>
                            <a:gdLst>
                              <a:gd name="T0" fmla="+- 0 12446 12446"/>
                              <a:gd name="T1" fmla="*/ T0 w 300"/>
                              <a:gd name="T2" fmla="+- 0 12746 12446"/>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0" o:spid="_x0000_s1026" style="position:absolute;margin-left:622.3pt;margin-top:440.55pt;width:15pt;height:.1pt;z-index:-251551744;mso-position-horizontal-relative:page;mso-position-vertical-relative:page" coordorigin="12446,8811"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">
                <v:shape id="Freeform 401" o:spid="_x0000_s1027" style="position:absolute;left:12446;top:8811;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2bsEA&#10;AADcAAAADwAAAGRycy9kb3ducmV2LnhtbERPy4rCMBTdC/MP4Q6401Qro3aMMgpix4XgY/aX5tqW&#10;aW5KErX+/WQx4PJw3otVZxpxJ+drywpGwwQEcWF1zaWCy3k7mIHwAVljY5kUPMnDavnWW2Cm7YOP&#10;dD+FUsQQ9hkqqEJoMyl9UZFBP7QtceSu1hkMEbpSaoePGG4aOU6SD2mw5thQYUubiorf080oOBzY&#10;Obym49HOzNP9dD35yb9zpfrv3dcniEBdeIn/3blWME3j2ngmHg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ANm7BAAAA3AAAAA8AAAAAAAAAAAAAAAAAmAIAAGRycy9kb3du&#10;cmV2LnhtbFBLBQYAAAAABAAEAPUAAACGAwAAAAA=&#10;" path="m,l300,e" filled="f" strokeweight=".25pt">
                  <v:path arrowok="t" o:connecttype="custom" o:connectlocs="0,0;300,0" o:connectangles="0,0"/>
                </v:shape>
                <w10:wrap anchorx="page" anchory="page"/>
              </v:group>
            </w:pict>
          </mc:Fallback>
        </mc:AlternateContent>
      </w:r>
      <w:r>
        <w:rPr>
          <w:rFonts w:ascii="Arial Narrow" w:hAnsi="Arial Narrow"/>
          <w:noProof/>
          <w:sz w:val="24"/>
          <w:szCs w:val="24"/>
        </w:rPr>
        <mc:AlternateContent>
          <mc:Choice Requires="wps">
            <w:drawing>
              <wp:anchor distT="0" distB="0" distL="114300" distR="114300" simplePos="0" relativeHeight="251765760" behindDoc="1" locked="0" layoutInCell="1" allowOverlap="1">
                <wp:simplePos x="0" y="0"/>
                <wp:positionH relativeFrom="page">
                  <wp:posOffset>411480</wp:posOffset>
                </wp:positionH>
                <wp:positionV relativeFrom="page">
                  <wp:posOffset>838200</wp:posOffset>
                </wp:positionV>
                <wp:extent cx="165100" cy="234950"/>
                <wp:effectExtent l="0" t="0" r="6350" b="12700"/>
                <wp:wrapNone/>
                <wp:docPr id="734"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sidP="00FF2CD0">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color w:val="FFFFFF"/>
                              </w:rPr>
                              <w:t>296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79" type="#_x0000_t202" style="position:absolute;margin-left:32.4pt;margin-top:66pt;width:13pt;height:18.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" filled="f" stroked="f">
                <v:textbox style="layout-flow:vertical" inset="0,0,0,0">
                  <w:txbxContent>
                    <w:p w:rsidR="00B247C9" w:rsidRDefault="00B247C9" w:rsidP="00FF2CD0">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color w:val="FFFFFF"/>
                        </w:rPr>
                        <w:t>296</w:t>
                      </w:r>
                    </w:p>
                  </w:txbxContent>
                </v:textbox>
                <w10:wrap anchorx="page" anchory="page"/>
              </v:shape>
            </w:pict>
          </mc:Fallback>
        </mc:AlternateContent>
      </w:r>
    </w:p>
    <w:p w:rsidR="00FF2CD0" w:rsidRPr="00C203F3" w:rsidRDefault="00FF2CD0" w:rsidP="00FF2CD0">
      <w:pPr>
        <w:spacing w:after="0" w:line="200" w:lineRule="exact"/>
        <w:rPr>
          <w:rFonts w:ascii="Arial Narrow" w:hAnsi="Arial Narrow"/>
          <w:sz w:val="24"/>
          <w:szCs w:val="24"/>
        </w:rPr>
      </w:pPr>
    </w:p>
    <w:p w:rsidR="00FF2CD0" w:rsidRPr="00C203F3" w:rsidRDefault="00FF2CD0" w:rsidP="00FF2CD0">
      <w:pPr>
        <w:spacing w:after="0" w:line="200" w:lineRule="exact"/>
        <w:rPr>
          <w:rFonts w:ascii="Arial Narrow" w:hAnsi="Arial Narrow"/>
          <w:sz w:val="24"/>
          <w:szCs w:val="24"/>
        </w:rPr>
      </w:pPr>
    </w:p>
    <w:p w:rsidR="00FF2CD0" w:rsidRPr="00C203F3" w:rsidRDefault="00FF2CD0" w:rsidP="00FF2CD0">
      <w:pPr>
        <w:spacing w:after="0" w:line="200" w:lineRule="exact"/>
        <w:rPr>
          <w:rFonts w:ascii="Arial Narrow" w:hAnsi="Arial Narrow"/>
          <w:sz w:val="24"/>
          <w:szCs w:val="24"/>
        </w:rPr>
      </w:pPr>
    </w:p>
    <w:tbl>
      <w:tblPr>
        <w:tblW w:w="0" w:type="auto"/>
        <w:tblInd w:w="102" w:type="dxa"/>
        <w:tblLayout w:type="fixed"/>
        <w:tblCellMar>
          <w:left w:w="0" w:type="dxa"/>
          <w:right w:w="0" w:type="dxa"/>
        </w:tblCellMar>
        <w:tblLook w:val="01E0" w:firstRow="1" w:lastRow="1" w:firstColumn="1" w:lastColumn="1" w:noHBand="0" w:noVBand="0"/>
      </w:tblPr>
      <w:tblGrid>
        <w:gridCol w:w="1526"/>
        <w:gridCol w:w="4675"/>
        <w:gridCol w:w="3680"/>
      </w:tblGrid>
      <w:tr w:rsidR="00FF2CD0" w:rsidRPr="00C03FCA" w:rsidTr="00FF2CD0">
        <w:trPr>
          <w:trHeight w:hRule="exact" w:val="262"/>
        </w:trPr>
        <w:tc>
          <w:tcPr>
            <w:tcW w:w="1526" w:type="dxa"/>
            <w:tcBorders>
              <w:top w:val="single" w:sz="4" w:space="0" w:color="231F20"/>
              <w:left w:val="single" w:sz="4" w:space="0" w:color="231F20"/>
              <w:bottom w:val="single" w:sz="4" w:space="0" w:color="231F20"/>
              <w:right w:val="single" w:sz="4" w:space="0" w:color="231F20"/>
            </w:tcBorders>
            <w:shd w:val="clear" w:color="auto" w:fill="00AEEF"/>
          </w:tcPr>
          <w:p w:rsidR="00FF2CD0" w:rsidRPr="00C03FCA" w:rsidRDefault="00FF2CD0" w:rsidP="00FF2CD0">
            <w:pPr>
              <w:spacing w:after="0" w:line="248" w:lineRule="exact"/>
              <w:ind w:left="52" w:right="-20"/>
              <w:rPr>
                <w:rFonts w:ascii="Arial" w:eastAsia="Times New Roman" w:hAnsi="Arial" w:cs="Arial"/>
              </w:rPr>
            </w:pPr>
            <w:r w:rsidRPr="00C03FCA">
              <w:rPr>
                <w:rFonts w:ascii="Arial" w:eastAsia="Times New Roman" w:hAnsi="Arial" w:cs="Arial"/>
                <w:b/>
                <w:bCs/>
                <w:color w:val="E4F5FD"/>
              </w:rPr>
              <w:t>Mic</w:t>
            </w:r>
            <w:r w:rsidRPr="00C03FCA">
              <w:rPr>
                <w:rFonts w:ascii="Arial" w:eastAsia="Times New Roman" w:hAnsi="Arial" w:cs="Arial"/>
                <w:b/>
                <w:bCs/>
                <w:color w:val="E4F5FD"/>
                <w:spacing w:val="-4"/>
              </w:rPr>
              <w:t>r</w:t>
            </w:r>
            <w:r w:rsidRPr="00C03FCA">
              <w:rPr>
                <w:rFonts w:ascii="Arial" w:eastAsia="Times New Roman" w:hAnsi="Arial" w:cs="Arial"/>
                <w:b/>
                <w:bCs/>
                <w:color w:val="E4F5FD"/>
              </w:rPr>
              <w:t>onutrient</w:t>
            </w:r>
          </w:p>
        </w:tc>
        <w:tc>
          <w:tcPr>
            <w:tcW w:w="4675" w:type="dxa"/>
            <w:tcBorders>
              <w:top w:val="single" w:sz="4" w:space="0" w:color="231F20"/>
              <w:left w:val="single" w:sz="4" w:space="0" w:color="231F20"/>
              <w:bottom w:val="single" w:sz="4" w:space="0" w:color="231F20"/>
              <w:right w:val="single" w:sz="4" w:space="0" w:color="231F20"/>
            </w:tcBorders>
            <w:shd w:val="clear" w:color="auto" w:fill="00AEEF"/>
          </w:tcPr>
          <w:p w:rsidR="00FF2CD0" w:rsidRPr="00C03FCA" w:rsidRDefault="00FF2CD0" w:rsidP="00FF2CD0">
            <w:pPr>
              <w:spacing w:after="0" w:line="248" w:lineRule="exact"/>
              <w:ind w:left="52" w:right="-20"/>
              <w:rPr>
                <w:rFonts w:ascii="Arial" w:eastAsia="Times New Roman" w:hAnsi="Arial" w:cs="Arial"/>
              </w:rPr>
            </w:pPr>
            <w:r w:rsidRPr="00C03FCA">
              <w:rPr>
                <w:rFonts w:ascii="Arial" w:eastAsia="Times New Roman" w:hAnsi="Arial" w:cs="Arial"/>
                <w:b/>
                <w:bCs/>
                <w:color w:val="E4F5FD"/>
              </w:rPr>
              <w:t>Role</w:t>
            </w:r>
          </w:p>
        </w:tc>
        <w:tc>
          <w:tcPr>
            <w:tcW w:w="3680" w:type="dxa"/>
            <w:tcBorders>
              <w:top w:val="single" w:sz="4" w:space="0" w:color="231F20"/>
              <w:left w:val="single" w:sz="4" w:space="0" w:color="231F20"/>
              <w:bottom w:val="single" w:sz="4" w:space="0" w:color="231F20"/>
              <w:right w:val="single" w:sz="4" w:space="0" w:color="231F20"/>
            </w:tcBorders>
            <w:shd w:val="clear" w:color="auto" w:fill="00AEEF"/>
          </w:tcPr>
          <w:p w:rsidR="00FF2CD0" w:rsidRPr="00C03FCA" w:rsidRDefault="00FF2CD0" w:rsidP="00FF2CD0">
            <w:pPr>
              <w:spacing w:after="0" w:line="248" w:lineRule="exact"/>
              <w:ind w:left="52" w:right="-20"/>
              <w:rPr>
                <w:rFonts w:ascii="Arial" w:eastAsia="Times New Roman" w:hAnsi="Arial" w:cs="Arial"/>
              </w:rPr>
            </w:pPr>
            <w:r w:rsidRPr="00C03FCA">
              <w:rPr>
                <w:rFonts w:ascii="Arial" w:eastAsia="Times New Roman" w:hAnsi="Arial" w:cs="Arial"/>
                <w:b/>
                <w:bCs/>
                <w:color w:val="FFFFFF"/>
              </w:rPr>
              <w:t>Food sou</w:t>
            </w:r>
            <w:r w:rsidRPr="00C03FCA">
              <w:rPr>
                <w:rFonts w:ascii="Arial" w:eastAsia="Times New Roman" w:hAnsi="Arial" w:cs="Arial"/>
                <w:b/>
                <w:bCs/>
                <w:color w:val="FFFFFF"/>
                <w:spacing w:val="-4"/>
              </w:rPr>
              <w:t>r</w:t>
            </w:r>
            <w:r w:rsidRPr="00C03FCA">
              <w:rPr>
                <w:rFonts w:ascii="Arial" w:eastAsia="Times New Roman" w:hAnsi="Arial" w:cs="Arial"/>
                <w:b/>
                <w:bCs/>
                <w:color w:val="FFFFFF"/>
              </w:rPr>
              <w:t>ces</w:t>
            </w:r>
          </w:p>
        </w:tc>
      </w:tr>
      <w:tr w:rsidR="00FF2CD0" w:rsidRPr="00C03FCA" w:rsidTr="00FF2CD0">
        <w:trPr>
          <w:trHeight w:hRule="exact" w:val="828"/>
        </w:trPr>
        <w:tc>
          <w:tcPr>
            <w:tcW w:w="1526"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spacing w:val="-13"/>
              </w:rPr>
              <w:t>V</w:t>
            </w:r>
            <w:r w:rsidRPr="00C03FCA">
              <w:rPr>
                <w:rFonts w:ascii="Arial" w:eastAsia="Times New Roman" w:hAnsi="Arial" w:cs="Arial"/>
                <w:color w:val="231F20"/>
              </w:rPr>
              <w:t>itamin E</w:t>
            </w:r>
          </w:p>
        </w:tc>
        <w:tc>
          <w:tcPr>
            <w:tcW w:w="4675"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Protects cell structures and facilitates resistance</w:t>
            </w:r>
            <w:r>
              <w:rPr>
                <w:rFonts w:ascii="Arial" w:eastAsia="Times New Roman" w:hAnsi="Arial" w:cs="Arial"/>
                <w:color w:val="231F20"/>
              </w:rPr>
              <w:t xml:space="preserve"> </w:t>
            </w:r>
            <w:r w:rsidRPr="00C03FCA">
              <w:rPr>
                <w:rFonts w:ascii="Arial" w:eastAsia="Times New Roman" w:hAnsi="Arial" w:cs="Arial"/>
                <w:color w:val="231F20"/>
              </w:rPr>
              <w:t>against diseases</w:t>
            </w:r>
          </w:p>
        </w:tc>
        <w:tc>
          <w:tcPr>
            <w:tcW w:w="368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Leafy</w:t>
            </w:r>
            <w:r>
              <w:rPr>
                <w:rFonts w:ascii="Arial" w:eastAsia="Times New Roman" w:hAnsi="Arial" w:cs="Arial"/>
                <w:color w:val="231F20"/>
              </w:rPr>
              <w:t xml:space="preserve"> </w:t>
            </w:r>
            <w:r w:rsidRPr="00C03FCA">
              <w:rPr>
                <w:rFonts w:ascii="Arial" w:eastAsia="Times New Roman" w:hAnsi="Arial" w:cs="Arial"/>
                <w:color w:val="231F20"/>
              </w:rPr>
              <w:t>vegetables,</w:t>
            </w:r>
            <w:r>
              <w:rPr>
                <w:rFonts w:ascii="Arial" w:eastAsia="Times New Roman" w:hAnsi="Arial" w:cs="Arial"/>
                <w:color w:val="231F20"/>
              </w:rPr>
              <w:t xml:space="preserve"> </w:t>
            </w:r>
            <w:r w:rsidRPr="00C03FCA">
              <w:rPr>
                <w:rFonts w:ascii="Arial" w:eastAsia="Times New Roman" w:hAnsi="Arial" w:cs="Arial"/>
                <w:color w:val="231F20"/>
              </w:rPr>
              <w:t>vegetable</w:t>
            </w:r>
            <w:r>
              <w:rPr>
                <w:rFonts w:ascii="Arial" w:eastAsia="Times New Roman" w:hAnsi="Arial" w:cs="Arial"/>
                <w:color w:val="231F20"/>
              </w:rPr>
              <w:t xml:space="preserve"> </w:t>
            </w:r>
            <w:r w:rsidRPr="00C03FCA">
              <w:rPr>
                <w:rFonts w:ascii="Arial" w:eastAsia="Times New Roman" w:hAnsi="Arial" w:cs="Arial"/>
                <w:color w:val="231F20"/>
              </w:rPr>
              <w:t>oils,</w:t>
            </w:r>
            <w:r>
              <w:rPr>
                <w:rFonts w:ascii="Arial" w:eastAsia="Times New Roman" w:hAnsi="Arial" w:cs="Arial"/>
                <w:color w:val="231F20"/>
              </w:rPr>
              <w:t xml:space="preserve"> </w:t>
            </w:r>
            <w:r w:rsidRPr="00C03FCA">
              <w:rPr>
                <w:rFonts w:ascii="Arial" w:eastAsia="Times New Roman" w:hAnsi="Arial" w:cs="Arial"/>
                <w:color w:val="231F20"/>
              </w:rPr>
              <w:t>peanut,</w:t>
            </w:r>
            <w:r>
              <w:rPr>
                <w:rFonts w:ascii="Arial" w:eastAsia="Times New Roman" w:hAnsi="Arial" w:cs="Arial"/>
                <w:color w:val="231F20"/>
              </w:rPr>
              <w:t xml:space="preserve"> </w:t>
            </w:r>
            <w:r w:rsidRPr="00C03FCA">
              <w:rPr>
                <w:rFonts w:ascii="Arial" w:eastAsia="Times New Roman" w:hAnsi="Arial" w:cs="Arial"/>
                <w:color w:val="231F20"/>
              </w:rPr>
              <w:t>egg yolk, vegetables, nuts, seeds, and liver</w:t>
            </w:r>
          </w:p>
        </w:tc>
      </w:tr>
      <w:tr w:rsidR="00FF2CD0" w:rsidRPr="00C03FCA" w:rsidTr="00FF2CD0">
        <w:trPr>
          <w:trHeight w:hRule="exact" w:val="1034"/>
        </w:trPr>
        <w:tc>
          <w:tcPr>
            <w:tcW w:w="1526"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Calcium</w:t>
            </w:r>
          </w:p>
        </w:tc>
        <w:tc>
          <w:tcPr>
            <w:tcW w:w="4675"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Builds strong bones and teeth; important for</w:t>
            </w:r>
          </w:p>
          <w:p w:rsidR="00FF2CD0" w:rsidRPr="00C03FCA" w:rsidRDefault="00FF2CD0" w:rsidP="00FF2CD0">
            <w:pPr>
              <w:spacing w:before="3" w:after="0" w:line="242" w:lineRule="auto"/>
              <w:ind w:left="52" w:right="272"/>
              <w:rPr>
                <w:rFonts w:ascii="Arial" w:eastAsia="Times New Roman" w:hAnsi="Arial" w:cs="Arial"/>
              </w:rPr>
            </w:pPr>
            <w:r w:rsidRPr="00C03FCA">
              <w:rPr>
                <w:rFonts w:ascii="Arial" w:eastAsia="Times New Roman" w:hAnsi="Arial" w:cs="Arial"/>
                <w:color w:val="231F20"/>
              </w:rPr>
              <w:t>functioning of heart and muscle functions, blood clotting and pressure and immune defenses</w:t>
            </w:r>
            <w:r>
              <w:rPr>
                <w:rFonts w:ascii="Arial" w:eastAsia="Times New Roman" w:hAnsi="Arial" w:cs="Arial"/>
                <w:color w:val="231F20"/>
              </w:rPr>
              <w:t>.</w:t>
            </w:r>
          </w:p>
        </w:tc>
        <w:tc>
          <w:tcPr>
            <w:tcW w:w="368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Milk, dark green leafy</w:t>
            </w:r>
            <w:r>
              <w:rPr>
                <w:rFonts w:ascii="Arial" w:eastAsia="Times New Roman" w:hAnsi="Arial" w:cs="Arial"/>
                <w:color w:val="231F20"/>
              </w:rPr>
              <w:t xml:space="preserve"> </w:t>
            </w:r>
            <w:r w:rsidRPr="00C03FCA">
              <w:rPr>
                <w:rFonts w:ascii="Arial" w:eastAsia="Times New Roman" w:hAnsi="Arial" w:cs="Arial"/>
                <w:color w:val="231F20"/>
              </w:rPr>
              <w:t>vegetables, shrimp, dried fish,</w:t>
            </w:r>
            <w:r>
              <w:rPr>
                <w:rFonts w:ascii="Arial" w:eastAsia="Times New Roman" w:hAnsi="Arial" w:cs="Arial"/>
                <w:color w:val="231F20"/>
              </w:rPr>
              <w:t xml:space="preserve"> </w:t>
            </w:r>
            <w:r w:rsidRPr="00C03FCA">
              <w:rPr>
                <w:rFonts w:ascii="Arial" w:eastAsia="Times New Roman" w:hAnsi="Arial" w:cs="Arial"/>
                <w:color w:val="231F20"/>
              </w:rPr>
              <w:t>beans, lentils, peas, whole grain millet, oil seeds, okra</w:t>
            </w:r>
          </w:p>
        </w:tc>
      </w:tr>
      <w:tr w:rsidR="00FF2CD0" w:rsidRPr="00C03FCA" w:rsidTr="00FF2CD0">
        <w:trPr>
          <w:trHeight w:hRule="exact" w:val="1179"/>
        </w:trPr>
        <w:tc>
          <w:tcPr>
            <w:tcW w:w="1526"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Iodine</w:t>
            </w:r>
          </w:p>
        </w:tc>
        <w:tc>
          <w:tcPr>
            <w:tcW w:w="4675"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Ensures the development and proper functioning of</w:t>
            </w:r>
            <w:r>
              <w:rPr>
                <w:rFonts w:ascii="Arial" w:eastAsia="Times New Roman" w:hAnsi="Arial" w:cs="Arial"/>
                <w:color w:val="231F20"/>
              </w:rPr>
              <w:t xml:space="preserve"> </w:t>
            </w:r>
            <w:r w:rsidRPr="00C03FCA">
              <w:rPr>
                <w:rFonts w:ascii="Arial" w:eastAsia="Times New Roman" w:hAnsi="Arial" w:cs="Arial"/>
                <w:color w:val="231F20"/>
              </w:rPr>
              <w:t>the brain and the nervous system; important for growth development and metabolism</w:t>
            </w:r>
            <w:r>
              <w:rPr>
                <w:rFonts w:ascii="Arial" w:eastAsia="Times New Roman" w:hAnsi="Arial" w:cs="Arial"/>
                <w:color w:val="231F20"/>
              </w:rPr>
              <w:t>.</w:t>
            </w:r>
          </w:p>
        </w:tc>
        <w:tc>
          <w:tcPr>
            <w:tcW w:w="368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Fish and other seafood, salt with iodine</w:t>
            </w:r>
          </w:p>
        </w:tc>
      </w:tr>
      <w:tr w:rsidR="00FF2CD0" w:rsidRPr="00C03FCA" w:rsidTr="00FF2CD0">
        <w:trPr>
          <w:trHeight w:hRule="exact" w:val="1296"/>
        </w:trPr>
        <w:tc>
          <w:tcPr>
            <w:tcW w:w="1526"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Iron</w:t>
            </w:r>
          </w:p>
        </w:tc>
        <w:tc>
          <w:tcPr>
            <w:tcW w:w="4675"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spacing w:val="-8"/>
              </w:rPr>
              <w:t>T</w:t>
            </w:r>
            <w:r w:rsidRPr="00C03FCA">
              <w:rPr>
                <w:rFonts w:ascii="Arial" w:eastAsia="Times New Roman" w:hAnsi="Arial" w:cs="Arial"/>
                <w:color w:val="231F20"/>
              </w:rPr>
              <w:t>ransports oxygen to the blood, eliminates old</w:t>
            </w:r>
          </w:p>
          <w:p w:rsidR="00FF2CD0" w:rsidRPr="00C03FCA" w:rsidRDefault="00FF2CD0" w:rsidP="00FF2CD0">
            <w:pPr>
              <w:spacing w:before="3" w:after="0" w:line="242" w:lineRule="auto"/>
              <w:ind w:left="52" w:right="254"/>
              <w:rPr>
                <w:rFonts w:ascii="Arial" w:eastAsia="Times New Roman" w:hAnsi="Arial" w:cs="Arial"/>
              </w:rPr>
            </w:pPr>
            <w:r w:rsidRPr="00C03FCA">
              <w:rPr>
                <w:rFonts w:ascii="Arial" w:eastAsia="Times New Roman" w:hAnsi="Arial" w:cs="Arial"/>
                <w:color w:val="231F20"/>
              </w:rPr>
              <w:t>red blood cells and builds new cells; required for utilization of ene</w:t>
            </w:r>
            <w:r w:rsidRPr="00C03FCA">
              <w:rPr>
                <w:rFonts w:ascii="Arial" w:eastAsia="Times New Roman" w:hAnsi="Arial" w:cs="Arial"/>
                <w:color w:val="231F20"/>
                <w:spacing w:val="-4"/>
              </w:rPr>
              <w:t>r</w:t>
            </w:r>
            <w:r w:rsidRPr="00C03FCA">
              <w:rPr>
                <w:rFonts w:ascii="Arial" w:eastAsia="Times New Roman" w:hAnsi="Arial" w:cs="Arial"/>
                <w:color w:val="231F20"/>
              </w:rPr>
              <w:t>gy and metabolism by cells</w:t>
            </w:r>
            <w:r>
              <w:rPr>
                <w:rFonts w:ascii="Arial" w:eastAsia="Times New Roman" w:hAnsi="Arial" w:cs="Arial"/>
                <w:color w:val="231F20"/>
              </w:rPr>
              <w:t>.</w:t>
            </w:r>
          </w:p>
        </w:tc>
        <w:tc>
          <w:tcPr>
            <w:tcW w:w="368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Red meat, poultr</w:t>
            </w:r>
            <w:r w:rsidRPr="00C03FCA">
              <w:rPr>
                <w:rFonts w:ascii="Arial" w:eastAsia="Times New Roman" w:hAnsi="Arial" w:cs="Arial"/>
                <w:color w:val="231F20"/>
                <w:spacing w:val="-15"/>
              </w:rPr>
              <w:t>y</w:t>
            </w:r>
            <w:r w:rsidRPr="00C03FCA">
              <w:rPr>
                <w:rFonts w:ascii="Arial" w:eastAsia="Times New Roman" w:hAnsi="Arial" w:cs="Arial"/>
                <w:color w:val="231F20"/>
              </w:rPr>
              <w:t>, shell</w:t>
            </w:r>
            <w:r>
              <w:rPr>
                <w:rFonts w:ascii="Arial" w:eastAsia="Times New Roman" w:hAnsi="Arial" w:cs="Arial"/>
                <w:color w:val="231F20"/>
              </w:rPr>
              <w:t xml:space="preserve"> </w:t>
            </w:r>
            <w:r w:rsidRPr="00C03FCA">
              <w:rPr>
                <w:rFonts w:ascii="Arial" w:eastAsia="Times New Roman" w:hAnsi="Arial" w:cs="Arial"/>
                <w:color w:val="231F20"/>
              </w:rPr>
              <w:t>fish</w:t>
            </w:r>
            <w:r>
              <w:rPr>
                <w:rFonts w:ascii="Arial" w:eastAsia="Times New Roman" w:hAnsi="Arial" w:cs="Arial"/>
                <w:color w:val="231F20"/>
              </w:rPr>
              <w:t xml:space="preserve"> </w:t>
            </w:r>
            <w:r w:rsidRPr="00C03FCA">
              <w:rPr>
                <w:rFonts w:ascii="Arial" w:eastAsia="Times New Roman" w:hAnsi="Arial" w:cs="Arial"/>
                <w:color w:val="231F20"/>
              </w:rPr>
              <w:t>egg, peanut,</w:t>
            </w:r>
            <w:r>
              <w:rPr>
                <w:rFonts w:ascii="Arial" w:eastAsia="Times New Roman" w:hAnsi="Arial" w:cs="Arial"/>
                <w:color w:val="231F20"/>
              </w:rPr>
              <w:t xml:space="preserve"> </w:t>
            </w:r>
            <w:r w:rsidRPr="00C03FCA">
              <w:rPr>
                <w:rFonts w:ascii="Arial" w:eastAsia="Times New Roman" w:hAnsi="Arial" w:cs="Arial"/>
                <w:color w:val="231F20"/>
              </w:rPr>
              <w:t>groundnuts, leafy vegetables, lentils, beans, some cereals, dried fruits</w:t>
            </w:r>
          </w:p>
        </w:tc>
      </w:tr>
      <w:tr w:rsidR="00FF2CD0" w:rsidRPr="00C03FCA" w:rsidTr="00FF2CD0">
        <w:trPr>
          <w:trHeight w:hRule="exact" w:val="1233"/>
        </w:trPr>
        <w:tc>
          <w:tcPr>
            <w:tcW w:w="1526"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Magnesium</w:t>
            </w:r>
          </w:p>
        </w:tc>
        <w:tc>
          <w:tcPr>
            <w:tcW w:w="4675"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Strengthens the muscles;</w:t>
            </w:r>
            <w:r>
              <w:rPr>
                <w:rFonts w:ascii="Arial" w:eastAsia="Times New Roman" w:hAnsi="Arial" w:cs="Arial"/>
                <w:color w:val="231F20"/>
              </w:rPr>
              <w:t xml:space="preserve"> </w:t>
            </w:r>
            <w:r w:rsidRPr="00C03FCA">
              <w:rPr>
                <w:rFonts w:ascii="Arial" w:eastAsia="Times New Roman" w:hAnsi="Arial" w:cs="Arial"/>
                <w:color w:val="231F20"/>
              </w:rPr>
              <w:t>important for nervous system function, involved in bone development, maintenance of teeth</w:t>
            </w:r>
            <w:r>
              <w:rPr>
                <w:rFonts w:ascii="Arial" w:eastAsia="Times New Roman" w:hAnsi="Arial" w:cs="Arial"/>
                <w:color w:val="231F20"/>
              </w:rPr>
              <w:t>.</w:t>
            </w:r>
          </w:p>
        </w:tc>
        <w:tc>
          <w:tcPr>
            <w:tcW w:w="368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Cereals, dark green vegetables, seafood,</w:t>
            </w:r>
          </w:p>
          <w:p w:rsidR="00FF2CD0" w:rsidRPr="00C03FCA" w:rsidRDefault="00FF2CD0" w:rsidP="00FF2CD0">
            <w:pPr>
              <w:spacing w:before="3" w:after="0" w:line="240" w:lineRule="auto"/>
              <w:ind w:left="52" w:right="-20"/>
              <w:rPr>
                <w:rFonts w:ascii="Arial" w:eastAsia="Times New Roman" w:hAnsi="Arial" w:cs="Arial"/>
              </w:rPr>
            </w:pPr>
            <w:r w:rsidRPr="00C03FCA">
              <w:rPr>
                <w:rFonts w:ascii="Arial" w:eastAsia="Times New Roman" w:hAnsi="Arial" w:cs="Arial"/>
                <w:color w:val="231F20"/>
              </w:rPr>
              <w:t>nuts, legumes, groundnuts</w:t>
            </w:r>
          </w:p>
        </w:tc>
      </w:tr>
      <w:tr w:rsidR="00FF2CD0" w:rsidRPr="00C03FCA" w:rsidTr="00FF2CD0">
        <w:trPr>
          <w:trHeight w:hRule="exact" w:val="1089"/>
        </w:trPr>
        <w:tc>
          <w:tcPr>
            <w:tcW w:w="1526"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Selenium</w:t>
            </w:r>
          </w:p>
        </w:tc>
        <w:tc>
          <w:tcPr>
            <w:tcW w:w="4675"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Prevents impairment of the heart muscle; enhances</w:t>
            </w:r>
            <w:r>
              <w:rPr>
                <w:rFonts w:ascii="Arial" w:eastAsia="Times New Roman" w:hAnsi="Arial" w:cs="Arial"/>
                <w:color w:val="231F20"/>
              </w:rPr>
              <w:t xml:space="preserve"> </w:t>
            </w:r>
            <w:r w:rsidRPr="00C03FCA">
              <w:rPr>
                <w:rFonts w:ascii="Arial" w:eastAsia="Times New Roman" w:hAnsi="Arial" w:cs="Arial"/>
                <w:color w:val="231F20"/>
              </w:rPr>
              <w:t>the body</w:t>
            </w:r>
            <w:r w:rsidRPr="00C03FCA">
              <w:rPr>
                <w:rFonts w:ascii="Arial" w:eastAsia="Times New Roman" w:hAnsi="Arial" w:cs="Arial"/>
                <w:color w:val="231F20"/>
                <w:spacing w:val="-12"/>
              </w:rPr>
              <w:t>’</w:t>
            </w:r>
            <w:r w:rsidRPr="00C03FCA">
              <w:rPr>
                <w:rFonts w:ascii="Arial" w:eastAsia="Times New Roman" w:hAnsi="Arial" w:cs="Arial"/>
                <w:color w:val="231F20"/>
              </w:rPr>
              <w:t>s antibacterial and antiviral defenses</w:t>
            </w:r>
            <w:r>
              <w:rPr>
                <w:rFonts w:ascii="Arial" w:eastAsia="Times New Roman" w:hAnsi="Arial" w:cs="Arial"/>
                <w:color w:val="231F20"/>
              </w:rPr>
              <w:t>.</w:t>
            </w:r>
          </w:p>
        </w:tc>
        <w:tc>
          <w:tcPr>
            <w:tcW w:w="3680" w:type="dxa"/>
            <w:tcBorders>
              <w:top w:val="single" w:sz="4" w:space="0" w:color="231F20"/>
              <w:left w:val="single" w:sz="4" w:space="0" w:color="231F20"/>
              <w:bottom w:val="single" w:sz="4" w:space="0" w:color="231F20"/>
              <w:right w:val="single" w:sz="4" w:space="0" w:color="231F20"/>
            </w:tcBorders>
            <w:shd w:val="clear" w:color="auto" w:fill="E4F5FD"/>
          </w:tcPr>
          <w:p w:rsidR="00FF2CD0" w:rsidRPr="00C03FCA" w:rsidRDefault="00FF2CD0" w:rsidP="00FF2CD0">
            <w:pPr>
              <w:spacing w:after="0" w:line="252" w:lineRule="exact"/>
              <w:ind w:left="52" w:right="-20"/>
              <w:rPr>
                <w:rFonts w:ascii="Arial" w:eastAsia="Times New Roman" w:hAnsi="Arial" w:cs="Arial"/>
              </w:rPr>
            </w:pPr>
            <w:r w:rsidRPr="00C03FCA">
              <w:rPr>
                <w:rFonts w:ascii="Arial" w:eastAsia="Times New Roman" w:hAnsi="Arial" w:cs="Arial"/>
                <w:color w:val="231F20"/>
              </w:rPr>
              <w:t>Seafood, live</w:t>
            </w:r>
            <w:r w:rsidRPr="00C03FCA">
              <w:rPr>
                <w:rFonts w:ascii="Arial" w:eastAsia="Times New Roman" w:hAnsi="Arial" w:cs="Arial"/>
                <w:color w:val="231F20"/>
                <w:spacing w:val="-9"/>
              </w:rPr>
              <w:t>r</w:t>
            </w:r>
            <w:r w:rsidRPr="00C03FCA">
              <w:rPr>
                <w:rFonts w:ascii="Arial" w:eastAsia="Times New Roman" w:hAnsi="Arial" w:cs="Arial"/>
                <w:color w:val="231F20"/>
              </w:rPr>
              <w:t>, meat, nuts, unrefined</w:t>
            </w:r>
          </w:p>
          <w:p w:rsidR="00FF2CD0" w:rsidRPr="00C03FCA" w:rsidRDefault="00FF2CD0" w:rsidP="00FF2CD0">
            <w:pPr>
              <w:spacing w:before="3" w:after="0" w:line="242" w:lineRule="auto"/>
              <w:ind w:left="52" w:right="176"/>
              <w:rPr>
                <w:rFonts w:ascii="Arial" w:eastAsia="Times New Roman" w:hAnsi="Arial" w:cs="Arial"/>
              </w:rPr>
            </w:pPr>
            <w:r w:rsidRPr="00C03FCA">
              <w:rPr>
                <w:rFonts w:ascii="Arial" w:eastAsia="Times New Roman" w:hAnsi="Arial" w:cs="Arial"/>
                <w:color w:val="231F20"/>
              </w:rPr>
              <w:t>grains, brown rice, wheat germ, whole grain cereals, carrot, onion, milk, egg</w:t>
            </w:r>
            <w:r>
              <w:rPr>
                <w:rFonts w:ascii="Arial" w:eastAsia="Times New Roman" w:hAnsi="Arial" w:cs="Arial"/>
                <w:color w:val="231F20"/>
              </w:rPr>
              <w:t xml:space="preserve"> </w:t>
            </w:r>
          </w:p>
        </w:tc>
      </w:tr>
    </w:tbl>
    <w:p w:rsidR="00FF2CD0" w:rsidRPr="00C203F3" w:rsidRDefault="00FF2CD0" w:rsidP="00FF2CD0">
      <w:pPr>
        <w:spacing w:after="0"/>
        <w:rPr>
          <w:rFonts w:ascii="Arial Narrow" w:hAnsi="Arial Narrow"/>
          <w:sz w:val="24"/>
          <w:szCs w:val="24"/>
        </w:rPr>
        <w:sectPr w:rsidR="00FF2CD0" w:rsidRPr="00C203F3">
          <w:headerReference w:type="default" r:id="rId27"/>
          <w:pgSz w:w="12760" w:h="9240" w:orient="landscape"/>
          <w:pgMar w:top="820" w:right="1080" w:bottom="280" w:left="1560" w:header="0" w:footer="0" w:gutter="0"/>
          <w:cols w:space="720"/>
        </w:sectPr>
      </w:pPr>
    </w:p>
    <w:p w:rsidR="00FF2CD0" w:rsidRDefault="00FF2CD0" w:rsidP="00FF2CD0">
      <w:pPr>
        <w:pStyle w:val="Heading2"/>
        <w:ind w:left="1440"/>
        <w:rPr>
          <w:rFonts w:ascii="Arial Narrow" w:eastAsia="Arial" w:hAnsi="Arial Narrow"/>
          <w:sz w:val="24"/>
          <w:szCs w:val="24"/>
        </w:rPr>
      </w:pPr>
      <w:bookmarkStart w:id="1119" w:name="_Toc378258355"/>
      <w:bookmarkStart w:id="1120" w:name="_Toc382214195"/>
      <w:r w:rsidRPr="00C203F3">
        <w:rPr>
          <w:rFonts w:ascii="Arial Narrow" w:eastAsia="Arial" w:hAnsi="Arial Narrow"/>
          <w:sz w:val="24"/>
          <w:szCs w:val="24"/>
        </w:rPr>
        <w:t>ANNEX8:</w:t>
      </w:r>
      <w:bookmarkEnd w:id="1119"/>
      <w:r>
        <w:rPr>
          <w:rFonts w:ascii="Arial Narrow" w:eastAsia="Arial" w:hAnsi="Arial Narrow"/>
          <w:sz w:val="24"/>
          <w:szCs w:val="24"/>
        </w:rPr>
        <w:t xml:space="preserve"> </w:t>
      </w:r>
      <w:bookmarkStart w:id="1121" w:name="_Toc378258356"/>
      <w:r w:rsidRPr="00C203F3">
        <w:rPr>
          <w:rFonts w:ascii="Arial Narrow" w:eastAsia="Arial" w:hAnsi="Arial Narrow"/>
          <w:sz w:val="24"/>
          <w:szCs w:val="24"/>
        </w:rPr>
        <w:t>MODERN</w:t>
      </w:r>
      <w:r>
        <w:rPr>
          <w:rFonts w:ascii="Arial Narrow" w:eastAsia="Arial" w:hAnsi="Arial Narrow"/>
          <w:sz w:val="24"/>
          <w:szCs w:val="24"/>
        </w:rPr>
        <w:t xml:space="preserve"> </w:t>
      </w:r>
      <w:r w:rsidRPr="00C203F3">
        <w:rPr>
          <w:rFonts w:ascii="Arial Narrow" w:eastAsia="Arial" w:hAnsi="Arial Narrow"/>
          <w:sz w:val="24"/>
          <w:szCs w:val="24"/>
        </w:rPr>
        <w:t>MEDIC</w:t>
      </w:r>
      <w:r w:rsidRPr="00C203F3">
        <w:rPr>
          <w:rFonts w:ascii="Arial Narrow" w:eastAsia="Arial" w:hAnsi="Arial Narrow"/>
          <w:spacing w:val="-25"/>
          <w:sz w:val="24"/>
          <w:szCs w:val="24"/>
        </w:rPr>
        <w:t>A</w:t>
      </w:r>
      <w:r w:rsidRPr="00C203F3">
        <w:rPr>
          <w:rFonts w:ascii="Arial Narrow" w:eastAsia="Arial" w:hAnsi="Arial Narrow"/>
          <w:sz w:val="24"/>
          <w:szCs w:val="24"/>
        </w:rPr>
        <w:t>TIONS</w:t>
      </w:r>
      <w:r>
        <w:rPr>
          <w:rFonts w:ascii="Arial Narrow" w:eastAsia="Arial" w:hAnsi="Arial Narrow"/>
          <w:sz w:val="24"/>
          <w:szCs w:val="24"/>
        </w:rPr>
        <w:t xml:space="preserve"> </w:t>
      </w:r>
      <w:r w:rsidRPr="00C203F3">
        <w:rPr>
          <w:rFonts w:ascii="Arial Narrow" w:eastAsia="Arial" w:hAnsi="Arial Narrow"/>
          <w:sz w:val="24"/>
          <w:szCs w:val="24"/>
        </w:rPr>
        <w:t>AND</w:t>
      </w:r>
      <w:r>
        <w:rPr>
          <w:rFonts w:ascii="Arial Narrow" w:eastAsia="Arial" w:hAnsi="Arial Narrow"/>
          <w:sz w:val="24"/>
          <w:szCs w:val="24"/>
        </w:rPr>
        <w:t xml:space="preserve"> </w:t>
      </w:r>
      <w:r w:rsidRPr="00C203F3">
        <w:rPr>
          <w:rFonts w:ascii="Arial Narrow" w:eastAsia="Arial" w:hAnsi="Arial Narrow"/>
          <w:sz w:val="24"/>
          <w:szCs w:val="24"/>
        </w:rPr>
        <w:t>RECOMMENDED</w:t>
      </w:r>
      <w:r>
        <w:rPr>
          <w:rFonts w:ascii="Arial Narrow" w:eastAsia="Arial" w:hAnsi="Arial Narrow"/>
          <w:sz w:val="24"/>
          <w:szCs w:val="24"/>
        </w:rPr>
        <w:t xml:space="preserve"> </w:t>
      </w:r>
      <w:r w:rsidRPr="00C203F3">
        <w:rPr>
          <w:rFonts w:ascii="Arial Narrow" w:eastAsia="Arial" w:hAnsi="Arial Narrow"/>
          <w:sz w:val="24"/>
          <w:szCs w:val="24"/>
        </w:rPr>
        <w:t>FOOD</w:t>
      </w:r>
      <w:r>
        <w:rPr>
          <w:rFonts w:ascii="Arial Narrow" w:eastAsia="Arial" w:hAnsi="Arial Narrow"/>
          <w:sz w:val="24"/>
          <w:szCs w:val="24"/>
        </w:rPr>
        <w:t xml:space="preserve"> </w:t>
      </w:r>
      <w:r w:rsidRPr="00C203F3">
        <w:rPr>
          <w:rFonts w:ascii="Arial Narrow" w:eastAsia="Arial" w:hAnsi="Arial Narrow"/>
          <w:sz w:val="24"/>
          <w:szCs w:val="24"/>
        </w:rPr>
        <w:t>IN</w:t>
      </w:r>
      <w:r w:rsidRPr="00C203F3">
        <w:rPr>
          <w:rFonts w:ascii="Arial Narrow" w:eastAsia="Arial" w:hAnsi="Arial Narrow"/>
          <w:spacing w:val="-25"/>
          <w:sz w:val="24"/>
          <w:szCs w:val="24"/>
        </w:rPr>
        <w:t>T</w:t>
      </w:r>
      <w:r w:rsidRPr="00C203F3">
        <w:rPr>
          <w:rFonts w:ascii="Arial Narrow" w:eastAsia="Arial" w:hAnsi="Arial Narrow"/>
          <w:sz w:val="24"/>
          <w:szCs w:val="24"/>
        </w:rPr>
        <w:t>AKES AND</w:t>
      </w:r>
      <w:r>
        <w:rPr>
          <w:rFonts w:ascii="Arial Narrow" w:eastAsia="Arial" w:hAnsi="Arial Narrow"/>
          <w:sz w:val="24"/>
          <w:szCs w:val="24"/>
        </w:rPr>
        <w:t xml:space="preserve"> </w:t>
      </w:r>
      <w:r w:rsidRPr="00C203F3">
        <w:rPr>
          <w:rFonts w:ascii="Arial Narrow" w:eastAsia="Arial" w:hAnsi="Arial Narrow"/>
          <w:sz w:val="24"/>
          <w:szCs w:val="24"/>
        </w:rPr>
        <w:t>SIDE</w:t>
      </w:r>
      <w:r>
        <w:rPr>
          <w:rFonts w:ascii="Arial Narrow" w:eastAsia="Arial" w:hAnsi="Arial Narrow"/>
          <w:sz w:val="24"/>
          <w:szCs w:val="24"/>
        </w:rPr>
        <w:t xml:space="preserve"> </w:t>
      </w:r>
      <w:r w:rsidRPr="00C203F3">
        <w:rPr>
          <w:rFonts w:ascii="Arial Narrow" w:eastAsia="Arial" w:hAnsi="Arial Narrow"/>
          <w:sz w:val="24"/>
          <w:szCs w:val="24"/>
        </w:rPr>
        <w:t>EFFECTS</w:t>
      </w:r>
      <w:bookmarkEnd w:id="1120"/>
      <w:bookmarkEnd w:id="1121"/>
    </w:p>
    <w:p w:rsidR="00FF2CD0" w:rsidRPr="00FF2CD0" w:rsidRDefault="00FF2CD0" w:rsidP="00FF2CD0"/>
    <w:tbl>
      <w:tblPr>
        <w:tblW w:w="0" w:type="auto"/>
        <w:tblInd w:w="1605" w:type="dxa"/>
        <w:tblLayout w:type="fixed"/>
        <w:tblCellMar>
          <w:left w:w="0" w:type="dxa"/>
          <w:right w:w="0" w:type="dxa"/>
        </w:tblCellMar>
        <w:tblLook w:val="01E0" w:firstRow="1" w:lastRow="1" w:firstColumn="1" w:lastColumn="1" w:noHBand="0" w:noVBand="0"/>
      </w:tblPr>
      <w:tblGrid>
        <w:gridCol w:w="1809"/>
        <w:gridCol w:w="2098"/>
        <w:gridCol w:w="1909"/>
        <w:gridCol w:w="1569"/>
        <w:gridCol w:w="2584"/>
      </w:tblGrid>
      <w:tr w:rsidR="00FF2CD0" w:rsidRPr="00376D73" w:rsidTr="00FF2CD0">
        <w:trPr>
          <w:trHeight w:hRule="exact" w:val="842"/>
        </w:trPr>
        <w:tc>
          <w:tcPr>
            <w:tcW w:w="1809" w:type="dxa"/>
            <w:tcBorders>
              <w:top w:val="single" w:sz="4" w:space="0" w:color="231F20"/>
              <w:left w:val="single" w:sz="4" w:space="0" w:color="231F20"/>
              <w:bottom w:val="single" w:sz="4" w:space="0" w:color="231F20"/>
              <w:right w:val="single" w:sz="4" w:space="0" w:color="231F20"/>
            </w:tcBorders>
            <w:shd w:val="clear" w:color="auto" w:fill="00AEEF"/>
          </w:tcPr>
          <w:p w:rsidR="00FF2CD0" w:rsidRPr="00376D73" w:rsidRDefault="00FF2CD0" w:rsidP="00FF2CD0">
            <w:pPr>
              <w:spacing w:after="0" w:line="241" w:lineRule="exact"/>
              <w:ind w:left="52" w:right="-20"/>
              <w:rPr>
                <w:rFonts w:ascii="Arial" w:eastAsia="Times New Roman" w:hAnsi="Arial" w:cs="Arial"/>
                <w:sz w:val="20"/>
                <w:szCs w:val="20"/>
              </w:rPr>
            </w:pPr>
            <w:r w:rsidRPr="00376D73">
              <w:rPr>
                <w:rFonts w:ascii="Arial" w:eastAsia="Times New Roman" w:hAnsi="Arial" w:cs="Arial"/>
                <w:b/>
                <w:bCs/>
                <w:color w:val="FFFFFF"/>
                <w:sz w:val="20"/>
                <w:szCs w:val="20"/>
              </w:rPr>
              <w:t>Medication</w:t>
            </w:r>
          </w:p>
        </w:tc>
        <w:tc>
          <w:tcPr>
            <w:tcW w:w="2098" w:type="dxa"/>
            <w:tcBorders>
              <w:top w:val="single" w:sz="4" w:space="0" w:color="231F20"/>
              <w:left w:val="single" w:sz="4" w:space="0" w:color="231F20"/>
              <w:bottom w:val="single" w:sz="4" w:space="0" w:color="231F20"/>
              <w:right w:val="single" w:sz="4" w:space="0" w:color="231F20"/>
            </w:tcBorders>
            <w:shd w:val="clear" w:color="auto" w:fill="00AEEF"/>
          </w:tcPr>
          <w:p w:rsidR="00FF2CD0" w:rsidRPr="00376D73" w:rsidRDefault="00FF2CD0" w:rsidP="00FF2CD0">
            <w:pPr>
              <w:spacing w:after="0" w:line="241" w:lineRule="exact"/>
              <w:ind w:left="52" w:right="-20"/>
              <w:rPr>
                <w:rFonts w:ascii="Arial" w:eastAsia="Times New Roman" w:hAnsi="Arial" w:cs="Arial"/>
                <w:sz w:val="20"/>
                <w:szCs w:val="20"/>
              </w:rPr>
            </w:pPr>
            <w:r w:rsidRPr="00376D73">
              <w:rPr>
                <w:rFonts w:ascii="Arial" w:eastAsia="Times New Roman" w:hAnsi="Arial" w:cs="Arial"/>
                <w:b/>
                <w:bCs/>
                <w:color w:val="FFFFFF"/>
                <w:sz w:val="20"/>
                <w:szCs w:val="20"/>
              </w:rPr>
              <w:t>Purpose</w:t>
            </w:r>
          </w:p>
        </w:tc>
        <w:tc>
          <w:tcPr>
            <w:tcW w:w="1909" w:type="dxa"/>
            <w:tcBorders>
              <w:top w:val="single" w:sz="4" w:space="0" w:color="231F20"/>
              <w:left w:val="single" w:sz="4" w:space="0" w:color="231F20"/>
              <w:bottom w:val="single" w:sz="4" w:space="0" w:color="231F20"/>
              <w:right w:val="single" w:sz="4" w:space="0" w:color="231F20"/>
            </w:tcBorders>
            <w:shd w:val="clear" w:color="auto" w:fill="00AEEF"/>
          </w:tcPr>
          <w:p w:rsidR="00FF2CD0" w:rsidRPr="00376D73" w:rsidRDefault="00FF2CD0" w:rsidP="00FF2CD0">
            <w:pPr>
              <w:spacing w:after="0" w:line="241" w:lineRule="exact"/>
              <w:ind w:left="52" w:right="-20"/>
              <w:rPr>
                <w:rFonts w:ascii="Arial" w:eastAsia="Times New Roman" w:hAnsi="Arial" w:cs="Arial"/>
                <w:sz w:val="20"/>
                <w:szCs w:val="20"/>
              </w:rPr>
            </w:pPr>
            <w:r w:rsidRPr="00376D73">
              <w:rPr>
                <w:rFonts w:ascii="Arial" w:eastAsia="Times New Roman" w:hAnsi="Arial" w:cs="Arial"/>
                <w:b/>
                <w:bCs/>
                <w:color w:val="FFFFFF"/>
                <w:sz w:val="20"/>
                <w:szCs w:val="20"/>
              </w:rPr>
              <w:t>Nutrition</w:t>
            </w:r>
          </w:p>
          <w:p w:rsidR="00FF2CD0" w:rsidRPr="00376D73" w:rsidRDefault="00FF2CD0" w:rsidP="00FF2CD0">
            <w:pPr>
              <w:spacing w:after="0" w:line="240" w:lineRule="exact"/>
              <w:ind w:left="52" w:right="-20"/>
              <w:rPr>
                <w:rFonts w:ascii="Arial" w:eastAsia="Times New Roman" w:hAnsi="Arial" w:cs="Arial"/>
                <w:sz w:val="20"/>
                <w:szCs w:val="20"/>
              </w:rPr>
            </w:pPr>
            <w:r w:rsidRPr="00376D73">
              <w:rPr>
                <w:rFonts w:ascii="Arial" w:eastAsia="Times New Roman" w:hAnsi="Arial" w:cs="Arial"/>
                <w:b/>
                <w:bCs/>
                <w:color w:val="FFFFFF"/>
                <w:sz w:val="20"/>
                <w:szCs w:val="20"/>
              </w:rPr>
              <w:t>Recommendations</w:t>
            </w:r>
          </w:p>
        </w:tc>
        <w:tc>
          <w:tcPr>
            <w:tcW w:w="1569" w:type="dxa"/>
            <w:tcBorders>
              <w:top w:val="single" w:sz="4" w:space="0" w:color="231F20"/>
              <w:left w:val="single" w:sz="4" w:space="0" w:color="231F20"/>
              <w:bottom w:val="single" w:sz="4" w:space="0" w:color="231F20"/>
              <w:right w:val="single" w:sz="4" w:space="0" w:color="231F20"/>
            </w:tcBorders>
            <w:shd w:val="clear" w:color="auto" w:fill="00AEEF"/>
          </w:tcPr>
          <w:p w:rsidR="00FF2CD0" w:rsidRPr="00376D73" w:rsidRDefault="00FF2CD0" w:rsidP="00FF2CD0">
            <w:pPr>
              <w:spacing w:before="1" w:after="0" w:line="240" w:lineRule="exact"/>
              <w:ind w:left="52" w:right="47"/>
              <w:rPr>
                <w:rFonts w:ascii="Arial" w:eastAsia="Times New Roman" w:hAnsi="Arial" w:cs="Arial"/>
                <w:sz w:val="20"/>
                <w:szCs w:val="20"/>
              </w:rPr>
            </w:pPr>
            <w:r w:rsidRPr="00376D73">
              <w:rPr>
                <w:rFonts w:ascii="Arial" w:eastAsia="Times New Roman" w:hAnsi="Arial" w:cs="Arial"/>
                <w:b/>
                <w:bCs/>
                <w:color w:val="FFFFFF"/>
                <w:sz w:val="20"/>
                <w:szCs w:val="20"/>
              </w:rPr>
              <w:t>Foods/ averages/ Herbs to</w:t>
            </w:r>
            <w:r>
              <w:rPr>
                <w:rFonts w:ascii="Arial" w:eastAsia="Times New Roman" w:hAnsi="Arial" w:cs="Arial"/>
                <w:b/>
                <w:bCs/>
                <w:color w:val="FFFFFF"/>
                <w:sz w:val="20"/>
                <w:szCs w:val="20"/>
              </w:rPr>
              <w:t xml:space="preserve"> </w:t>
            </w:r>
            <w:r w:rsidRPr="00376D73">
              <w:rPr>
                <w:rFonts w:ascii="Arial" w:eastAsia="Times New Roman" w:hAnsi="Arial" w:cs="Arial"/>
                <w:b/>
                <w:bCs/>
                <w:color w:val="FFFFFF"/>
                <w:sz w:val="20"/>
                <w:szCs w:val="20"/>
              </w:rPr>
              <w:t>Avoid</w:t>
            </w:r>
          </w:p>
        </w:tc>
        <w:tc>
          <w:tcPr>
            <w:tcW w:w="2584" w:type="dxa"/>
            <w:tcBorders>
              <w:top w:val="single" w:sz="4" w:space="0" w:color="231F20"/>
              <w:left w:val="single" w:sz="4" w:space="0" w:color="231F20"/>
              <w:bottom w:val="single" w:sz="4" w:space="0" w:color="231F20"/>
              <w:right w:val="single" w:sz="4" w:space="0" w:color="231F20"/>
            </w:tcBorders>
            <w:shd w:val="clear" w:color="auto" w:fill="00AEEF"/>
          </w:tcPr>
          <w:p w:rsidR="00FF2CD0" w:rsidRPr="00376D73" w:rsidRDefault="00FF2CD0" w:rsidP="00FF2CD0">
            <w:pPr>
              <w:spacing w:after="0" w:line="241" w:lineRule="exact"/>
              <w:ind w:left="52" w:right="-20"/>
              <w:rPr>
                <w:rFonts w:ascii="Arial" w:eastAsia="Times New Roman" w:hAnsi="Arial" w:cs="Arial"/>
                <w:sz w:val="20"/>
                <w:szCs w:val="20"/>
              </w:rPr>
            </w:pPr>
            <w:r w:rsidRPr="00376D73">
              <w:rPr>
                <w:rFonts w:ascii="Arial" w:eastAsia="Times New Roman" w:hAnsi="Arial" w:cs="Arial"/>
                <w:b/>
                <w:bCs/>
                <w:color w:val="FFFFFF"/>
                <w:sz w:val="20"/>
                <w:szCs w:val="20"/>
              </w:rPr>
              <w:t>Potential Side Effects</w:t>
            </w:r>
          </w:p>
        </w:tc>
      </w:tr>
      <w:tr w:rsidR="00FF2CD0" w:rsidRPr="00376D73" w:rsidTr="00FF2CD0">
        <w:trPr>
          <w:trHeight w:hRule="exact" w:val="810"/>
        </w:trPr>
        <w:tc>
          <w:tcPr>
            <w:tcW w:w="18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376D73" w:rsidRDefault="00FF2CD0" w:rsidP="00FF2CD0">
            <w:pPr>
              <w:spacing w:before="4" w:after="0" w:line="240" w:lineRule="exact"/>
              <w:ind w:left="52" w:right="46"/>
              <w:rPr>
                <w:rFonts w:ascii="Arial" w:eastAsia="Times New Roman" w:hAnsi="Arial" w:cs="Arial"/>
              </w:rPr>
            </w:pPr>
            <w:r w:rsidRPr="00376D73">
              <w:rPr>
                <w:rFonts w:ascii="Arial" w:eastAsia="Times New Roman" w:hAnsi="Arial" w:cs="Arial"/>
                <w:color w:val="231F20"/>
              </w:rPr>
              <w:t>Sulfonamides: Sulfamethoxazole, Cotrimoxazole</w:t>
            </w:r>
          </w:p>
        </w:tc>
        <w:tc>
          <w:tcPr>
            <w:tcW w:w="2098" w:type="dxa"/>
            <w:tcBorders>
              <w:top w:val="single" w:sz="4" w:space="0" w:color="231F20"/>
              <w:left w:val="single" w:sz="4" w:space="0" w:color="231F20"/>
              <w:bottom w:val="single" w:sz="4" w:space="0" w:color="231F20"/>
              <w:right w:val="single" w:sz="4" w:space="0" w:color="231F20"/>
            </w:tcBorders>
            <w:shd w:val="clear" w:color="auto" w:fill="E4F5FD"/>
          </w:tcPr>
          <w:p w:rsidR="00FF2CD0" w:rsidRPr="00376D73" w:rsidRDefault="00FF2CD0" w:rsidP="00FF2CD0">
            <w:pPr>
              <w:spacing w:before="4" w:after="0" w:line="240" w:lineRule="exact"/>
              <w:ind w:left="52" w:right="102"/>
              <w:rPr>
                <w:rFonts w:ascii="Arial" w:eastAsia="Times New Roman" w:hAnsi="Arial" w:cs="Arial"/>
              </w:rPr>
            </w:pPr>
            <w:r w:rsidRPr="00376D73">
              <w:rPr>
                <w:rFonts w:ascii="Arial" w:eastAsia="Times New Roman" w:hAnsi="Arial" w:cs="Arial"/>
                <w:color w:val="231F20"/>
              </w:rPr>
              <w:t>Antibiotic</w:t>
            </w:r>
            <w:r>
              <w:rPr>
                <w:rFonts w:ascii="Arial" w:eastAsia="Times New Roman" w:hAnsi="Arial" w:cs="Arial"/>
                <w:color w:val="231F20"/>
              </w:rPr>
              <w:t xml:space="preserve"> </w:t>
            </w:r>
            <w:r w:rsidRPr="00376D73">
              <w:rPr>
                <w:rFonts w:ascii="Arial" w:eastAsia="Times New Roman" w:hAnsi="Arial" w:cs="Arial"/>
                <w:color w:val="231F20"/>
              </w:rPr>
              <w:t>for treating pneumonia and toxoplasmosis</w:t>
            </w:r>
          </w:p>
        </w:tc>
        <w:tc>
          <w:tcPr>
            <w:tcW w:w="19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376D73" w:rsidRDefault="00FF2CD0" w:rsidP="00FF2CD0">
            <w:pPr>
              <w:spacing w:after="0" w:line="244" w:lineRule="exact"/>
              <w:ind w:left="52" w:right="-20"/>
              <w:rPr>
                <w:rFonts w:ascii="Arial" w:eastAsia="Times New Roman" w:hAnsi="Arial" w:cs="Arial"/>
              </w:rPr>
            </w:pPr>
            <w:r w:rsidRPr="00376D73">
              <w:rPr>
                <w:rFonts w:ascii="Arial" w:eastAsia="Times New Roman" w:hAnsi="Arial" w:cs="Arial"/>
                <w:color w:val="231F20"/>
                <w:spacing w:val="-15"/>
              </w:rPr>
              <w:t>T</w:t>
            </w:r>
            <w:r w:rsidRPr="00376D73">
              <w:rPr>
                <w:rFonts w:ascii="Arial" w:eastAsia="Times New Roman" w:hAnsi="Arial" w:cs="Arial"/>
                <w:color w:val="231F20"/>
              </w:rPr>
              <w:t>ake with food</w:t>
            </w:r>
          </w:p>
        </w:tc>
        <w:tc>
          <w:tcPr>
            <w:tcW w:w="1569" w:type="dxa"/>
            <w:tcBorders>
              <w:top w:val="single" w:sz="4" w:space="0" w:color="231F20"/>
              <w:left w:val="single" w:sz="4" w:space="0" w:color="231F20"/>
              <w:bottom w:val="single" w:sz="4" w:space="0" w:color="231F20"/>
              <w:right w:val="single" w:sz="4" w:space="0" w:color="231F20"/>
            </w:tcBorders>
            <w:shd w:val="clear" w:color="auto" w:fill="E4F5FD"/>
          </w:tcPr>
          <w:p w:rsidR="00FF2CD0" w:rsidRPr="00376D73" w:rsidRDefault="00FF2CD0" w:rsidP="00FF2CD0">
            <w:pPr>
              <w:rPr>
                <w:rFonts w:ascii="Arial" w:hAnsi="Arial" w:cs="Arial"/>
              </w:rPr>
            </w:pPr>
          </w:p>
        </w:tc>
        <w:tc>
          <w:tcPr>
            <w:tcW w:w="2584" w:type="dxa"/>
            <w:tcBorders>
              <w:top w:val="single" w:sz="4" w:space="0" w:color="231F20"/>
              <w:left w:val="single" w:sz="4" w:space="0" w:color="231F20"/>
              <w:bottom w:val="single" w:sz="4" w:space="0" w:color="231F20"/>
              <w:right w:val="single" w:sz="4" w:space="0" w:color="231F20"/>
            </w:tcBorders>
            <w:shd w:val="clear" w:color="auto" w:fill="E4F5FD"/>
          </w:tcPr>
          <w:p w:rsidR="00FF2CD0" w:rsidRPr="00376D73" w:rsidRDefault="00FF2CD0" w:rsidP="00FF2CD0">
            <w:pPr>
              <w:spacing w:before="4" w:after="0" w:line="240" w:lineRule="exact"/>
              <w:ind w:left="52" w:right="857"/>
              <w:rPr>
                <w:rFonts w:ascii="Arial" w:eastAsia="Times New Roman" w:hAnsi="Arial" w:cs="Arial"/>
              </w:rPr>
            </w:pPr>
            <w:r w:rsidRPr="00376D73">
              <w:rPr>
                <w:rFonts w:ascii="Arial" w:eastAsia="Times New Roman" w:hAnsi="Arial" w:cs="Arial"/>
                <w:color w:val="231F20"/>
              </w:rPr>
              <w:t>Nausea, vomiting, abdominal</w:t>
            </w:r>
          </w:p>
          <w:p w:rsidR="00FF2CD0" w:rsidRPr="00376D73" w:rsidRDefault="00FF2CD0" w:rsidP="00FF2CD0">
            <w:pPr>
              <w:spacing w:after="0" w:line="240" w:lineRule="exact"/>
              <w:ind w:left="52" w:right="-20"/>
              <w:rPr>
                <w:rFonts w:ascii="Arial" w:eastAsia="Times New Roman" w:hAnsi="Arial" w:cs="Arial"/>
              </w:rPr>
            </w:pPr>
            <w:r w:rsidRPr="00376D73">
              <w:rPr>
                <w:rFonts w:ascii="Arial" w:eastAsia="Times New Roman" w:hAnsi="Arial" w:cs="Arial"/>
                <w:color w:val="231F20"/>
              </w:rPr>
              <w:t>Pain</w:t>
            </w:r>
          </w:p>
        </w:tc>
      </w:tr>
      <w:tr w:rsidR="00FF2CD0" w:rsidRPr="00376D73" w:rsidTr="00FF2CD0">
        <w:trPr>
          <w:trHeight w:hRule="exact" w:val="1037"/>
        </w:trPr>
        <w:tc>
          <w:tcPr>
            <w:tcW w:w="18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376D73" w:rsidRDefault="00FF2CD0" w:rsidP="00FF2CD0">
            <w:pPr>
              <w:spacing w:after="0" w:line="244" w:lineRule="exact"/>
              <w:ind w:left="52" w:right="-20"/>
              <w:rPr>
                <w:rFonts w:ascii="Arial" w:eastAsia="Times New Roman" w:hAnsi="Arial" w:cs="Arial"/>
              </w:rPr>
            </w:pPr>
            <w:r w:rsidRPr="00376D73">
              <w:rPr>
                <w:rFonts w:ascii="Arial" w:eastAsia="Times New Roman" w:hAnsi="Arial" w:cs="Arial"/>
                <w:color w:val="231F20"/>
              </w:rPr>
              <w:t>Rifampin</w:t>
            </w:r>
          </w:p>
        </w:tc>
        <w:tc>
          <w:tcPr>
            <w:tcW w:w="2098" w:type="dxa"/>
            <w:tcBorders>
              <w:top w:val="single" w:sz="4" w:space="0" w:color="231F20"/>
              <w:left w:val="single" w:sz="4" w:space="0" w:color="231F20"/>
              <w:bottom w:val="single" w:sz="4" w:space="0" w:color="231F20"/>
              <w:right w:val="single" w:sz="4" w:space="0" w:color="231F20"/>
            </w:tcBorders>
            <w:shd w:val="clear" w:color="auto" w:fill="E4F5FD"/>
          </w:tcPr>
          <w:p w:rsidR="00FF2CD0" w:rsidRPr="00376D73" w:rsidRDefault="00FF2CD0" w:rsidP="00FF2CD0">
            <w:pPr>
              <w:spacing w:after="0" w:line="244" w:lineRule="exact"/>
              <w:ind w:left="52" w:right="-20"/>
              <w:rPr>
                <w:rFonts w:ascii="Arial" w:eastAsia="Times New Roman" w:hAnsi="Arial" w:cs="Arial"/>
              </w:rPr>
            </w:pPr>
            <w:r w:rsidRPr="00376D73">
              <w:rPr>
                <w:rFonts w:ascii="Arial" w:eastAsia="Times New Roman" w:hAnsi="Arial" w:cs="Arial"/>
                <w:color w:val="231F20"/>
                <w:spacing w:val="-8"/>
              </w:rPr>
              <w:t>T</w:t>
            </w:r>
            <w:r w:rsidRPr="00376D73">
              <w:rPr>
                <w:rFonts w:ascii="Arial" w:eastAsia="Times New Roman" w:hAnsi="Arial" w:cs="Arial"/>
                <w:color w:val="231F20"/>
              </w:rPr>
              <w:t>reatment ofTB</w:t>
            </w:r>
          </w:p>
        </w:tc>
        <w:tc>
          <w:tcPr>
            <w:tcW w:w="19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376D73" w:rsidRDefault="00FF2CD0" w:rsidP="00FF2CD0">
            <w:pPr>
              <w:spacing w:before="4" w:after="0" w:line="240" w:lineRule="exact"/>
              <w:ind w:left="52" w:right="60"/>
              <w:rPr>
                <w:rFonts w:ascii="Arial" w:eastAsia="Times New Roman" w:hAnsi="Arial" w:cs="Arial"/>
              </w:rPr>
            </w:pPr>
            <w:r w:rsidRPr="00376D73">
              <w:rPr>
                <w:rFonts w:ascii="Arial" w:eastAsia="Times New Roman" w:hAnsi="Arial" w:cs="Arial"/>
                <w:color w:val="231F20"/>
              </w:rPr>
              <w:t>On an empty stomach one hour before or two hours after meals</w:t>
            </w:r>
          </w:p>
        </w:tc>
        <w:tc>
          <w:tcPr>
            <w:tcW w:w="1569" w:type="dxa"/>
            <w:tcBorders>
              <w:top w:val="single" w:sz="4" w:space="0" w:color="231F20"/>
              <w:left w:val="single" w:sz="4" w:space="0" w:color="231F20"/>
              <w:bottom w:val="single" w:sz="4" w:space="0" w:color="231F20"/>
              <w:right w:val="single" w:sz="4" w:space="0" w:color="231F20"/>
            </w:tcBorders>
            <w:shd w:val="clear" w:color="auto" w:fill="E4F5FD"/>
          </w:tcPr>
          <w:p w:rsidR="00FF2CD0" w:rsidRPr="00376D73" w:rsidRDefault="00FF2CD0" w:rsidP="00FF2CD0">
            <w:pPr>
              <w:spacing w:after="0" w:line="244" w:lineRule="exact"/>
              <w:ind w:left="52" w:right="-20"/>
              <w:rPr>
                <w:rFonts w:ascii="Arial" w:eastAsia="Times New Roman" w:hAnsi="Arial" w:cs="Arial"/>
              </w:rPr>
            </w:pPr>
            <w:r w:rsidRPr="00376D73">
              <w:rPr>
                <w:rFonts w:ascii="Arial" w:eastAsia="Times New Roman" w:hAnsi="Arial" w:cs="Arial"/>
                <w:color w:val="231F20"/>
              </w:rPr>
              <w:t>Alcohol</w:t>
            </w:r>
          </w:p>
        </w:tc>
        <w:tc>
          <w:tcPr>
            <w:tcW w:w="2584" w:type="dxa"/>
            <w:tcBorders>
              <w:top w:val="single" w:sz="4" w:space="0" w:color="231F20"/>
              <w:left w:val="single" w:sz="4" w:space="0" w:color="231F20"/>
              <w:bottom w:val="single" w:sz="4" w:space="0" w:color="231F20"/>
              <w:right w:val="single" w:sz="4" w:space="0" w:color="231F20"/>
            </w:tcBorders>
            <w:shd w:val="clear" w:color="auto" w:fill="E4F5FD"/>
          </w:tcPr>
          <w:p w:rsidR="00FF2CD0" w:rsidRPr="00376D73" w:rsidRDefault="00FF2CD0" w:rsidP="00FF2CD0">
            <w:pPr>
              <w:spacing w:before="4" w:after="0" w:line="240" w:lineRule="exact"/>
              <w:ind w:left="52" w:right="857"/>
              <w:rPr>
                <w:rFonts w:ascii="Arial" w:eastAsia="Times New Roman" w:hAnsi="Arial" w:cs="Arial"/>
              </w:rPr>
            </w:pPr>
            <w:r w:rsidRPr="00376D73">
              <w:rPr>
                <w:rFonts w:ascii="Arial" w:eastAsia="Times New Roman" w:hAnsi="Arial" w:cs="Arial"/>
                <w:color w:val="231F20"/>
              </w:rPr>
              <w:t>Nausea, vomiting, diarrhoea, loss</w:t>
            </w:r>
          </w:p>
          <w:p w:rsidR="00FF2CD0" w:rsidRPr="00376D73" w:rsidRDefault="00FF2CD0" w:rsidP="00FF2CD0">
            <w:pPr>
              <w:spacing w:after="0" w:line="240" w:lineRule="exact"/>
              <w:ind w:left="52" w:right="-20"/>
              <w:rPr>
                <w:rFonts w:ascii="Arial" w:eastAsia="Times New Roman" w:hAnsi="Arial" w:cs="Arial"/>
              </w:rPr>
            </w:pPr>
            <w:r w:rsidRPr="00376D73">
              <w:rPr>
                <w:rFonts w:ascii="Arial" w:eastAsia="Times New Roman" w:hAnsi="Arial" w:cs="Arial"/>
                <w:color w:val="231F20"/>
              </w:rPr>
              <w:t>of appetite</w:t>
            </w:r>
          </w:p>
        </w:tc>
      </w:tr>
      <w:tr w:rsidR="00FF2CD0" w:rsidRPr="00376D73" w:rsidTr="00FF2CD0">
        <w:trPr>
          <w:trHeight w:hRule="exact" w:val="2914"/>
        </w:trPr>
        <w:tc>
          <w:tcPr>
            <w:tcW w:w="18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376D73" w:rsidRDefault="00FF2CD0" w:rsidP="00FF2CD0">
            <w:pPr>
              <w:spacing w:after="0" w:line="244" w:lineRule="exact"/>
              <w:ind w:left="52" w:right="-20"/>
              <w:rPr>
                <w:rFonts w:ascii="Arial" w:eastAsia="Times New Roman" w:hAnsi="Arial" w:cs="Arial"/>
              </w:rPr>
            </w:pPr>
            <w:r w:rsidRPr="00376D73">
              <w:rPr>
                <w:rFonts w:ascii="Arial" w:eastAsia="Times New Roman" w:hAnsi="Arial" w:cs="Arial"/>
                <w:color w:val="231F20"/>
              </w:rPr>
              <w:t>Isoniazid</w:t>
            </w:r>
          </w:p>
        </w:tc>
        <w:tc>
          <w:tcPr>
            <w:tcW w:w="2098" w:type="dxa"/>
            <w:tcBorders>
              <w:top w:val="single" w:sz="4" w:space="0" w:color="231F20"/>
              <w:left w:val="single" w:sz="4" w:space="0" w:color="231F20"/>
              <w:bottom w:val="single" w:sz="4" w:space="0" w:color="231F20"/>
              <w:right w:val="single" w:sz="4" w:space="0" w:color="231F20"/>
            </w:tcBorders>
            <w:shd w:val="clear" w:color="auto" w:fill="E4F5FD"/>
          </w:tcPr>
          <w:p w:rsidR="00FF2CD0" w:rsidRPr="00376D73" w:rsidRDefault="00FF2CD0" w:rsidP="00FF2CD0">
            <w:pPr>
              <w:spacing w:after="0" w:line="244" w:lineRule="exact"/>
              <w:ind w:left="52" w:right="-20"/>
              <w:rPr>
                <w:rFonts w:ascii="Arial" w:eastAsia="Times New Roman" w:hAnsi="Arial" w:cs="Arial"/>
              </w:rPr>
            </w:pPr>
            <w:r w:rsidRPr="00376D73">
              <w:rPr>
                <w:rFonts w:ascii="Arial" w:eastAsia="Times New Roman" w:hAnsi="Arial" w:cs="Arial"/>
                <w:color w:val="231F20"/>
                <w:spacing w:val="-8"/>
              </w:rPr>
              <w:t>T</w:t>
            </w:r>
            <w:r w:rsidRPr="00376D73">
              <w:rPr>
                <w:rFonts w:ascii="Arial" w:eastAsia="Times New Roman" w:hAnsi="Arial" w:cs="Arial"/>
                <w:color w:val="231F20"/>
              </w:rPr>
              <w:t>reatment of</w:t>
            </w:r>
          </w:p>
          <w:p w:rsidR="00FF2CD0" w:rsidRPr="00376D73" w:rsidRDefault="00FF2CD0" w:rsidP="00FF2CD0">
            <w:pPr>
              <w:spacing w:after="0" w:line="240" w:lineRule="exact"/>
              <w:ind w:left="52" w:right="-20"/>
              <w:rPr>
                <w:rFonts w:ascii="Arial" w:eastAsia="Times New Roman" w:hAnsi="Arial" w:cs="Arial"/>
              </w:rPr>
            </w:pPr>
            <w:r w:rsidRPr="00376D73">
              <w:rPr>
                <w:rFonts w:ascii="Arial" w:eastAsia="Times New Roman" w:hAnsi="Arial" w:cs="Arial"/>
                <w:color w:val="231F20"/>
              </w:rPr>
              <w:t>TB</w:t>
            </w:r>
          </w:p>
        </w:tc>
        <w:tc>
          <w:tcPr>
            <w:tcW w:w="19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376D73" w:rsidRDefault="00FF2CD0" w:rsidP="00FF2CD0">
            <w:pPr>
              <w:spacing w:before="4" w:after="0" w:line="240" w:lineRule="exact"/>
              <w:ind w:left="52" w:right="219"/>
              <w:rPr>
                <w:rFonts w:ascii="Arial" w:eastAsia="Times New Roman" w:hAnsi="Arial" w:cs="Arial"/>
              </w:rPr>
            </w:pPr>
            <w:r w:rsidRPr="00376D73">
              <w:rPr>
                <w:rFonts w:ascii="Arial" w:eastAsia="Times New Roman" w:hAnsi="Arial" w:cs="Arial"/>
                <w:color w:val="231F20"/>
              </w:rPr>
              <w:t>One hour before or two hours after meals</w:t>
            </w:r>
          </w:p>
          <w:p w:rsidR="00FF2CD0" w:rsidRPr="00376D73" w:rsidRDefault="00FF2CD0" w:rsidP="00FF2CD0">
            <w:pPr>
              <w:spacing w:before="7" w:after="0" w:line="220" w:lineRule="exact"/>
              <w:rPr>
                <w:rFonts w:ascii="Arial" w:hAnsi="Arial" w:cs="Arial"/>
              </w:rPr>
            </w:pPr>
          </w:p>
          <w:p w:rsidR="00FF2CD0" w:rsidRPr="00376D73" w:rsidRDefault="00FF2CD0" w:rsidP="00FF2CD0">
            <w:pPr>
              <w:spacing w:after="0" w:line="240" w:lineRule="auto"/>
              <w:ind w:left="52" w:right="-20"/>
              <w:rPr>
                <w:rFonts w:ascii="Arial" w:eastAsia="Times New Roman" w:hAnsi="Arial" w:cs="Arial"/>
              </w:rPr>
            </w:pPr>
            <w:r w:rsidRPr="00376D73">
              <w:rPr>
                <w:rFonts w:ascii="Arial" w:eastAsia="Times New Roman" w:hAnsi="Arial" w:cs="Arial"/>
                <w:color w:val="231F20"/>
              </w:rPr>
              <w:t>Supplement with</w:t>
            </w:r>
          </w:p>
          <w:p w:rsidR="00FF2CD0" w:rsidRPr="00376D73" w:rsidRDefault="00FF2CD0" w:rsidP="00FF2CD0">
            <w:pPr>
              <w:spacing w:after="0" w:line="240" w:lineRule="exact"/>
              <w:ind w:left="52" w:right="194"/>
              <w:rPr>
                <w:rFonts w:ascii="Arial" w:eastAsia="Times New Roman" w:hAnsi="Arial" w:cs="Arial"/>
              </w:rPr>
            </w:pPr>
            <w:r w:rsidRPr="00376D73">
              <w:rPr>
                <w:rFonts w:ascii="Arial" w:eastAsia="Times New Roman" w:hAnsi="Arial" w:cs="Arial"/>
                <w:color w:val="231F20"/>
              </w:rPr>
              <w:t>10 mg vitamin B6 daily</w:t>
            </w:r>
          </w:p>
        </w:tc>
        <w:tc>
          <w:tcPr>
            <w:tcW w:w="1569" w:type="dxa"/>
            <w:tcBorders>
              <w:top w:val="single" w:sz="4" w:space="0" w:color="231F20"/>
              <w:left w:val="single" w:sz="4" w:space="0" w:color="231F20"/>
              <w:bottom w:val="single" w:sz="4" w:space="0" w:color="231F20"/>
              <w:right w:val="single" w:sz="4" w:space="0" w:color="231F20"/>
            </w:tcBorders>
            <w:shd w:val="clear" w:color="auto" w:fill="E4F5FD"/>
          </w:tcPr>
          <w:p w:rsidR="00FF2CD0" w:rsidRPr="00376D73" w:rsidRDefault="00FF2CD0" w:rsidP="00FF2CD0">
            <w:pPr>
              <w:spacing w:after="0" w:line="244" w:lineRule="exact"/>
              <w:ind w:left="52" w:right="-20"/>
              <w:rPr>
                <w:rFonts w:ascii="Arial" w:eastAsia="Times New Roman" w:hAnsi="Arial" w:cs="Arial"/>
              </w:rPr>
            </w:pPr>
            <w:r w:rsidRPr="00376D73">
              <w:rPr>
                <w:rFonts w:ascii="Arial" w:eastAsia="Times New Roman" w:hAnsi="Arial" w:cs="Arial"/>
                <w:color w:val="231F20"/>
              </w:rPr>
              <w:t>Alcohol</w:t>
            </w:r>
          </w:p>
        </w:tc>
        <w:tc>
          <w:tcPr>
            <w:tcW w:w="2584" w:type="dxa"/>
            <w:tcBorders>
              <w:top w:val="single" w:sz="4" w:space="0" w:color="231F20"/>
              <w:left w:val="single" w:sz="4" w:space="0" w:color="231F20"/>
              <w:bottom w:val="single" w:sz="4" w:space="0" w:color="231F20"/>
              <w:right w:val="single" w:sz="4" w:space="0" w:color="231F20"/>
            </w:tcBorders>
            <w:shd w:val="clear" w:color="auto" w:fill="E4F5FD"/>
          </w:tcPr>
          <w:p w:rsidR="00FF2CD0" w:rsidRPr="00376D73" w:rsidRDefault="00FF2CD0" w:rsidP="00FF2CD0">
            <w:pPr>
              <w:spacing w:before="4" w:after="0" w:line="240" w:lineRule="exact"/>
              <w:ind w:left="52" w:right="210"/>
              <w:rPr>
                <w:rFonts w:ascii="Arial" w:eastAsia="Times New Roman" w:hAnsi="Arial" w:cs="Arial"/>
              </w:rPr>
            </w:pPr>
            <w:r w:rsidRPr="00376D73">
              <w:rPr>
                <w:rFonts w:ascii="Arial" w:eastAsia="Times New Roman" w:hAnsi="Arial" w:cs="Arial"/>
                <w:color w:val="231F20"/>
              </w:rPr>
              <w:t>Anorexia, diarrhoea; may cause possible reactions with foods such as bananas, bee</w:t>
            </w:r>
            <w:r w:rsidRPr="00376D73">
              <w:rPr>
                <w:rFonts w:ascii="Arial" w:eastAsia="Times New Roman" w:hAnsi="Arial" w:cs="Arial"/>
                <w:color w:val="231F20"/>
                <w:spacing w:val="-9"/>
              </w:rPr>
              <w:t>r</w:t>
            </w:r>
            <w:r w:rsidRPr="00376D73">
              <w:rPr>
                <w:rFonts w:ascii="Arial" w:eastAsia="Times New Roman" w:hAnsi="Arial" w:cs="Arial"/>
                <w:color w:val="231F20"/>
              </w:rPr>
              <w:t>, avocados, live</w:t>
            </w:r>
            <w:r w:rsidRPr="00376D73">
              <w:rPr>
                <w:rFonts w:ascii="Arial" w:eastAsia="Times New Roman" w:hAnsi="Arial" w:cs="Arial"/>
                <w:color w:val="231F20"/>
                <w:spacing w:val="-9"/>
              </w:rPr>
              <w:t>r</w:t>
            </w:r>
            <w:r w:rsidRPr="00376D73">
              <w:rPr>
                <w:rFonts w:ascii="Arial" w:eastAsia="Times New Roman" w:hAnsi="Arial" w:cs="Arial"/>
                <w:color w:val="231F20"/>
              </w:rPr>
              <w:t>, smoked or pickled fish,</w:t>
            </w:r>
            <w:r>
              <w:rPr>
                <w:rFonts w:ascii="Arial" w:eastAsia="Times New Roman" w:hAnsi="Arial" w:cs="Arial"/>
                <w:color w:val="231F20"/>
              </w:rPr>
              <w:t xml:space="preserve"> </w:t>
            </w:r>
            <w:r w:rsidRPr="00376D73">
              <w:rPr>
                <w:rFonts w:ascii="Arial" w:eastAsia="Times New Roman" w:hAnsi="Arial" w:cs="Arial"/>
                <w:color w:val="231F20"/>
              </w:rPr>
              <w:t>yeast, yogurt; may interfere with vitamin B6 metabolism, therefore</w:t>
            </w:r>
          </w:p>
          <w:p w:rsidR="00FF2CD0" w:rsidRPr="00376D73" w:rsidRDefault="00FF2CD0" w:rsidP="00FF2CD0">
            <w:pPr>
              <w:spacing w:after="0" w:line="240" w:lineRule="exact"/>
              <w:ind w:left="52" w:right="155"/>
              <w:rPr>
                <w:rFonts w:ascii="Arial" w:eastAsia="Times New Roman" w:hAnsi="Arial" w:cs="Arial"/>
              </w:rPr>
            </w:pPr>
            <w:r w:rsidRPr="00376D73">
              <w:rPr>
                <w:rFonts w:ascii="Arial" w:eastAsia="Times New Roman" w:hAnsi="Arial" w:cs="Arial"/>
                <w:color w:val="231F20"/>
              </w:rPr>
              <w:t>will require vitamin B6 supplement to prevent peripheral neuropathy and anaemia</w:t>
            </w:r>
          </w:p>
        </w:tc>
      </w:tr>
      <w:tr w:rsidR="00FF2CD0" w:rsidRPr="00376D73" w:rsidTr="00FF2CD0">
        <w:trPr>
          <w:trHeight w:hRule="exact" w:val="1157"/>
        </w:trPr>
        <w:tc>
          <w:tcPr>
            <w:tcW w:w="18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376D73" w:rsidRDefault="00FF2CD0" w:rsidP="00FF2CD0">
            <w:pPr>
              <w:spacing w:after="0" w:line="244" w:lineRule="exact"/>
              <w:ind w:left="52" w:right="-20"/>
              <w:rPr>
                <w:rFonts w:ascii="Arial" w:eastAsia="Times New Roman" w:hAnsi="Arial" w:cs="Arial"/>
              </w:rPr>
            </w:pPr>
            <w:r w:rsidRPr="00376D73">
              <w:rPr>
                <w:rFonts w:ascii="Arial" w:eastAsia="Times New Roman" w:hAnsi="Arial" w:cs="Arial"/>
                <w:color w:val="231F20"/>
              </w:rPr>
              <w:t>Quinine</w:t>
            </w:r>
          </w:p>
        </w:tc>
        <w:tc>
          <w:tcPr>
            <w:tcW w:w="2098" w:type="dxa"/>
            <w:tcBorders>
              <w:top w:val="single" w:sz="4" w:space="0" w:color="231F20"/>
              <w:left w:val="single" w:sz="4" w:space="0" w:color="231F20"/>
              <w:bottom w:val="single" w:sz="4" w:space="0" w:color="231F20"/>
              <w:right w:val="single" w:sz="4" w:space="0" w:color="231F20"/>
            </w:tcBorders>
            <w:shd w:val="clear" w:color="auto" w:fill="E4F5FD"/>
          </w:tcPr>
          <w:p w:rsidR="00FF2CD0" w:rsidRPr="00376D73" w:rsidRDefault="00FF2CD0" w:rsidP="00FF2CD0">
            <w:pPr>
              <w:spacing w:after="0" w:line="244" w:lineRule="exact"/>
              <w:ind w:left="52" w:right="-20"/>
              <w:rPr>
                <w:rFonts w:ascii="Arial" w:eastAsia="Times New Roman" w:hAnsi="Arial" w:cs="Arial"/>
              </w:rPr>
            </w:pPr>
            <w:r w:rsidRPr="00376D73">
              <w:rPr>
                <w:rFonts w:ascii="Arial" w:eastAsia="Times New Roman" w:hAnsi="Arial" w:cs="Arial"/>
                <w:color w:val="231F20"/>
                <w:spacing w:val="-8"/>
              </w:rPr>
              <w:t>T</w:t>
            </w:r>
            <w:r w:rsidRPr="00376D73">
              <w:rPr>
                <w:rFonts w:ascii="Arial" w:eastAsia="Times New Roman" w:hAnsi="Arial" w:cs="Arial"/>
                <w:color w:val="231F20"/>
              </w:rPr>
              <w:t>reatment of</w:t>
            </w:r>
          </w:p>
          <w:p w:rsidR="00FF2CD0" w:rsidRPr="00376D73" w:rsidRDefault="00FF2CD0" w:rsidP="00FF2CD0">
            <w:pPr>
              <w:spacing w:after="0" w:line="240" w:lineRule="exact"/>
              <w:ind w:left="52" w:right="-20"/>
              <w:rPr>
                <w:rFonts w:ascii="Arial" w:eastAsia="Times New Roman" w:hAnsi="Arial" w:cs="Arial"/>
              </w:rPr>
            </w:pPr>
            <w:r w:rsidRPr="00376D73">
              <w:rPr>
                <w:rFonts w:ascii="Arial" w:eastAsia="Times New Roman" w:hAnsi="Arial" w:cs="Arial"/>
                <w:color w:val="231F20"/>
              </w:rPr>
              <w:t>Malaria</w:t>
            </w:r>
          </w:p>
        </w:tc>
        <w:tc>
          <w:tcPr>
            <w:tcW w:w="19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376D73" w:rsidRDefault="00FF2CD0" w:rsidP="00FF2CD0">
            <w:pPr>
              <w:spacing w:after="0" w:line="244" w:lineRule="exact"/>
              <w:ind w:left="52" w:right="-20"/>
              <w:rPr>
                <w:rFonts w:ascii="Arial" w:eastAsia="Times New Roman" w:hAnsi="Arial" w:cs="Arial"/>
              </w:rPr>
            </w:pPr>
            <w:r w:rsidRPr="00376D73">
              <w:rPr>
                <w:rFonts w:ascii="Arial" w:eastAsia="Times New Roman" w:hAnsi="Arial" w:cs="Arial"/>
                <w:color w:val="231F20"/>
                <w:spacing w:val="-9"/>
              </w:rPr>
              <w:t>W</w:t>
            </w:r>
            <w:r w:rsidRPr="00376D73">
              <w:rPr>
                <w:rFonts w:ascii="Arial" w:eastAsia="Times New Roman" w:hAnsi="Arial" w:cs="Arial"/>
                <w:color w:val="231F20"/>
              </w:rPr>
              <w:t>ith food</w:t>
            </w:r>
          </w:p>
        </w:tc>
        <w:tc>
          <w:tcPr>
            <w:tcW w:w="1569" w:type="dxa"/>
            <w:tcBorders>
              <w:top w:val="single" w:sz="4" w:space="0" w:color="231F20"/>
              <w:left w:val="single" w:sz="4" w:space="0" w:color="231F20"/>
              <w:bottom w:val="single" w:sz="4" w:space="0" w:color="231F20"/>
              <w:right w:val="single" w:sz="4" w:space="0" w:color="231F20"/>
            </w:tcBorders>
            <w:shd w:val="clear" w:color="auto" w:fill="E4F5FD"/>
          </w:tcPr>
          <w:p w:rsidR="00FF2CD0" w:rsidRPr="00376D73" w:rsidRDefault="00FF2CD0" w:rsidP="00FF2CD0">
            <w:pPr>
              <w:rPr>
                <w:rFonts w:ascii="Arial" w:hAnsi="Arial" w:cs="Arial"/>
              </w:rPr>
            </w:pPr>
          </w:p>
        </w:tc>
        <w:tc>
          <w:tcPr>
            <w:tcW w:w="2584" w:type="dxa"/>
            <w:tcBorders>
              <w:top w:val="single" w:sz="4" w:space="0" w:color="231F20"/>
              <w:left w:val="single" w:sz="4" w:space="0" w:color="231F20"/>
              <w:bottom w:val="single" w:sz="4" w:space="0" w:color="231F20"/>
              <w:right w:val="single" w:sz="4" w:space="0" w:color="231F20"/>
            </w:tcBorders>
            <w:shd w:val="clear" w:color="auto" w:fill="E4F5FD"/>
          </w:tcPr>
          <w:p w:rsidR="00FF2CD0" w:rsidRPr="00376D73" w:rsidRDefault="00FF2CD0" w:rsidP="00FF2CD0">
            <w:pPr>
              <w:spacing w:before="4" w:after="0" w:line="240" w:lineRule="exact"/>
              <w:ind w:left="52" w:right="381"/>
              <w:rPr>
                <w:rFonts w:ascii="Arial" w:eastAsia="Times New Roman" w:hAnsi="Arial" w:cs="Arial"/>
              </w:rPr>
            </w:pPr>
            <w:r w:rsidRPr="00376D73">
              <w:rPr>
                <w:rFonts w:ascii="Arial" w:eastAsia="Times New Roman" w:hAnsi="Arial" w:cs="Arial"/>
                <w:color w:val="231F20"/>
              </w:rPr>
              <w:t>Abdominal or stomach pain, diarrhoea, nausea, vomiting; lower</w:t>
            </w:r>
          </w:p>
          <w:p w:rsidR="00FF2CD0" w:rsidRPr="00376D73" w:rsidRDefault="00FF2CD0" w:rsidP="00FF2CD0">
            <w:pPr>
              <w:spacing w:after="0" w:line="240" w:lineRule="exact"/>
              <w:ind w:left="52" w:right="-20"/>
              <w:rPr>
                <w:rFonts w:ascii="Arial" w:eastAsia="Times New Roman" w:hAnsi="Arial" w:cs="Arial"/>
              </w:rPr>
            </w:pPr>
            <w:r w:rsidRPr="00376D73">
              <w:rPr>
                <w:rFonts w:ascii="Arial" w:eastAsia="Times New Roman" w:hAnsi="Arial" w:cs="Arial"/>
                <w:color w:val="231F20"/>
              </w:rPr>
              <w:t>blood sugar</w:t>
            </w:r>
          </w:p>
        </w:tc>
      </w:tr>
    </w:tbl>
    <w:p w:rsidR="00FF2CD0" w:rsidRPr="00C203F3" w:rsidRDefault="00FF2CD0" w:rsidP="00FF2CD0">
      <w:pPr>
        <w:spacing w:after="0"/>
        <w:rPr>
          <w:rFonts w:ascii="Arial Narrow" w:hAnsi="Arial Narrow"/>
          <w:sz w:val="24"/>
          <w:szCs w:val="24"/>
        </w:rPr>
        <w:sectPr w:rsidR="00FF2CD0" w:rsidRPr="00C203F3">
          <w:pgSz w:w="12760" w:h="9240" w:orient="landscape"/>
          <w:pgMar w:top="420" w:right="0" w:bottom="280" w:left="0" w:header="0" w:footer="0" w:gutter="0"/>
          <w:cols w:space="720"/>
        </w:sectPr>
      </w:pPr>
    </w:p>
    <w:p w:rsidR="00FF2CD0" w:rsidRPr="00C203F3" w:rsidRDefault="00AA771C" w:rsidP="00FF2CD0">
      <w:pPr>
        <w:spacing w:before="1" w:after="0" w:line="170" w:lineRule="exact"/>
        <w:rPr>
          <w:rFonts w:ascii="Arial Narrow" w:hAnsi="Arial Narrow"/>
          <w:sz w:val="24"/>
          <w:szCs w:val="24"/>
        </w:rPr>
      </w:pPr>
      <w:r>
        <w:rPr>
          <w:rFonts w:ascii="Arial Narrow" w:hAnsi="Arial Narrow"/>
          <w:noProof/>
          <w:sz w:val="24"/>
          <w:szCs w:val="24"/>
        </w:rPr>
        <mc:AlternateContent>
          <mc:Choice Requires="wpg">
            <w:drawing>
              <wp:anchor distT="0" distB="0" distL="114300" distR="114300" simplePos="0" relativeHeight="251766784" behindDoc="1" locked="0" layoutInCell="1" allowOverlap="1">
                <wp:simplePos x="0" y="0"/>
                <wp:positionH relativeFrom="page">
                  <wp:posOffset>7827010</wp:posOffset>
                </wp:positionH>
                <wp:positionV relativeFrom="page">
                  <wp:posOffset>0</wp:posOffset>
                </wp:positionV>
                <wp:extent cx="1270" cy="190500"/>
                <wp:effectExtent l="0" t="0" r="17780" b="19050"/>
                <wp:wrapNone/>
                <wp:docPr id="693"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12326" y="0"/>
                          <a:chExt cx="2" cy="300"/>
                        </a:xfrm>
                      </wpg:grpSpPr>
                      <wps:wsp>
                        <wps:cNvPr id="694" name="Freeform 357"/>
                        <wps:cNvSpPr>
                          <a:spLocks/>
                        </wps:cNvSpPr>
                        <wps:spPr bwMode="auto">
                          <a:xfrm>
                            <a:off x="12326"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26" style="position:absolute;margin-left:616.3pt;margin-top:0;width:.1pt;height:15pt;z-index:-251549696;mso-position-horizontal-relative:page;mso-position-vertical-relative:page" coordorigin="12326"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">
                <v:shape id="Freeform 357" o:spid="_x0000_s1027" style="position:absolute;left:12326;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nFsMA&#10;AADcAAAADwAAAGRycy9kb3ducmV2LnhtbESPQYvCMBSE78L+h/AW9iJrqoho1ygiCnvwUit4fTTP&#10;pti8lCa23X+/EQSPw8x8w6y3g61FR62vHCuYThIQxIXTFZcKLvnxewnCB2SNtWNS8EcetpuP0RpT&#10;7XrOqDuHUkQI+xQVmBCaVEpfGLLoJ64hjt7NtRZDlG0pdYt9hNtazpJkIS1WHBcMNrQ3VNzPD6sg&#10;k8NpnJvGHrrQX7NimZxuj7tSX5/D7gdEoCG8w6/2r1awWM3he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InFsMAAADcAAAADwAAAAAAAAAAAAAAAACYAgAAZHJzL2Rv&#10;d25yZXYueG1sUEsFBgAAAAAEAAQA9QAAAIgDAAAAAA==&#10;" path="m,300l,e" filled="f" strokeweight=".25pt">
                  <v:path arrowok="t" o:connecttype="custom" o:connectlocs="0,300;0,0" o:connectangles="0,0"/>
                </v:shape>
                <w10:wrap anchorx="page" anchory="page"/>
              </v:group>
            </w:pict>
          </mc:Fallback>
        </mc:AlternateContent>
      </w:r>
      <w:r>
        <w:rPr>
          <w:rFonts w:ascii="Arial Narrow" w:hAnsi="Arial Narrow"/>
          <w:noProof/>
          <w:sz w:val="24"/>
          <w:szCs w:val="24"/>
        </w:rPr>
        <mc:AlternateContent>
          <mc:Choice Requires="wpg">
            <w:drawing>
              <wp:anchor distT="0" distB="0" distL="114300" distR="114300" simplePos="0" relativeHeight="251767808" behindDoc="1" locked="0" layoutInCell="1" allowOverlap="1">
                <wp:simplePos x="0" y="0"/>
                <wp:positionH relativeFrom="page">
                  <wp:posOffset>7827010</wp:posOffset>
                </wp:positionH>
                <wp:positionV relativeFrom="page">
                  <wp:posOffset>5671185</wp:posOffset>
                </wp:positionV>
                <wp:extent cx="1270" cy="190500"/>
                <wp:effectExtent l="0" t="0" r="17780" b="19050"/>
                <wp:wrapNone/>
                <wp:docPr id="69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12326" y="8931"/>
                          <a:chExt cx="2" cy="300"/>
                        </a:xfrm>
                      </wpg:grpSpPr>
                      <wps:wsp>
                        <wps:cNvPr id="692" name="Freeform 355"/>
                        <wps:cNvSpPr>
                          <a:spLocks/>
                        </wps:cNvSpPr>
                        <wps:spPr bwMode="auto">
                          <a:xfrm>
                            <a:off x="12326" y="8931"/>
                            <a:ext cx="2" cy="300"/>
                          </a:xfrm>
                          <a:custGeom>
                            <a:avLst/>
                            <a:gdLst>
                              <a:gd name="T0" fmla="+- 0 8931 8931"/>
                              <a:gd name="T1" fmla="*/ 8931 h 300"/>
                              <a:gd name="T2" fmla="+- 0 9231 8931"/>
                              <a:gd name="T3" fmla="*/ 9231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026" style="position:absolute;margin-left:616.3pt;margin-top:446.55pt;width:.1pt;height:15pt;z-index:-251548672;mso-position-horizontal-relative:page;mso-position-vertical-relative:page" coordorigin="12326,8931"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">
                <v:shape id="Freeform 355" o:spid="_x0000_s1027" style="position:absolute;left:12326;top:8931;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a+cQA&#10;AADcAAAADwAAAGRycy9kb3ducmV2LnhtbESPzWrDMBCE74G8g9hCLqGR60NIXCuhhBZyyMVJINfF&#10;2ljG1spY8k/fvioUehxm5hsmP862FSP1vnas4G2TgCAuna65UnC/fb3uQPiArLF1TAq+ycPxsFzk&#10;mGk3cUHjNVQiQthnqMCE0GVS+tKQRb9xHXH0nq63GKLsK6l7nCLctjJNkq20WHNcMNjRyVDZXAer&#10;oJDzZX0znf0cw/Qoyl1yeQ6NUquX+eMdRKA5/If/2metYLtP4fdMP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3GvnEAAAA3AAAAA8AAAAAAAAAAAAAAAAAmAIAAGRycy9k&#10;b3ducmV2LnhtbFBLBQYAAAAABAAEAPUAAACJAwAAAAA=&#10;" path="m,l,300e" filled="f" strokeweight=".25pt">
                  <v:path arrowok="t" o:connecttype="custom" o:connectlocs="0,8931;0,9231" o:connectangles="0,0"/>
                </v:shape>
                <w10:wrap anchorx="page" anchory="page"/>
              </v:group>
            </w:pict>
          </mc:Fallback>
        </mc:AlternateContent>
      </w:r>
      <w:r>
        <w:rPr>
          <w:rFonts w:ascii="Arial Narrow" w:hAnsi="Arial Narrow"/>
          <w:noProof/>
          <w:sz w:val="24"/>
          <w:szCs w:val="24"/>
        </w:rPr>
        <mc:AlternateContent>
          <mc:Choice Requires="wpg">
            <w:drawing>
              <wp:anchor distT="0" distB="0" distL="114300" distR="114300" simplePos="0" relativeHeight="251768832" behindDoc="1" locked="0" layoutInCell="1" allowOverlap="1">
                <wp:simplePos x="0" y="0"/>
                <wp:positionH relativeFrom="page">
                  <wp:posOffset>7903210</wp:posOffset>
                </wp:positionH>
                <wp:positionV relativeFrom="page">
                  <wp:posOffset>266700</wp:posOffset>
                </wp:positionV>
                <wp:extent cx="190500" cy="1270"/>
                <wp:effectExtent l="0" t="0" r="19050" b="17780"/>
                <wp:wrapNone/>
                <wp:docPr id="687"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2446" y="420"/>
                          <a:chExt cx="300" cy="2"/>
                        </a:xfrm>
                      </wpg:grpSpPr>
                      <wps:wsp>
                        <wps:cNvPr id="688" name="Freeform 351"/>
                        <wps:cNvSpPr>
                          <a:spLocks/>
                        </wps:cNvSpPr>
                        <wps:spPr bwMode="auto">
                          <a:xfrm>
                            <a:off x="12446" y="420"/>
                            <a:ext cx="300" cy="2"/>
                          </a:xfrm>
                          <a:custGeom>
                            <a:avLst/>
                            <a:gdLst>
                              <a:gd name="T0" fmla="+- 0 12446 12446"/>
                              <a:gd name="T1" fmla="*/ T0 w 300"/>
                              <a:gd name="T2" fmla="+- 0 12746 12446"/>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622.3pt;margin-top:21pt;width:15pt;height:.1pt;z-index:-251547648;mso-position-horizontal-relative:page;mso-position-vertical-relative:page" coordorigin="12446,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">
                <v:shape id="Freeform 351" o:spid="_x0000_s1027" style="position:absolute;left:12446;top:420;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7wFMIA&#10;AADcAAAADwAAAGRycy9kb3ducmV2LnhtbERPy2rCQBTdF/oPwxXc1Ymm2Jg6SlsoTbsI+Oj+krkm&#10;wcydMDPG9O+dhdDl4bzX29F0YiDnW8sK5rMEBHFldcu1guPh8ykD4QOyxs4yKfgjD9vN48Mac22v&#10;vKNhH2oRQ9jnqKAJoc+l9FVDBv3M9sSRO1lnMEToaqkdXmO46eQiSZbSYMuxocGePhqqzvuLUVCW&#10;7Bye0sX8y6zSn5f359/iu1BqOhnfXkEEGsO/+O4utIJlFtfG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vAUwgAAANwAAAAPAAAAAAAAAAAAAAAAAJgCAABkcnMvZG93&#10;bnJldi54bWxQSwUGAAAAAAQABAD1AAAAhwMAAAAA&#10;" path="m,l300,e" filled="f" strokeweight=".25pt">
                  <v:path arrowok="t" o:connecttype="custom" o:connectlocs="0,0;300,0" o:connectangles="0,0"/>
                </v:shape>
                <w10:wrap anchorx="page" anchory="page"/>
              </v:group>
            </w:pict>
          </mc:Fallback>
        </mc:AlternateContent>
      </w:r>
      <w:r>
        <w:rPr>
          <w:rFonts w:ascii="Arial Narrow" w:hAnsi="Arial Narrow"/>
          <w:noProof/>
          <w:sz w:val="24"/>
          <w:szCs w:val="24"/>
        </w:rPr>
        <mc:AlternateContent>
          <mc:Choice Requires="wpg">
            <w:drawing>
              <wp:anchor distT="0" distB="0" distL="114300" distR="114300" simplePos="0" relativeHeight="251769856" behindDoc="1" locked="0" layoutInCell="1" allowOverlap="1">
                <wp:simplePos x="0" y="0"/>
                <wp:positionH relativeFrom="page">
                  <wp:posOffset>7903210</wp:posOffset>
                </wp:positionH>
                <wp:positionV relativeFrom="page">
                  <wp:posOffset>5594985</wp:posOffset>
                </wp:positionV>
                <wp:extent cx="190500" cy="1270"/>
                <wp:effectExtent l="0" t="0" r="19050" b="17780"/>
                <wp:wrapNone/>
                <wp:docPr id="685"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2446" y="8811"/>
                          <a:chExt cx="300" cy="2"/>
                        </a:xfrm>
                      </wpg:grpSpPr>
                      <wps:wsp>
                        <wps:cNvPr id="686" name="Freeform 349"/>
                        <wps:cNvSpPr>
                          <a:spLocks/>
                        </wps:cNvSpPr>
                        <wps:spPr bwMode="auto">
                          <a:xfrm>
                            <a:off x="12446" y="8811"/>
                            <a:ext cx="300" cy="2"/>
                          </a:xfrm>
                          <a:custGeom>
                            <a:avLst/>
                            <a:gdLst>
                              <a:gd name="T0" fmla="+- 0 12446 12446"/>
                              <a:gd name="T1" fmla="*/ T0 w 300"/>
                              <a:gd name="T2" fmla="+- 0 12746 12446"/>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26" style="position:absolute;margin-left:622.3pt;margin-top:440.55pt;width:15pt;height:.1pt;z-index:-251546624;mso-position-horizontal-relative:page;mso-position-vertical-relative:page" coordorigin="12446,8811"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">
                <v:shape id="Freeform 349" o:spid="_x0000_s1027" style="position:absolute;left:12446;top:8811;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B/cUA&#10;AADcAAAADwAAAGRycy9kb3ducmV2LnhtbESPW2vCQBSE3wv9D8sp9K1uvJBqdBUtFKMPQr28H7LH&#10;JJg9G3a3Gv+9KxT6OMzMN8xs0ZlGXMn52rKCfi8BQVxYXXOp4Hj4/hiD8AFZY2OZFNzJw2L++jLD&#10;TNsb/9B1H0oRIewzVFCF0GZS+qIig75nW+Lona0zGKJ0pdQObxFuGjlIklQarDkuVNjSV0XFZf9r&#10;FOx27Byeh4P+2kyG28/V6JRvcqXe37rlFESgLvyH/9q5VpCOU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H9xQAAANwAAAAPAAAAAAAAAAAAAAAAAJgCAABkcnMv&#10;ZG93bnJldi54bWxQSwUGAAAAAAQABAD1AAAAigMAAAAA&#10;" path="m,l300,e" filled="f" strokeweight=".25pt">
                  <v:path arrowok="t" o:connecttype="custom" o:connectlocs="0,0;300,0" o:connectangles="0,0"/>
                </v:shape>
                <w10:wrap anchorx="page" anchory="page"/>
              </v:group>
            </w:pict>
          </mc:Fallback>
        </mc:AlternateContent>
      </w:r>
      <w:r>
        <w:rPr>
          <w:rFonts w:ascii="Arial Narrow" w:hAnsi="Arial Narrow"/>
          <w:noProof/>
          <w:sz w:val="24"/>
          <w:szCs w:val="24"/>
        </w:rPr>
        <mc:AlternateContent>
          <mc:Choice Requires="wps">
            <w:drawing>
              <wp:anchor distT="0" distB="0" distL="114300" distR="114300" simplePos="0" relativeHeight="251770880" behindDoc="1" locked="0" layoutInCell="1" allowOverlap="1">
                <wp:simplePos x="0" y="0"/>
                <wp:positionH relativeFrom="page">
                  <wp:posOffset>411480</wp:posOffset>
                </wp:positionH>
                <wp:positionV relativeFrom="page">
                  <wp:posOffset>838200</wp:posOffset>
                </wp:positionV>
                <wp:extent cx="165100" cy="234950"/>
                <wp:effectExtent l="0" t="0" r="6350" b="12700"/>
                <wp:wrapNone/>
                <wp:docPr id="682"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sidP="00FF2CD0">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color w:val="FFFFFF"/>
                              </w:rPr>
                              <w:t>298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480" type="#_x0000_t202" style="position:absolute;margin-left:32.4pt;margin-top:66pt;width:13pt;height:18.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DptAIAALUFAAAOAAAAZHJzL2Uyb0RvYy54bWysVFtvmzAUfp+0/2D5nXIJU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" filled="f" stroked="f">
                <v:textbox style="layout-flow:vertical" inset="0,0,0,0">
                  <w:txbxContent>
                    <w:p w:rsidR="00B247C9" w:rsidRDefault="00B247C9" w:rsidP="00FF2CD0">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color w:val="FFFFFF"/>
                        </w:rPr>
                        <w:t>298</w:t>
                      </w:r>
                    </w:p>
                  </w:txbxContent>
                </v:textbox>
                <w10:wrap anchorx="page" anchory="page"/>
              </v:shape>
            </w:pict>
          </mc:Fallback>
        </mc:AlternateContent>
      </w:r>
    </w:p>
    <w:p w:rsidR="00FF2CD0" w:rsidRPr="00C203F3" w:rsidRDefault="00FF2CD0" w:rsidP="00FF2CD0">
      <w:pPr>
        <w:spacing w:after="0" w:line="200" w:lineRule="exact"/>
        <w:rPr>
          <w:rFonts w:ascii="Arial Narrow" w:hAnsi="Arial Narrow"/>
          <w:sz w:val="24"/>
          <w:szCs w:val="24"/>
        </w:rPr>
      </w:pPr>
    </w:p>
    <w:p w:rsidR="00FF2CD0" w:rsidRPr="00C203F3" w:rsidRDefault="00FF2CD0" w:rsidP="00FF2CD0">
      <w:pPr>
        <w:spacing w:after="0" w:line="200" w:lineRule="exact"/>
        <w:rPr>
          <w:rFonts w:ascii="Arial Narrow" w:hAnsi="Arial Narrow"/>
          <w:sz w:val="24"/>
          <w:szCs w:val="24"/>
        </w:rPr>
      </w:pPr>
    </w:p>
    <w:p w:rsidR="00FF2CD0" w:rsidRPr="00C203F3" w:rsidRDefault="00FF2CD0" w:rsidP="00FF2CD0">
      <w:pPr>
        <w:spacing w:after="0" w:line="200" w:lineRule="exact"/>
        <w:rPr>
          <w:rFonts w:ascii="Arial Narrow" w:hAnsi="Arial Narrow"/>
          <w:sz w:val="24"/>
          <w:szCs w:val="24"/>
        </w:rPr>
      </w:pPr>
    </w:p>
    <w:tbl>
      <w:tblPr>
        <w:tblW w:w="0" w:type="auto"/>
        <w:tblInd w:w="95" w:type="dxa"/>
        <w:tblLayout w:type="fixed"/>
        <w:tblCellMar>
          <w:left w:w="0" w:type="dxa"/>
          <w:right w:w="0" w:type="dxa"/>
        </w:tblCellMar>
        <w:tblLook w:val="01E0" w:firstRow="1" w:lastRow="1" w:firstColumn="1" w:lastColumn="1" w:noHBand="0" w:noVBand="0"/>
      </w:tblPr>
      <w:tblGrid>
        <w:gridCol w:w="1809"/>
        <w:gridCol w:w="2098"/>
        <w:gridCol w:w="1909"/>
        <w:gridCol w:w="1569"/>
        <w:gridCol w:w="2584"/>
      </w:tblGrid>
      <w:tr w:rsidR="00FF2CD0" w:rsidRPr="00C203F3" w:rsidTr="00FF2CD0">
        <w:trPr>
          <w:trHeight w:hRule="exact" w:val="2304"/>
        </w:trPr>
        <w:tc>
          <w:tcPr>
            <w:tcW w:w="18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Sulfadoxine and</w:t>
            </w:r>
          </w:p>
          <w:p w:rsidR="00FF2CD0" w:rsidRPr="00C203F3" w:rsidRDefault="00FF2CD0" w:rsidP="00FF2CD0">
            <w:pPr>
              <w:spacing w:before="3" w:after="0" w:line="240" w:lineRule="auto"/>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Pyrimethamine</w:t>
            </w:r>
          </w:p>
          <w:p w:rsidR="00FF2CD0" w:rsidRPr="00C203F3" w:rsidRDefault="00FF2CD0" w:rsidP="00FF2CD0">
            <w:pPr>
              <w:spacing w:before="3" w:after="0" w:line="240" w:lineRule="auto"/>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(Fansidar ®)</w:t>
            </w:r>
          </w:p>
        </w:tc>
        <w:tc>
          <w:tcPr>
            <w:tcW w:w="209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8"/>
                <w:sz w:val="24"/>
                <w:szCs w:val="24"/>
              </w:rPr>
              <w:t>T</w:t>
            </w:r>
            <w:r w:rsidRPr="00C203F3">
              <w:rPr>
                <w:rFonts w:ascii="Arial Narrow" w:eastAsia="Times New Roman" w:hAnsi="Arial Narrow" w:cs="Times New Roman"/>
                <w:color w:val="231F20"/>
                <w:sz w:val="24"/>
                <w:szCs w:val="24"/>
              </w:rPr>
              <w:t>reatment of</w:t>
            </w:r>
          </w:p>
          <w:p w:rsidR="00FF2CD0" w:rsidRPr="00C203F3" w:rsidRDefault="00FF2CD0" w:rsidP="00FF2CD0">
            <w:pPr>
              <w:spacing w:before="3" w:after="0" w:line="242" w:lineRule="auto"/>
              <w:ind w:left="52" w:right="634"/>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Malaria Pyrimethamine is also used</w:t>
            </w:r>
          </w:p>
          <w:p w:rsidR="00FF2CD0" w:rsidRPr="00C203F3" w:rsidRDefault="00FF2CD0" w:rsidP="00FF2CD0">
            <w:pPr>
              <w:spacing w:after="0" w:line="242" w:lineRule="auto"/>
              <w:ind w:left="52" w:right="719"/>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to treat toxoplasmosis</w:t>
            </w:r>
          </w:p>
        </w:tc>
        <w:tc>
          <w:tcPr>
            <w:tcW w:w="19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9"/>
                <w:sz w:val="24"/>
                <w:szCs w:val="24"/>
              </w:rPr>
              <w:t>W</w:t>
            </w:r>
            <w:r w:rsidRPr="00C203F3">
              <w:rPr>
                <w:rFonts w:ascii="Arial Narrow" w:eastAsia="Times New Roman" w:hAnsi="Arial Narrow" w:cs="Times New Roman"/>
                <w:color w:val="231F20"/>
                <w:sz w:val="24"/>
                <w:szCs w:val="24"/>
              </w:rPr>
              <w:t>ith food and</w:t>
            </w:r>
          </w:p>
          <w:p w:rsidR="00FF2CD0" w:rsidRPr="00C203F3" w:rsidRDefault="00FF2CD0" w:rsidP="00FF2CD0">
            <w:pPr>
              <w:spacing w:before="3" w:after="0" w:line="242" w:lineRule="auto"/>
              <w:ind w:left="52" w:right="-6"/>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consume la</w:t>
            </w:r>
            <w:r w:rsidRPr="00C203F3">
              <w:rPr>
                <w:rFonts w:ascii="Arial Narrow" w:eastAsia="Times New Roman" w:hAnsi="Arial Narrow" w:cs="Times New Roman"/>
                <w:color w:val="231F20"/>
                <w:spacing w:val="-4"/>
                <w:sz w:val="24"/>
                <w:szCs w:val="24"/>
              </w:rPr>
              <w:t>r</w:t>
            </w:r>
            <w:r w:rsidRPr="00C203F3">
              <w:rPr>
                <w:rFonts w:ascii="Arial Narrow" w:eastAsia="Times New Roman" w:hAnsi="Arial Narrow" w:cs="Times New Roman"/>
                <w:color w:val="231F20"/>
                <w:sz w:val="24"/>
                <w:szCs w:val="24"/>
              </w:rPr>
              <w:t>ge quantities of water Supplement daily with folinic acid (leucovorin), the active</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form</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of</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folate (5-10 mg/ day)</w:t>
            </w:r>
          </w:p>
        </w:tc>
        <w:tc>
          <w:tcPr>
            <w:tcW w:w="156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rPr>
                <w:rFonts w:ascii="Arial Narrow" w:hAnsi="Arial Narrow"/>
                <w:sz w:val="24"/>
                <w:szCs w:val="24"/>
              </w:rPr>
            </w:pPr>
          </w:p>
        </w:tc>
        <w:tc>
          <w:tcPr>
            <w:tcW w:w="258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Nausea, vomiting, taste</w:t>
            </w:r>
          </w:p>
          <w:p w:rsidR="00FF2CD0" w:rsidRPr="00C203F3" w:rsidRDefault="00FF2CD0" w:rsidP="00FF2CD0">
            <w:pPr>
              <w:spacing w:before="3" w:after="0" w:line="242" w:lineRule="auto"/>
              <w:ind w:left="52" w:right="8"/>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loss and diarrhoea; not recommended if folate deficient;</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not recommended for breastfeeding women</w:t>
            </w:r>
          </w:p>
        </w:tc>
      </w:tr>
      <w:tr w:rsidR="00FF2CD0" w:rsidRPr="00C203F3" w:rsidTr="00FF2CD0">
        <w:trPr>
          <w:trHeight w:hRule="exact" w:val="831"/>
        </w:trPr>
        <w:tc>
          <w:tcPr>
            <w:tcW w:w="18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Fluconazole</w:t>
            </w:r>
          </w:p>
        </w:tc>
        <w:tc>
          <w:tcPr>
            <w:tcW w:w="209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8"/>
                <w:sz w:val="24"/>
                <w:szCs w:val="24"/>
              </w:rPr>
              <w:t>T</w:t>
            </w:r>
            <w:r w:rsidRPr="00C203F3">
              <w:rPr>
                <w:rFonts w:ascii="Arial Narrow" w:eastAsia="Times New Roman" w:hAnsi="Arial Narrow" w:cs="Times New Roman"/>
                <w:color w:val="231F20"/>
                <w:sz w:val="24"/>
                <w:szCs w:val="24"/>
              </w:rPr>
              <w:t>reatment of thrush</w:t>
            </w:r>
          </w:p>
        </w:tc>
        <w:tc>
          <w:tcPr>
            <w:tcW w:w="19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9"/>
                <w:sz w:val="24"/>
                <w:szCs w:val="24"/>
              </w:rPr>
              <w:t>W</w:t>
            </w:r>
            <w:r w:rsidRPr="00C203F3">
              <w:rPr>
                <w:rFonts w:ascii="Arial Narrow" w:eastAsia="Times New Roman" w:hAnsi="Arial Narrow" w:cs="Times New Roman"/>
                <w:color w:val="231F20"/>
                <w:sz w:val="24"/>
                <w:szCs w:val="24"/>
              </w:rPr>
              <w:t>ith food</w:t>
            </w:r>
          </w:p>
        </w:tc>
        <w:tc>
          <w:tcPr>
            <w:tcW w:w="156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rPr>
                <w:rFonts w:ascii="Arial Narrow" w:hAnsi="Arial Narrow"/>
                <w:sz w:val="24"/>
                <w:szCs w:val="24"/>
              </w:rPr>
            </w:pPr>
          </w:p>
        </w:tc>
        <w:tc>
          <w:tcPr>
            <w:tcW w:w="258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Nausea, vomiting,</w:t>
            </w:r>
          </w:p>
          <w:p w:rsidR="00FF2CD0" w:rsidRPr="00C203F3" w:rsidRDefault="00FF2CD0" w:rsidP="00FF2CD0">
            <w:pPr>
              <w:spacing w:before="3" w:after="0" w:line="242" w:lineRule="auto"/>
              <w:ind w:left="52" w:right="491"/>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diarrhoea; can be used during breastfeeding</w:t>
            </w:r>
          </w:p>
        </w:tc>
      </w:tr>
      <w:tr w:rsidR="00FF2CD0" w:rsidRPr="00C203F3" w:rsidTr="00FF2CD0">
        <w:trPr>
          <w:trHeight w:hRule="exact" w:val="643"/>
        </w:trPr>
        <w:tc>
          <w:tcPr>
            <w:tcW w:w="18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Nystatin ®</w:t>
            </w:r>
          </w:p>
        </w:tc>
        <w:tc>
          <w:tcPr>
            <w:tcW w:w="209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8"/>
                <w:sz w:val="24"/>
                <w:szCs w:val="24"/>
              </w:rPr>
              <w:t>T</w:t>
            </w:r>
            <w:r w:rsidRPr="00C203F3">
              <w:rPr>
                <w:rFonts w:ascii="Arial Narrow" w:eastAsia="Times New Roman" w:hAnsi="Arial Narrow" w:cs="Times New Roman"/>
                <w:color w:val="231F20"/>
                <w:sz w:val="24"/>
                <w:szCs w:val="24"/>
              </w:rPr>
              <w:t>reatment of thrush</w:t>
            </w:r>
          </w:p>
        </w:tc>
        <w:tc>
          <w:tcPr>
            <w:tcW w:w="19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9"/>
                <w:sz w:val="24"/>
                <w:szCs w:val="24"/>
              </w:rPr>
              <w:t>W</w:t>
            </w:r>
            <w:r w:rsidRPr="00C203F3">
              <w:rPr>
                <w:rFonts w:ascii="Arial Narrow" w:eastAsia="Times New Roman" w:hAnsi="Arial Narrow" w:cs="Times New Roman"/>
                <w:color w:val="231F20"/>
                <w:sz w:val="24"/>
                <w:szCs w:val="24"/>
              </w:rPr>
              <w:t>ith food</w:t>
            </w:r>
          </w:p>
        </w:tc>
        <w:tc>
          <w:tcPr>
            <w:tcW w:w="156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rPr>
                <w:rFonts w:ascii="Arial Narrow" w:hAnsi="Arial Narrow"/>
                <w:sz w:val="24"/>
                <w:szCs w:val="24"/>
              </w:rPr>
            </w:pPr>
          </w:p>
        </w:tc>
        <w:tc>
          <w:tcPr>
            <w:tcW w:w="258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Infrequent occurrence of</w:t>
            </w:r>
          </w:p>
          <w:p w:rsidR="00FF2CD0" w:rsidRPr="00C203F3" w:rsidRDefault="00FF2CD0" w:rsidP="00FF2CD0">
            <w:pPr>
              <w:spacing w:before="3" w:after="0" w:line="240" w:lineRule="auto"/>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diarrhoea, vomiting, nausea</w:t>
            </w:r>
          </w:p>
        </w:tc>
      </w:tr>
      <w:tr w:rsidR="00FF2CD0" w:rsidRPr="00C203F3" w:rsidTr="00FF2CD0">
        <w:trPr>
          <w:trHeight w:hRule="exact" w:val="454"/>
        </w:trPr>
        <w:tc>
          <w:tcPr>
            <w:tcW w:w="9968" w:type="dxa"/>
            <w:gridSpan w:val="5"/>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before="91" w:after="0" w:line="240" w:lineRule="auto"/>
              <w:ind w:left="52" w:right="-20"/>
              <w:rPr>
                <w:rFonts w:ascii="Arial Narrow" w:eastAsia="Times New Roman" w:hAnsi="Arial Narrow" w:cs="Times New Roman"/>
                <w:sz w:val="24"/>
                <w:szCs w:val="24"/>
              </w:rPr>
            </w:pPr>
            <w:r w:rsidRPr="00C203F3">
              <w:rPr>
                <w:rFonts w:ascii="Arial Narrow" w:eastAsia="Times New Roman" w:hAnsi="Arial Narrow" w:cs="Times New Roman"/>
                <w:b/>
                <w:bCs/>
                <w:color w:val="231F20"/>
                <w:sz w:val="24"/>
                <w:szCs w:val="24"/>
              </w:rPr>
              <w:t>Anti</w:t>
            </w:r>
            <w:r w:rsidRPr="00C203F3">
              <w:rPr>
                <w:rFonts w:ascii="Arial Narrow" w:eastAsia="Times New Roman" w:hAnsi="Arial Narrow" w:cs="Times New Roman"/>
                <w:b/>
                <w:bCs/>
                <w:color w:val="231F20"/>
                <w:spacing w:val="-4"/>
                <w:sz w:val="24"/>
                <w:szCs w:val="24"/>
              </w:rPr>
              <w:t>r</w:t>
            </w:r>
            <w:r w:rsidRPr="00C203F3">
              <w:rPr>
                <w:rFonts w:ascii="Arial Narrow" w:eastAsia="Times New Roman" w:hAnsi="Arial Narrow" w:cs="Times New Roman"/>
                <w:b/>
                <w:bCs/>
                <w:color w:val="231F20"/>
                <w:sz w:val="24"/>
                <w:szCs w:val="24"/>
              </w:rPr>
              <w:t>et</w:t>
            </w:r>
            <w:r w:rsidRPr="00C203F3">
              <w:rPr>
                <w:rFonts w:ascii="Arial Narrow" w:eastAsia="Times New Roman" w:hAnsi="Arial Narrow" w:cs="Times New Roman"/>
                <w:b/>
                <w:bCs/>
                <w:color w:val="231F20"/>
                <w:spacing w:val="-4"/>
                <w:sz w:val="24"/>
                <w:szCs w:val="24"/>
              </w:rPr>
              <w:t>r</w:t>
            </w:r>
            <w:r w:rsidRPr="00C203F3">
              <w:rPr>
                <w:rFonts w:ascii="Arial Narrow" w:eastAsia="Times New Roman" w:hAnsi="Arial Narrow" w:cs="Times New Roman"/>
                <w:b/>
                <w:bCs/>
                <w:color w:val="231F20"/>
                <w:sz w:val="24"/>
                <w:szCs w:val="24"/>
              </w:rPr>
              <w:t>oviral drugs</w:t>
            </w:r>
          </w:p>
        </w:tc>
      </w:tr>
      <w:tr w:rsidR="00FF2CD0" w:rsidRPr="00C203F3" w:rsidTr="00FF2CD0">
        <w:trPr>
          <w:trHeight w:hRule="exact" w:val="1852"/>
        </w:trPr>
        <w:tc>
          <w:tcPr>
            <w:tcW w:w="18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Abacavir (ABC)</w:t>
            </w:r>
          </w:p>
          <w:p w:rsidR="00FF2CD0" w:rsidRPr="00C203F3" w:rsidRDefault="00FF2CD0" w:rsidP="00FF2CD0">
            <w:pPr>
              <w:spacing w:before="3" w:after="0" w:line="200" w:lineRule="exact"/>
              <w:rPr>
                <w:rFonts w:ascii="Arial Narrow" w:hAnsi="Arial Narrow"/>
                <w:sz w:val="24"/>
                <w:szCs w:val="24"/>
              </w:rPr>
            </w:pPr>
          </w:p>
          <w:p w:rsidR="00FF2CD0" w:rsidRPr="00C203F3" w:rsidRDefault="00FF2CD0" w:rsidP="00FF2CD0">
            <w:pPr>
              <w:spacing w:after="0" w:line="240" w:lineRule="auto"/>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NN</w:t>
            </w:r>
            <w:r w:rsidRPr="00C203F3">
              <w:rPr>
                <w:rFonts w:ascii="Arial Narrow" w:eastAsia="Times New Roman" w:hAnsi="Arial Narrow" w:cs="Times New Roman"/>
                <w:color w:val="231F20"/>
                <w:spacing w:val="-13"/>
                <w:sz w:val="24"/>
                <w:szCs w:val="24"/>
              </w:rPr>
              <w:t>R</w:t>
            </w:r>
            <w:r w:rsidRPr="00C203F3">
              <w:rPr>
                <w:rFonts w:ascii="Arial Narrow" w:eastAsia="Times New Roman" w:hAnsi="Arial Narrow" w:cs="Times New Roman"/>
                <w:color w:val="231F20"/>
                <w:sz w:val="24"/>
                <w:szCs w:val="24"/>
              </w:rPr>
              <w:t>TI</w:t>
            </w:r>
          </w:p>
        </w:tc>
        <w:tc>
          <w:tcPr>
            <w:tcW w:w="209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Antiretroviral</w:t>
            </w:r>
          </w:p>
        </w:tc>
        <w:tc>
          <w:tcPr>
            <w:tcW w:w="19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Can be taken</w:t>
            </w:r>
          </w:p>
          <w:p w:rsidR="00FF2CD0" w:rsidRPr="00C203F3" w:rsidRDefault="00FF2CD0" w:rsidP="00FF2CD0">
            <w:pPr>
              <w:spacing w:before="3" w:after="0" w:line="242" w:lineRule="auto"/>
              <w:ind w:left="52" w:right="274"/>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without regard to food</w:t>
            </w:r>
          </w:p>
        </w:tc>
        <w:tc>
          <w:tcPr>
            <w:tcW w:w="156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rPr>
                <w:rFonts w:ascii="Arial Narrow" w:hAnsi="Arial Narrow"/>
                <w:sz w:val="24"/>
                <w:szCs w:val="24"/>
              </w:rPr>
            </w:pPr>
          </w:p>
        </w:tc>
        <w:tc>
          <w:tcPr>
            <w:tcW w:w="258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Nausea, vomiting, feve</w:t>
            </w:r>
            <w:r w:rsidRPr="00C203F3">
              <w:rPr>
                <w:rFonts w:ascii="Arial Narrow" w:eastAsia="Times New Roman" w:hAnsi="Arial Narrow" w:cs="Times New Roman"/>
                <w:color w:val="231F20"/>
                <w:spacing w:val="-9"/>
                <w:sz w:val="24"/>
                <w:szCs w:val="24"/>
              </w:rPr>
              <w:t>r</w:t>
            </w:r>
            <w:r w:rsidRPr="00C203F3">
              <w:rPr>
                <w:rFonts w:ascii="Arial Narrow" w:eastAsia="Times New Roman" w:hAnsi="Arial Narrow" w:cs="Times New Roman"/>
                <w:color w:val="231F20"/>
                <w:sz w:val="24"/>
                <w:szCs w:val="24"/>
              </w:rPr>
              <w:t>,</w:t>
            </w:r>
          </w:p>
          <w:p w:rsidR="00FF2CD0" w:rsidRPr="00C203F3" w:rsidRDefault="00FF2CD0" w:rsidP="00FF2CD0">
            <w:pPr>
              <w:spacing w:before="3" w:after="0" w:line="242" w:lineRule="auto"/>
              <w:ind w:left="52" w:right="14"/>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alle</w:t>
            </w:r>
            <w:r w:rsidRPr="00C203F3">
              <w:rPr>
                <w:rFonts w:ascii="Arial Narrow" w:eastAsia="Times New Roman" w:hAnsi="Arial Narrow" w:cs="Times New Roman"/>
                <w:color w:val="231F20"/>
                <w:spacing w:val="-4"/>
                <w:sz w:val="24"/>
                <w:szCs w:val="24"/>
              </w:rPr>
              <w:t>r</w:t>
            </w:r>
            <w:r w:rsidRPr="00C203F3">
              <w:rPr>
                <w:rFonts w:ascii="Arial Narrow" w:eastAsia="Times New Roman" w:hAnsi="Arial Narrow" w:cs="Times New Roman"/>
                <w:color w:val="231F20"/>
                <w:sz w:val="24"/>
                <w:szCs w:val="24"/>
              </w:rPr>
              <w:t>gic reaction, anorexia, abdominal pain, diarrhoea, anaemia, rash, hypotension, pancreatitis, dyspnea, weakness and insomnia, cough, headache</w:t>
            </w:r>
          </w:p>
        </w:tc>
      </w:tr>
    </w:tbl>
    <w:p w:rsidR="00FF2CD0" w:rsidRPr="00C203F3" w:rsidRDefault="00FF2CD0" w:rsidP="00FF2CD0">
      <w:pPr>
        <w:spacing w:after="0"/>
        <w:rPr>
          <w:rFonts w:ascii="Arial Narrow" w:hAnsi="Arial Narrow"/>
          <w:sz w:val="24"/>
          <w:szCs w:val="24"/>
        </w:rPr>
        <w:sectPr w:rsidR="00FF2CD0" w:rsidRPr="00C203F3">
          <w:headerReference w:type="default" r:id="rId28"/>
          <w:pgSz w:w="12760" w:h="9240" w:orient="landscape"/>
          <w:pgMar w:top="820" w:right="1220" w:bottom="280" w:left="1340" w:header="0" w:footer="0" w:gutter="0"/>
          <w:cols w:space="720"/>
        </w:sectPr>
      </w:pPr>
    </w:p>
    <w:p w:rsidR="00FF2CD0" w:rsidRPr="00C203F3" w:rsidRDefault="00AA771C" w:rsidP="00FF2CD0">
      <w:pPr>
        <w:spacing w:before="3" w:after="0" w:line="190" w:lineRule="exact"/>
        <w:rPr>
          <w:rFonts w:ascii="Arial Narrow" w:hAnsi="Arial Narrow"/>
          <w:sz w:val="24"/>
          <w:szCs w:val="24"/>
        </w:rPr>
      </w:pPr>
      <w:r>
        <w:rPr>
          <w:rFonts w:ascii="Arial Narrow" w:hAnsi="Arial Narrow"/>
          <w:noProof/>
          <w:sz w:val="24"/>
          <w:szCs w:val="24"/>
        </w:rPr>
        <mc:AlternateContent>
          <mc:Choice Requires="wpg">
            <w:drawing>
              <wp:anchor distT="0" distB="0" distL="114300" distR="114300" simplePos="0" relativeHeight="251771904" behindDoc="1" locked="0" layoutInCell="1" allowOverlap="1">
                <wp:simplePos x="0" y="0"/>
                <wp:positionH relativeFrom="page">
                  <wp:posOffset>7827010</wp:posOffset>
                </wp:positionH>
                <wp:positionV relativeFrom="page">
                  <wp:posOffset>5671185</wp:posOffset>
                </wp:positionV>
                <wp:extent cx="1270" cy="190500"/>
                <wp:effectExtent l="0" t="0" r="17780" b="19050"/>
                <wp:wrapNone/>
                <wp:docPr id="663"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12326" y="8931"/>
                          <a:chExt cx="2" cy="300"/>
                        </a:xfrm>
                      </wpg:grpSpPr>
                      <wps:wsp>
                        <wps:cNvPr id="664" name="Freeform 327"/>
                        <wps:cNvSpPr>
                          <a:spLocks/>
                        </wps:cNvSpPr>
                        <wps:spPr bwMode="auto">
                          <a:xfrm>
                            <a:off x="12326" y="8931"/>
                            <a:ext cx="2" cy="300"/>
                          </a:xfrm>
                          <a:custGeom>
                            <a:avLst/>
                            <a:gdLst>
                              <a:gd name="T0" fmla="+- 0 8931 8931"/>
                              <a:gd name="T1" fmla="*/ 8931 h 300"/>
                              <a:gd name="T2" fmla="+- 0 9231 8931"/>
                              <a:gd name="T3" fmla="*/ 9231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 o:spid="_x0000_s1026" style="position:absolute;margin-left:616.3pt;margin-top:446.55pt;width:.1pt;height:15pt;z-index:-251544576;mso-position-horizontal-relative:page;mso-position-vertical-relative:page" coordorigin="12326,8931"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">
                <v:shape id="Freeform 327" o:spid="_x0000_s1027" style="position:absolute;left:12326;top:8931;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XMcMA&#10;AADcAAAADwAAAGRycy9kb3ducmV2LnhtbESPQYvCMBSE78L+h/AEL6Kpy1JKNYosCnvwUhW8Pppn&#10;U2xeShPb+u/NwsIeh5n5htnsRtuInjpfO1awWiYgiEuna64UXC/HRQbCB2SNjWNS8CIPu+3HZIO5&#10;dgMX1J9DJSKEfY4KTAhtLqUvDVn0S9cSR+/uOoshyq6SusMhwm0jP5MklRZrjgsGW/o2VD7OT6ug&#10;kONpfjGtPfRhuBVllpzuz4dSs+m4X4MINIb/8F/7RytI0y/4PROPgN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dXMcMAAADcAAAADwAAAAAAAAAAAAAAAACYAgAAZHJzL2Rv&#10;d25yZXYueG1sUEsFBgAAAAAEAAQA9QAAAIgDAAAAAA==&#10;" path="m,l,300e" filled="f" strokeweight=".25pt">
                  <v:path arrowok="t" o:connecttype="custom" o:connectlocs="0,8931;0,9231" o:connectangles="0,0"/>
                </v:shape>
                <w10:wrap anchorx="page" anchory="page"/>
              </v:group>
            </w:pict>
          </mc:Fallback>
        </mc:AlternateContent>
      </w:r>
      <w:r>
        <w:rPr>
          <w:rFonts w:ascii="Arial Narrow" w:hAnsi="Arial Narrow"/>
          <w:noProof/>
          <w:sz w:val="24"/>
          <w:szCs w:val="24"/>
        </w:rPr>
        <mc:AlternateContent>
          <mc:Choice Requires="wpg">
            <w:drawing>
              <wp:anchor distT="0" distB="0" distL="114300" distR="114300" simplePos="0" relativeHeight="251772928" behindDoc="1" locked="0" layoutInCell="1" allowOverlap="1">
                <wp:simplePos x="0" y="0"/>
                <wp:positionH relativeFrom="page">
                  <wp:posOffset>7903210</wp:posOffset>
                </wp:positionH>
                <wp:positionV relativeFrom="page">
                  <wp:posOffset>5594985</wp:posOffset>
                </wp:positionV>
                <wp:extent cx="190500" cy="1270"/>
                <wp:effectExtent l="0" t="0" r="19050" b="17780"/>
                <wp:wrapNone/>
                <wp:docPr id="661"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2446" y="8811"/>
                          <a:chExt cx="300" cy="2"/>
                        </a:xfrm>
                      </wpg:grpSpPr>
                      <wps:wsp>
                        <wps:cNvPr id="662" name="Freeform 325"/>
                        <wps:cNvSpPr>
                          <a:spLocks/>
                        </wps:cNvSpPr>
                        <wps:spPr bwMode="auto">
                          <a:xfrm>
                            <a:off x="12446" y="8811"/>
                            <a:ext cx="300" cy="2"/>
                          </a:xfrm>
                          <a:custGeom>
                            <a:avLst/>
                            <a:gdLst>
                              <a:gd name="T0" fmla="+- 0 12446 12446"/>
                              <a:gd name="T1" fmla="*/ T0 w 300"/>
                              <a:gd name="T2" fmla="+- 0 12746 12446"/>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026" style="position:absolute;margin-left:622.3pt;margin-top:440.55pt;width:15pt;height:.1pt;z-index:-251543552;mso-position-horizontal-relative:page;mso-position-vertical-relative:page" coordorigin="12446,8811"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">
                <v:shape id="Freeform 325" o:spid="_x0000_s1027" style="position:absolute;left:12446;top:8811;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hBMQA&#10;AADcAAAADwAAAGRycy9kb3ducmV2LnhtbESPT2vCQBTE74V+h+UVeqsbo6QaXaUtFGMPgv/uj+wz&#10;CWbfht2txm/vCoUeh5n5DTNf9qYVF3K+saxgOEhAEJdWN1wpOOy/3yYgfEDW2FomBTfysFw8P80x&#10;1/bKW7rsQiUihH2OCuoQulxKX9Zk0A9sRxy9k3UGQ5SuktrhNcJNK9MkyaTBhuNCjR191VSed79G&#10;wWbDzuFplA5XZjr6ef8cH4t1odTrS/8xAxGoD//hv3ahFWRZCo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6IQTEAAAA3AAAAA8AAAAAAAAAAAAAAAAAmAIAAGRycy9k&#10;b3ducmV2LnhtbFBLBQYAAAAABAAEAPUAAACJAwAAAAA=&#10;" path="m,l300,e" filled="f" strokeweight=".25pt">
                  <v:path arrowok="t" o:connecttype="custom" o:connectlocs="0,0;300,0" o:connectangles="0,0"/>
                </v:shape>
                <w10:wrap anchorx="page" anchory="page"/>
              </v:group>
            </w:pict>
          </mc:Fallback>
        </mc:AlternateContent>
      </w:r>
      <w:r>
        <w:rPr>
          <w:rFonts w:ascii="Arial Narrow" w:hAnsi="Arial Narrow"/>
          <w:noProof/>
          <w:sz w:val="24"/>
          <w:szCs w:val="24"/>
        </w:rPr>
        <mc:AlternateContent>
          <mc:Choice Requires="wps">
            <w:drawing>
              <wp:anchor distT="0" distB="0" distL="114300" distR="114300" simplePos="0" relativeHeight="251773952" behindDoc="1" locked="0" layoutInCell="1" allowOverlap="1">
                <wp:simplePos x="0" y="0"/>
                <wp:positionH relativeFrom="page">
                  <wp:posOffset>411480</wp:posOffset>
                </wp:positionH>
                <wp:positionV relativeFrom="page">
                  <wp:posOffset>4750435</wp:posOffset>
                </wp:positionV>
                <wp:extent cx="165100" cy="234950"/>
                <wp:effectExtent l="0" t="0" r="6350" b="12700"/>
                <wp:wrapNone/>
                <wp:docPr id="66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sidP="00FF2CD0">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color w:val="FFFFFF"/>
                              </w:rPr>
                              <w:t>299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481" type="#_x0000_t202" style="position:absolute;margin-left:32.4pt;margin-top:374.05pt;width:13pt;height:18.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" filled="f" stroked="f">
                <v:textbox style="layout-flow:vertical" inset="0,0,0,0">
                  <w:txbxContent>
                    <w:p w:rsidR="00B247C9" w:rsidRDefault="00B247C9" w:rsidP="00FF2CD0">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color w:val="FFFFFF"/>
                        </w:rPr>
                        <w:t>299</w:t>
                      </w:r>
                    </w:p>
                  </w:txbxContent>
                </v:textbox>
                <w10:wrap anchorx="page" anchory="page"/>
              </v:shape>
            </w:pict>
          </mc:Fallback>
        </mc:AlternateContent>
      </w:r>
    </w:p>
    <w:p w:rsidR="00FF2CD0" w:rsidRPr="00C203F3" w:rsidRDefault="00FF2CD0" w:rsidP="00FF2CD0">
      <w:pPr>
        <w:spacing w:after="0" w:line="200" w:lineRule="exact"/>
        <w:rPr>
          <w:rFonts w:ascii="Arial Narrow" w:hAnsi="Arial Narrow"/>
          <w:sz w:val="24"/>
          <w:szCs w:val="24"/>
        </w:rPr>
      </w:pPr>
    </w:p>
    <w:p w:rsidR="00FF2CD0" w:rsidRPr="00C203F3" w:rsidRDefault="00FF2CD0" w:rsidP="00FF2CD0">
      <w:pPr>
        <w:spacing w:after="0" w:line="200" w:lineRule="exact"/>
        <w:rPr>
          <w:rFonts w:ascii="Arial Narrow" w:hAnsi="Arial Narrow"/>
          <w:sz w:val="24"/>
          <w:szCs w:val="24"/>
        </w:rPr>
      </w:pPr>
    </w:p>
    <w:tbl>
      <w:tblPr>
        <w:tblW w:w="0" w:type="auto"/>
        <w:tblInd w:w="1435" w:type="dxa"/>
        <w:tblLayout w:type="fixed"/>
        <w:tblCellMar>
          <w:left w:w="0" w:type="dxa"/>
          <w:right w:w="0" w:type="dxa"/>
        </w:tblCellMar>
        <w:tblLook w:val="01E0" w:firstRow="1" w:lastRow="1" w:firstColumn="1" w:lastColumn="1" w:noHBand="0" w:noVBand="0"/>
      </w:tblPr>
      <w:tblGrid>
        <w:gridCol w:w="1809"/>
        <w:gridCol w:w="2098"/>
        <w:gridCol w:w="1909"/>
        <w:gridCol w:w="1569"/>
        <w:gridCol w:w="2584"/>
      </w:tblGrid>
      <w:tr w:rsidR="00FF2CD0" w:rsidRPr="00C203F3" w:rsidTr="00FF2CD0">
        <w:trPr>
          <w:trHeight w:hRule="exact" w:val="2020"/>
        </w:trPr>
        <w:tc>
          <w:tcPr>
            <w:tcW w:w="18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Lamivudine (3TC)</w:t>
            </w:r>
          </w:p>
          <w:p w:rsidR="00FF2CD0" w:rsidRPr="00C203F3" w:rsidRDefault="00FF2CD0" w:rsidP="00FF2CD0">
            <w:pPr>
              <w:spacing w:before="3" w:after="0" w:line="240" w:lineRule="auto"/>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NN</w:t>
            </w:r>
            <w:r w:rsidRPr="00C203F3">
              <w:rPr>
                <w:rFonts w:ascii="Arial Narrow" w:eastAsia="Times New Roman" w:hAnsi="Arial Narrow" w:cs="Times New Roman"/>
                <w:color w:val="231F20"/>
                <w:spacing w:val="-13"/>
                <w:sz w:val="24"/>
                <w:szCs w:val="24"/>
              </w:rPr>
              <w:t>R</w:t>
            </w:r>
            <w:r w:rsidRPr="00C203F3">
              <w:rPr>
                <w:rFonts w:ascii="Arial Narrow" w:eastAsia="Times New Roman" w:hAnsi="Arial Narrow" w:cs="Times New Roman"/>
                <w:color w:val="231F20"/>
                <w:sz w:val="24"/>
                <w:szCs w:val="24"/>
              </w:rPr>
              <w:t>TI</w:t>
            </w:r>
          </w:p>
        </w:tc>
        <w:tc>
          <w:tcPr>
            <w:tcW w:w="209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Antiretroviral</w:t>
            </w:r>
          </w:p>
        </w:tc>
        <w:tc>
          <w:tcPr>
            <w:tcW w:w="19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Can be taken</w:t>
            </w:r>
          </w:p>
          <w:p w:rsidR="00FF2CD0" w:rsidRPr="00C203F3" w:rsidRDefault="00FF2CD0" w:rsidP="00FF2CD0">
            <w:pPr>
              <w:spacing w:before="3" w:after="0" w:line="242" w:lineRule="auto"/>
              <w:ind w:left="52" w:right="274"/>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without regard to food</w:t>
            </w:r>
          </w:p>
        </w:tc>
        <w:tc>
          <w:tcPr>
            <w:tcW w:w="156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Alcohol</w:t>
            </w:r>
          </w:p>
        </w:tc>
        <w:tc>
          <w:tcPr>
            <w:tcW w:w="258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Nausea, vomiting,</w:t>
            </w:r>
          </w:p>
          <w:p w:rsidR="00FF2CD0" w:rsidRPr="00C203F3" w:rsidRDefault="00FF2CD0" w:rsidP="00FF2CD0">
            <w:pPr>
              <w:spacing w:before="3" w:after="0" w:line="242" w:lineRule="auto"/>
              <w:ind w:left="52" w:right="81"/>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headache, dizziness, diarrhoea, abdominal pain, nasal symptoms, cough, fatigue, pancreatitis, anaemia, insomnia, muscle pain, and rash</w:t>
            </w:r>
          </w:p>
        </w:tc>
      </w:tr>
      <w:tr w:rsidR="00FF2CD0" w:rsidRPr="00C203F3" w:rsidTr="00FF2CD0">
        <w:trPr>
          <w:trHeight w:hRule="exact" w:val="2155"/>
        </w:trPr>
        <w:tc>
          <w:tcPr>
            <w:tcW w:w="18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Stavudine (d4T)</w:t>
            </w:r>
          </w:p>
          <w:p w:rsidR="00FF2CD0" w:rsidRPr="00C203F3" w:rsidRDefault="00FF2CD0" w:rsidP="00FF2CD0">
            <w:pPr>
              <w:spacing w:before="3" w:after="0" w:line="240" w:lineRule="auto"/>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NN</w:t>
            </w:r>
            <w:r w:rsidRPr="00C203F3">
              <w:rPr>
                <w:rFonts w:ascii="Arial Narrow" w:eastAsia="Times New Roman" w:hAnsi="Arial Narrow" w:cs="Times New Roman"/>
                <w:color w:val="231F20"/>
                <w:spacing w:val="-13"/>
                <w:sz w:val="24"/>
                <w:szCs w:val="24"/>
              </w:rPr>
              <w:t>R</w:t>
            </w:r>
            <w:r w:rsidRPr="00C203F3">
              <w:rPr>
                <w:rFonts w:ascii="Arial Narrow" w:eastAsia="Times New Roman" w:hAnsi="Arial Narrow" w:cs="Times New Roman"/>
                <w:color w:val="231F20"/>
                <w:sz w:val="24"/>
                <w:szCs w:val="24"/>
              </w:rPr>
              <w:t>TI</w:t>
            </w:r>
          </w:p>
        </w:tc>
        <w:tc>
          <w:tcPr>
            <w:tcW w:w="209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Antiretroviral</w:t>
            </w:r>
          </w:p>
        </w:tc>
        <w:tc>
          <w:tcPr>
            <w:tcW w:w="19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Can be taken</w:t>
            </w:r>
          </w:p>
          <w:p w:rsidR="00FF2CD0" w:rsidRPr="00C203F3" w:rsidRDefault="00FF2CD0" w:rsidP="00FF2CD0">
            <w:pPr>
              <w:spacing w:before="3" w:after="0" w:line="242" w:lineRule="auto"/>
              <w:ind w:left="52" w:right="274"/>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without regard to food</w:t>
            </w:r>
          </w:p>
        </w:tc>
        <w:tc>
          <w:tcPr>
            <w:tcW w:w="156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Limit</w:t>
            </w:r>
          </w:p>
          <w:p w:rsidR="00FF2CD0" w:rsidRPr="00C203F3" w:rsidRDefault="00FF2CD0" w:rsidP="00FF2CD0">
            <w:pPr>
              <w:spacing w:before="3" w:after="0" w:line="200" w:lineRule="exact"/>
              <w:rPr>
                <w:rFonts w:ascii="Arial Narrow" w:hAnsi="Arial Narrow"/>
                <w:sz w:val="24"/>
                <w:szCs w:val="24"/>
              </w:rPr>
            </w:pPr>
          </w:p>
          <w:p w:rsidR="00FF2CD0" w:rsidRPr="00C203F3" w:rsidRDefault="00FF2CD0" w:rsidP="00FF2CD0">
            <w:pPr>
              <w:spacing w:after="0" w:line="240" w:lineRule="auto"/>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alcohol</w:t>
            </w:r>
          </w:p>
        </w:tc>
        <w:tc>
          <w:tcPr>
            <w:tcW w:w="258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Nausea, vomiting,</w:t>
            </w:r>
          </w:p>
          <w:p w:rsidR="00FF2CD0" w:rsidRPr="00C203F3" w:rsidRDefault="00FF2CD0" w:rsidP="00FF2CD0">
            <w:pPr>
              <w:spacing w:before="3" w:after="0" w:line="240" w:lineRule="auto"/>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diarrhoea,</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peripheral neuropath</w:t>
            </w:r>
            <w:r w:rsidRPr="00C203F3">
              <w:rPr>
                <w:rFonts w:ascii="Arial Narrow" w:eastAsia="Times New Roman" w:hAnsi="Arial Narrow" w:cs="Times New Roman"/>
                <w:color w:val="231F20"/>
                <w:spacing w:val="-15"/>
                <w:sz w:val="24"/>
                <w:szCs w:val="24"/>
              </w:rPr>
              <w:t>y</w:t>
            </w:r>
            <w:r w:rsidRPr="00C203F3">
              <w:rPr>
                <w:rFonts w:ascii="Arial Narrow" w:eastAsia="Times New Roman" w:hAnsi="Arial Narrow" w:cs="Times New Roman"/>
                <w:color w:val="231F20"/>
                <w:sz w:val="24"/>
                <w:szCs w:val="24"/>
              </w:rPr>
              <w:t>, chills and feve</w:t>
            </w:r>
            <w:r w:rsidRPr="00C203F3">
              <w:rPr>
                <w:rFonts w:ascii="Arial Narrow" w:eastAsia="Times New Roman" w:hAnsi="Arial Narrow" w:cs="Times New Roman"/>
                <w:color w:val="231F20"/>
                <w:spacing w:val="-9"/>
                <w:sz w:val="24"/>
                <w:szCs w:val="24"/>
              </w:rPr>
              <w:t>r</w:t>
            </w:r>
            <w:r w:rsidRPr="00C203F3">
              <w:rPr>
                <w:rFonts w:ascii="Arial Narrow" w:eastAsia="Times New Roman" w:hAnsi="Arial Narrow" w:cs="Times New Roman"/>
                <w:color w:val="231F20"/>
                <w:sz w:val="24"/>
                <w:szCs w:val="24"/>
              </w:rPr>
              <w:t>, anorexia, stomatitis, diarrhoea, anaemia, headaches,</w:t>
            </w:r>
            <w:r>
              <w:rPr>
                <w:rFonts w:ascii="Arial Narrow" w:eastAsia="Times New Roman" w:hAnsi="Arial Narrow" w:cs="Times New Roman"/>
                <w:color w:val="231F20"/>
                <w:sz w:val="24"/>
                <w:szCs w:val="24"/>
              </w:rPr>
              <w:t xml:space="preserve"> </w:t>
            </w:r>
            <w:r w:rsidRPr="00C203F3">
              <w:rPr>
                <w:rFonts w:ascii="Arial Narrow" w:eastAsia="Times New Roman" w:hAnsi="Arial Narrow" w:cs="Times New Roman"/>
                <w:color w:val="231F20"/>
                <w:sz w:val="24"/>
                <w:szCs w:val="24"/>
              </w:rPr>
              <w:t>rash, bone marro</w:t>
            </w:r>
            <w:r w:rsidRPr="00C203F3">
              <w:rPr>
                <w:rFonts w:ascii="Arial Narrow" w:eastAsia="Times New Roman" w:hAnsi="Arial Narrow" w:cs="Times New Roman"/>
                <w:color w:val="231F20"/>
                <w:spacing w:val="-14"/>
                <w:sz w:val="24"/>
                <w:szCs w:val="24"/>
              </w:rPr>
              <w:t>w</w:t>
            </w:r>
            <w:r w:rsidRPr="00C203F3">
              <w:rPr>
                <w:rFonts w:ascii="Arial Narrow" w:eastAsia="Times New Roman" w:hAnsi="Arial Narrow" w:cs="Times New Roman"/>
                <w:color w:val="231F20"/>
                <w:sz w:val="24"/>
                <w:szCs w:val="24"/>
              </w:rPr>
              <w:t>, and pancreatitis</w:t>
            </w:r>
          </w:p>
        </w:tc>
      </w:tr>
      <w:tr w:rsidR="00FF2CD0" w:rsidRPr="00C203F3" w:rsidTr="00FF2CD0">
        <w:trPr>
          <w:trHeight w:hRule="exact" w:val="1987"/>
        </w:trPr>
        <w:tc>
          <w:tcPr>
            <w:tcW w:w="18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Zidovudine (AZT)</w:t>
            </w:r>
          </w:p>
          <w:p w:rsidR="00FF2CD0" w:rsidRPr="00C203F3" w:rsidRDefault="00FF2CD0" w:rsidP="00FF2CD0">
            <w:pPr>
              <w:spacing w:before="3" w:after="0" w:line="240" w:lineRule="auto"/>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NN</w:t>
            </w:r>
            <w:r w:rsidRPr="00C203F3">
              <w:rPr>
                <w:rFonts w:ascii="Arial Narrow" w:eastAsia="Times New Roman" w:hAnsi="Arial Narrow" w:cs="Times New Roman"/>
                <w:color w:val="231F20"/>
                <w:spacing w:val="-13"/>
                <w:sz w:val="24"/>
                <w:szCs w:val="24"/>
              </w:rPr>
              <w:t>R</w:t>
            </w:r>
            <w:r w:rsidRPr="00C203F3">
              <w:rPr>
                <w:rFonts w:ascii="Arial Narrow" w:eastAsia="Times New Roman" w:hAnsi="Arial Narrow" w:cs="Times New Roman"/>
                <w:color w:val="231F20"/>
                <w:sz w:val="24"/>
                <w:szCs w:val="24"/>
              </w:rPr>
              <w:t>TI</w:t>
            </w:r>
          </w:p>
        </w:tc>
        <w:tc>
          <w:tcPr>
            <w:tcW w:w="209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Antiretroviral</w:t>
            </w:r>
          </w:p>
        </w:tc>
        <w:tc>
          <w:tcPr>
            <w:tcW w:w="19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199"/>
              <w:jc w:val="both"/>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Can be taken with</w:t>
            </w:r>
          </w:p>
          <w:p w:rsidR="00FF2CD0" w:rsidRPr="00C203F3" w:rsidRDefault="00FF2CD0" w:rsidP="00FF2CD0">
            <w:pPr>
              <w:spacing w:before="3" w:after="0" w:line="242" w:lineRule="auto"/>
              <w:ind w:left="52" w:right="378"/>
              <w:jc w:val="both"/>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food, but do not take with a high fat meal</w:t>
            </w:r>
          </w:p>
        </w:tc>
        <w:tc>
          <w:tcPr>
            <w:tcW w:w="156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Alcohol</w:t>
            </w:r>
          </w:p>
        </w:tc>
        <w:tc>
          <w:tcPr>
            <w:tcW w:w="258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Anorexia, anaemia, nausea,</w:t>
            </w:r>
          </w:p>
          <w:p w:rsidR="00FF2CD0" w:rsidRPr="00C203F3" w:rsidRDefault="00FF2CD0" w:rsidP="00FF2CD0">
            <w:pPr>
              <w:spacing w:before="3" w:after="0" w:line="242" w:lineRule="auto"/>
              <w:ind w:left="52" w:right="265"/>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vomiting, bone marrow suppression, headache, fatigue, constipation, fever dizziness, dyspnea,</w:t>
            </w:r>
          </w:p>
          <w:p w:rsidR="00FF2CD0" w:rsidRPr="00C203F3" w:rsidRDefault="00FF2CD0" w:rsidP="00FF2CD0">
            <w:pPr>
              <w:spacing w:after="0" w:line="240" w:lineRule="auto"/>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insomnia, muscle pain, rash</w:t>
            </w:r>
          </w:p>
        </w:tc>
      </w:tr>
    </w:tbl>
    <w:p w:rsidR="00FF2CD0" w:rsidRPr="00C203F3" w:rsidRDefault="00FF2CD0" w:rsidP="00FF2CD0">
      <w:pPr>
        <w:spacing w:after="0"/>
        <w:rPr>
          <w:rFonts w:ascii="Arial Narrow" w:hAnsi="Arial Narrow"/>
          <w:sz w:val="24"/>
          <w:szCs w:val="24"/>
        </w:rPr>
        <w:sectPr w:rsidR="00FF2CD0" w:rsidRPr="00C203F3">
          <w:pgSz w:w="12760" w:h="9240" w:orient="landscape"/>
          <w:pgMar w:top="420" w:right="0" w:bottom="280" w:left="0" w:header="0" w:footer="0" w:gutter="0"/>
          <w:cols w:space="720"/>
        </w:sectPr>
      </w:pPr>
    </w:p>
    <w:p w:rsidR="00FF2CD0" w:rsidRPr="00C203F3" w:rsidRDefault="00AA771C" w:rsidP="00FF2CD0">
      <w:pPr>
        <w:spacing w:after="0" w:line="200" w:lineRule="exact"/>
        <w:rPr>
          <w:rFonts w:ascii="Arial Narrow" w:hAnsi="Arial Narrow"/>
          <w:sz w:val="24"/>
          <w:szCs w:val="24"/>
        </w:rPr>
      </w:pPr>
      <w:r>
        <w:rPr>
          <w:rFonts w:ascii="Arial Narrow" w:hAnsi="Arial Narrow"/>
          <w:noProof/>
          <w:sz w:val="24"/>
          <w:szCs w:val="24"/>
        </w:rPr>
        <mc:AlternateContent>
          <mc:Choice Requires="wpg">
            <w:drawing>
              <wp:anchor distT="0" distB="0" distL="114300" distR="114300" simplePos="0" relativeHeight="251774976" behindDoc="1" locked="0" layoutInCell="1" allowOverlap="1">
                <wp:simplePos x="0" y="0"/>
                <wp:positionH relativeFrom="page">
                  <wp:posOffset>7827010</wp:posOffset>
                </wp:positionH>
                <wp:positionV relativeFrom="page">
                  <wp:posOffset>0</wp:posOffset>
                </wp:positionV>
                <wp:extent cx="1270" cy="190500"/>
                <wp:effectExtent l="0" t="0" r="17780" b="19050"/>
                <wp:wrapNone/>
                <wp:docPr id="641"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12326" y="0"/>
                          <a:chExt cx="2" cy="300"/>
                        </a:xfrm>
                      </wpg:grpSpPr>
                      <wps:wsp>
                        <wps:cNvPr id="642" name="Freeform 305"/>
                        <wps:cNvSpPr>
                          <a:spLocks/>
                        </wps:cNvSpPr>
                        <wps:spPr bwMode="auto">
                          <a:xfrm>
                            <a:off x="12326"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26" style="position:absolute;margin-left:616.3pt;margin-top:0;width:.1pt;height:15pt;z-index:-251541504;mso-position-horizontal-relative:page;mso-position-vertical-relative:page" coordorigin="12326"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">
                <v:shape id="Freeform 305" o:spid="_x0000_s1027" style="position:absolute;left:12326;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2vsIA&#10;AADcAAAADwAAAGRycy9kb3ducmV2LnhtbESPQYvCMBSE78L+h/AWvIimioh0jbKIggcvVcHro3k2&#10;xealNLGt/94IgsdhZr5hVpveVqKlxpeOFUwnCQji3OmSCwWX8368BOEDssbKMSl4kofN+mewwlS7&#10;jjNqT6EQEcI+RQUmhDqV0ueGLPqJq4mjd3ONxRBlU0jdYBfhtpKzJFlIiyXHBYM1bQ3l99PDKshk&#10;fxydTW13beiuWb5MjrfHXanhb///ByJQH77hT/ugFSzmM3if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za+wgAAANwAAAAPAAAAAAAAAAAAAAAAAJgCAABkcnMvZG93&#10;bnJldi54bWxQSwUGAAAAAAQABAD1AAAAhwMAAAAA&#10;" path="m,300l,e" filled="f" strokeweight=".25pt">
                  <v:path arrowok="t" o:connecttype="custom" o:connectlocs="0,300;0,0" o:connectangles="0,0"/>
                </v:shape>
                <w10:wrap anchorx="page" anchory="page"/>
              </v:group>
            </w:pict>
          </mc:Fallback>
        </mc:AlternateContent>
      </w:r>
      <w:r>
        <w:rPr>
          <w:rFonts w:ascii="Arial Narrow" w:hAnsi="Arial Narrow"/>
          <w:noProof/>
          <w:sz w:val="24"/>
          <w:szCs w:val="24"/>
        </w:rPr>
        <mc:AlternateContent>
          <mc:Choice Requires="wpg">
            <w:drawing>
              <wp:anchor distT="0" distB="0" distL="114300" distR="114300" simplePos="0" relativeHeight="251776000" behindDoc="1" locked="0" layoutInCell="1" allowOverlap="1">
                <wp:simplePos x="0" y="0"/>
                <wp:positionH relativeFrom="page">
                  <wp:posOffset>7827010</wp:posOffset>
                </wp:positionH>
                <wp:positionV relativeFrom="page">
                  <wp:posOffset>5671185</wp:posOffset>
                </wp:positionV>
                <wp:extent cx="1270" cy="190500"/>
                <wp:effectExtent l="0" t="0" r="17780" b="19050"/>
                <wp:wrapNone/>
                <wp:docPr id="63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12326" y="8931"/>
                          <a:chExt cx="2" cy="300"/>
                        </a:xfrm>
                      </wpg:grpSpPr>
                      <wps:wsp>
                        <wps:cNvPr id="640" name="Freeform 303"/>
                        <wps:cNvSpPr>
                          <a:spLocks/>
                        </wps:cNvSpPr>
                        <wps:spPr bwMode="auto">
                          <a:xfrm>
                            <a:off x="12326" y="8931"/>
                            <a:ext cx="2" cy="300"/>
                          </a:xfrm>
                          <a:custGeom>
                            <a:avLst/>
                            <a:gdLst>
                              <a:gd name="T0" fmla="+- 0 8931 8931"/>
                              <a:gd name="T1" fmla="*/ 8931 h 300"/>
                              <a:gd name="T2" fmla="+- 0 9231 8931"/>
                              <a:gd name="T3" fmla="*/ 9231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616.3pt;margin-top:446.55pt;width:.1pt;height:15pt;z-index:-251540480;mso-position-horizontal-relative:page;mso-position-vertical-relative:page" coordorigin="12326,8931"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">
                <v:shape id="Freeform 303" o:spid="_x0000_s1027" style="position:absolute;left:12326;top:8931;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NUsEA&#10;AADcAAAADwAAAGRycy9kb3ducmV2LnhtbERPy4rCMBTdD/gP4QqzGTSdYRCpRhFxwEU3bQW3l+ba&#10;FJub0qQP/36yGJjl4bz3x9m2YqTeN44VfK4TEMSV0w3XCm7lz2oLwgdkja1jUvAiD8fD4m2PqXYT&#10;5zQWoRYxhH2KCkwIXSqlrwxZ9GvXEUfu4XqLIcK+lrrHKYbbVn4lyUZabDg2GOzobKh6FoNVkMs5&#10;+yhNZy9jmO55tU2yx/BU6n05n3YgAs3hX/znvmoFm+84P56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DVLBAAAA3AAAAA8AAAAAAAAAAAAAAAAAmAIAAGRycy9kb3du&#10;cmV2LnhtbFBLBQYAAAAABAAEAPUAAACGAwAAAAA=&#10;" path="m,l,300e" filled="f" strokeweight=".25pt">
                  <v:path arrowok="t" o:connecttype="custom" o:connectlocs="0,8931;0,9231" o:connectangles="0,0"/>
                </v:shape>
                <w10:wrap anchorx="page" anchory="page"/>
              </v:group>
            </w:pict>
          </mc:Fallback>
        </mc:AlternateContent>
      </w:r>
      <w:r>
        <w:rPr>
          <w:rFonts w:ascii="Arial Narrow" w:hAnsi="Arial Narrow"/>
          <w:noProof/>
          <w:sz w:val="24"/>
          <w:szCs w:val="24"/>
        </w:rPr>
        <mc:AlternateContent>
          <mc:Choice Requires="wpg">
            <w:drawing>
              <wp:anchor distT="0" distB="0" distL="114300" distR="114300" simplePos="0" relativeHeight="251777024" behindDoc="1" locked="0" layoutInCell="1" allowOverlap="1">
                <wp:simplePos x="0" y="0"/>
                <wp:positionH relativeFrom="page">
                  <wp:posOffset>7903210</wp:posOffset>
                </wp:positionH>
                <wp:positionV relativeFrom="page">
                  <wp:posOffset>266700</wp:posOffset>
                </wp:positionV>
                <wp:extent cx="190500" cy="1270"/>
                <wp:effectExtent l="0" t="0" r="19050" b="17780"/>
                <wp:wrapNone/>
                <wp:docPr id="635"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2446" y="420"/>
                          <a:chExt cx="300" cy="2"/>
                        </a:xfrm>
                      </wpg:grpSpPr>
                      <wps:wsp>
                        <wps:cNvPr id="636" name="Freeform 299"/>
                        <wps:cNvSpPr>
                          <a:spLocks/>
                        </wps:cNvSpPr>
                        <wps:spPr bwMode="auto">
                          <a:xfrm>
                            <a:off x="12446" y="420"/>
                            <a:ext cx="300" cy="2"/>
                          </a:xfrm>
                          <a:custGeom>
                            <a:avLst/>
                            <a:gdLst>
                              <a:gd name="T0" fmla="+- 0 12446 12446"/>
                              <a:gd name="T1" fmla="*/ T0 w 300"/>
                              <a:gd name="T2" fmla="+- 0 12746 12446"/>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622.3pt;margin-top:21pt;width:15pt;height:.1pt;z-index:-251539456;mso-position-horizontal-relative:page;mso-position-vertical-relative:page" coordorigin="12446,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">
                <v:shape id="Freeform 299" o:spid="_x0000_s1027" style="position:absolute;left:12446;top:420;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IGsQA&#10;AADcAAAADwAAAGRycy9kb3ducmV2LnhtbESPQWvCQBSE7wX/w/KE3upGI2kbXUULxdiDULX3R/aZ&#10;BLNvw+5W4793hUKPw8x8w8yXvWnFhZxvLCsYjxIQxKXVDVcKjofPlzcQPiBrbC2Tght5WC4GT3PM&#10;tb3yN132oRIRwj5HBXUIXS6lL2sy6Ee2I47eyTqDIUpXSe3wGuGmlZMkyaTBhuNCjR191FSe979G&#10;wW7HzuEpnYw35j39el1Pf4ptodTzsF/NQATqw3/4r11oBVmawe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yCBrEAAAA3AAAAA8AAAAAAAAAAAAAAAAAmAIAAGRycy9k&#10;b3ducmV2LnhtbFBLBQYAAAAABAAEAPUAAACJAwAAAAA=&#10;" path="m,l300,e" filled="f" strokeweight=".25pt">
                  <v:path arrowok="t" o:connecttype="custom" o:connectlocs="0,0;300,0" o:connectangles="0,0"/>
                </v:shape>
                <w10:wrap anchorx="page" anchory="page"/>
              </v:group>
            </w:pict>
          </mc:Fallback>
        </mc:AlternateContent>
      </w:r>
      <w:r>
        <w:rPr>
          <w:rFonts w:ascii="Arial Narrow" w:hAnsi="Arial Narrow"/>
          <w:noProof/>
          <w:sz w:val="24"/>
          <w:szCs w:val="24"/>
        </w:rPr>
        <mc:AlternateContent>
          <mc:Choice Requires="wpg">
            <w:drawing>
              <wp:anchor distT="0" distB="0" distL="114300" distR="114300" simplePos="0" relativeHeight="251778048" behindDoc="1" locked="0" layoutInCell="1" allowOverlap="1">
                <wp:simplePos x="0" y="0"/>
                <wp:positionH relativeFrom="page">
                  <wp:posOffset>7903210</wp:posOffset>
                </wp:positionH>
                <wp:positionV relativeFrom="page">
                  <wp:posOffset>5594985</wp:posOffset>
                </wp:positionV>
                <wp:extent cx="190500" cy="1270"/>
                <wp:effectExtent l="0" t="0" r="19050" b="17780"/>
                <wp:wrapNone/>
                <wp:docPr id="633"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2446" y="8811"/>
                          <a:chExt cx="300" cy="2"/>
                        </a:xfrm>
                      </wpg:grpSpPr>
                      <wps:wsp>
                        <wps:cNvPr id="634" name="Freeform 297"/>
                        <wps:cNvSpPr>
                          <a:spLocks/>
                        </wps:cNvSpPr>
                        <wps:spPr bwMode="auto">
                          <a:xfrm>
                            <a:off x="12446" y="8811"/>
                            <a:ext cx="300" cy="2"/>
                          </a:xfrm>
                          <a:custGeom>
                            <a:avLst/>
                            <a:gdLst>
                              <a:gd name="T0" fmla="+- 0 12446 12446"/>
                              <a:gd name="T1" fmla="*/ T0 w 300"/>
                              <a:gd name="T2" fmla="+- 0 12746 12446"/>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622.3pt;margin-top:440.55pt;width:15pt;height:.1pt;z-index:-251538432;mso-position-horizontal-relative:page;mso-position-vertical-relative:page" coordorigin="12446,8811"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">
                <v:shape id="Freeform 297" o:spid="_x0000_s1027" style="position:absolute;left:12446;top:8811;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z9sQA&#10;AADcAAAADwAAAGRycy9kb3ducmV2LnhtbESPT2vCQBTE7wW/w/KE3upGI1ajq9hCafQg1D/3R/aZ&#10;BLNvw+5W47d3hUKPw8z8hlmsOtOIKzlfW1YwHCQgiAuray4VHA9fb1MQPiBrbCyTgjt5WC17LwvM&#10;tL3xD133oRQRwj5DBVUIbSalLyoy6Ae2JY7e2TqDIUpXSu3wFuGmkaMkmUiDNceFClv6rKi47H+N&#10;gt2OncNzOhp+m1m6ff8Yn/JNrtRrv1vPQQTqwn/4r51rBZN0DM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M/bEAAAA3AAAAA8AAAAAAAAAAAAAAAAAmAIAAGRycy9k&#10;b3ducmV2LnhtbFBLBQYAAAAABAAEAPUAAACJAwAAAAA=&#10;" path="m,l300,e" filled="f" strokeweight=".25pt">
                  <v:path arrowok="t" o:connecttype="custom" o:connectlocs="0,0;300,0" o:connectangles="0,0"/>
                </v:shape>
                <w10:wrap anchorx="page" anchory="page"/>
              </v:group>
            </w:pict>
          </mc:Fallback>
        </mc:AlternateContent>
      </w:r>
      <w:r>
        <w:rPr>
          <w:rFonts w:ascii="Arial Narrow" w:hAnsi="Arial Narrow"/>
          <w:noProof/>
          <w:sz w:val="24"/>
          <w:szCs w:val="24"/>
        </w:rPr>
        <mc:AlternateContent>
          <mc:Choice Requires="wps">
            <w:drawing>
              <wp:anchor distT="0" distB="0" distL="114300" distR="114300" simplePos="0" relativeHeight="251779072" behindDoc="1" locked="0" layoutInCell="1" allowOverlap="1">
                <wp:simplePos x="0" y="0"/>
                <wp:positionH relativeFrom="page">
                  <wp:posOffset>411480</wp:posOffset>
                </wp:positionH>
                <wp:positionV relativeFrom="page">
                  <wp:posOffset>838200</wp:posOffset>
                </wp:positionV>
                <wp:extent cx="165100" cy="234950"/>
                <wp:effectExtent l="0" t="0" r="6350" b="12700"/>
                <wp:wrapNone/>
                <wp:docPr id="63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sidP="00FF2CD0">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color w:val="FFFFFF"/>
                              </w:rPr>
                              <w:t>300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482" type="#_x0000_t202" style="position:absolute;margin-left:32.4pt;margin-top:66pt;width:13pt;height:18.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3swIAALUFAAAOAAAAZHJzL2Uyb0RvYy54bWysVFtvmzAUfp+0/2D5nXIJo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" filled="f" stroked="f">
                <v:textbox style="layout-flow:vertical" inset="0,0,0,0">
                  <w:txbxContent>
                    <w:p w:rsidR="00B247C9" w:rsidRDefault="00B247C9" w:rsidP="00FF2CD0">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color w:val="FFFFFF"/>
                        </w:rPr>
                        <w:t>300</w:t>
                      </w:r>
                    </w:p>
                  </w:txbxContent>
                </v:textbox>
                <w10:wrap anchorx="page" anchory="page"/>
              </v:shape>
            </w:pict>
          </mc:Fallback>
        </mc:AlternateContent>
      </w:r>
    </w:p>
    <w:p w:rsidR="00FF2CD0" w:rsidRPr="00C203F3" w:rsidRDefault="00FF2CD0" w:rsidP="00FF2CD0">
      <w:pPr>
        <w:spacing w:before="17" w:after="0" w:line="280" w:lineRule="exact"/>
        <w:rPr>
          <w:rFonts w:ascii="Arial Narrow" w:hAnsi="Arial Narrow"/>
          <w:sz w:val="24"/>
          <w:szCs w:val="24"/>
        </w:rPr>
      </w:pPr>
    </w:p>
    <w:tbl>
      <w:tblPr>
        <w:tblW w:w="0" w:type="auto"/>
        <w:tblInd w:w="102" w:type="dxa"/>
        <w:tblLayout w:type="fixed"/>
        <w:tblCellMar>
          <w:left w:w="0" w:type="dxa"/>
          <w:right w:w="0" w:type="dxa"/>
        </w:tblCellMar>
        <w:tblLook w:val="01E0" w:firstRow="1" w:lastRow="1" w:firstColumn="1" w:lastColumn="1" w:noHBand="0" w:noVBand="0"/>
      </w:tblPr>
      <w:tblGrid>
        <w:gridCol w:w="1809"/>
        <w:gridCol w:w="2098"/>
        <w:gridCol w:w="1909"/>
        <w:gridCol w:w="1569"/>
        <w:gridCol w:w="2584"/>
      </w:tblGrid>
      <w:tr w:rsidR="00FF2CD0" w:rsidRPr="00C203F3" w:rsidTr="00FF2CD0">
        <w:trPr>
          <w:trHeight w:hRule="exact" w:val="2124"/>
        </w:trPr>
        <w:tc>
          <w:tcPr>
            <w:tcW w:w="18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Efavirenz</w:t>
            </w:r>
          </w:p>
          <w:p w:rsidR="00FF2CD0" w:rsidRPr="00C203F3" w:rsidRDefault="00FF2CD0" w:rsidP="00FF2CD0">
            <w:pPr>
              <w:spacing w:before="3" w:after="0" w:line="240" w:lineRule="auto"/>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w:t>
            </w:r>
            <w:r w:rsidRPr="00C203F3">
              <w:rPr>
                <w:rFonts w:ascii="Arial Narrow" w:eastAsia="Times New Roman" w:hAnsi="Arial Narrow" w:cs="Times New Roman"/>
                <w:color w:val="231F20"/>
                <w:spacing w:val="-13"/>
                <w:sz w:val="24"/>
                <w:szCs w:val="24"/>
              </w:rPr>
              <w:t>R</w:t>
            </w:r>
            <w:r w:rsidRPr="00C203F3">
              <w:rPr>
                <w:rFonts w:ascii="Arial Narrow" w:eastAsia="Times New Roman" w:hAnsi="Arial Narrow" w:cs="Times New Roman"/>
                <w:color w:val="231F20"/>
                <w:sz w:val="24"/>
                <w:szCs w:val="24"/>
              </w:rPr>
              <w:t>TI</w:t>
            </w:r>
          </w:p>
        </w:tc>
        <w:tc>
          <w:tcPr>
            <w:tcW w:w="209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Antiretroviral</w:t>
            </w:r>
          </w:p>
        </w:tc>
        <w:tc>
          <w:tcPr>
            <w:tcW w:w="19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199"/>
              <w:jc w:val="both"/>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Can be taken with</w:t>
            </w:r>
          </w:p>
          <w:p w:rsidR="00FF2CD0" w:rsidRPr="00C203F3" w:rsidRDefault="00FF2CD0" w:rsidP="00FF2CD0">
            <w:pPr>
              <w:spacing w:before="3" w:after="0" w:line="242" w:lineRule="auto"/>
              <w:ind w:left="52" w:right="378"/>
              <w:jc w:val="both"/>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food, but do not take with a high fat meal</w:t>
            </w:r>
          </w:p>
        </w:tc>
        <w:tc>
          <w:tcPr>
            <w:tcW w:w="156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Alcohol</w:t>
            </w:r>
          </w:p>
        </w:tc>
        <w:tc>
          <w:tcPr>
            <w:tcW w:w="258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Elevated blood cholesterol</w:t>
            </w:r>
          </w:p>
          <w:p w:rsidR="00FF2CD0" w:rsidRPr="00C203F3" w:rsidRDefault="00FF2CD0" w:rsidP="00FF2CD0">
            <w:pPr>
              <w:spacing w:before="3" w:after="0" w:line="242" w:lineRule="auto"/>
              <w:ind w:left="52" w:right="1108"/>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levels, elevated triglycerides</w:t>
            </w:r>
          </w:p>
          <w:p w:rsidR="00FF2CD0" w:rsidRPr="00C203F3" w:rsidRDefault="00FF2CD0" w:rsidP="00FF2CD0">
            <w:pPr>
              <w:spacing w:after="0" w:line="242" w:lineRule="auto"/>
              <w:ind w:left="52" w:right="39"/>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levels, rash, dizziness, anorexia, nausea, vomiting, diarrhoea, dyspepsia, abdominal pain, flatulence</w:t>
            </w:r>
          </w:p>
        </w:tc>
      </w:tr>
      <w:tr w:rsidR="00FF2CD0" w:rsidRPr="00C203F3" w:rsidTr="00FF2CD0">
        <w:trPr>
          <w:trHeight w:hRule="exact" w:val="1701"/>
        </w:trPr>
        <w:tc>
          <w:tcPr>
            <w:tcW w:w="18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Nevirapine (NVP)</w:t>
            </w:r>
          </w:p>
          <w:p w:rsidR="00FF2CD0" w:rsidRPr="00C203F3" w:rsidRDefault="00FF2CD0" w:rsidP="00FF2CD0">
            <w:pPr>
              <w:spacing w:before="3" w:after="0" w:line="240" w:lineRule="auto"/>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w:t>
            </w:r>
            <w:r w:rsidRPr="00C203F3">
              <w:rPr>
                <w:rFonts w:ascii="Arial Narrow" w:eastAsia="Times New Roman" w:hAnsi="Arial Narrow" w:cs="Times New Roman"/>
                <w:color w:val="231F20"/>
                <w:spacing w:val="-13"/>
                <w:sz w:val="24"/>
                <w:szCs w:val="24"/>
              </w:rPr>
              <w:t>R</w:t>
            </w:r>
            <w:r w:rsidRPr="00C203F3">
              <w:rPr>
                <w:rFonts w:ascii="Arial Narrow" w:eastAsia="Times New Roman" w:hAnsi="Arial Narrow" w:cs="Times New Roman"/>
                <w:color w:val="231F20"/>
                <w:sz w:val="24"/>
                <w:szCs w:val="24"/>
              </w:rPr>
              <w:t>TI</w:t>
            </w:r>
          </w:p>
        </w:tc>
        <w:tc>
          <w:tcPr>
            <w:tcW w:w="209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Antiretroviral</w:t>
            </w:r>
          </w:p>
        </w:tc>
        <w:tc>
          <w:tcPr>
            <w:tcW w:w="19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Can be taken</w:t>
            </w:r>
          </w:p>
          <w:p w:rsidR="00FF2CD0" w:rsidRPr="00C203F3" w:rsidRDefault="00FF2CD0" w:rsidP="00FF2CD0">
            <w:pPr>
              <w:spacing w:before="3" w:after="0" w:line="242" w:lineRule="auto"/>
              <w:ind w:left="52" w:right="274"/>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without regard to food</w:t>
            </w:r>
          </w:p>
        </w:tc>
        <w:tc>
          <w:tcPr>
            <w:tcW w:w="156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St John</w:t>
            </w:r>
            <w:r w:rsidRPr="00C203F3">
              <w:rPr>
                <w:rFonts w:ascii="Arial Narrow" w:eastAsia="Times New Roman" w:hAnsi="Arial Narrow" w:cs="Times New Roman"/>
                <w:color w:val="231F20"/>
                <w:spacing w:val="-12"/>
                <w:sz w:val="24"/>
                <w:szCs w:val="24"/>
              </w:rPr>
              <w:t>’</w:t>
            </w:r>
            <w:r w:rsidRPr="00C203F3">
              <w:rPr>
                <w:rFonts w:ascii="Arial Narrow" w:eastAsia="Times New Roman" w:hAnsi="Arial Narrow" w:cs="Times New Roman"/>
                <w:color w:val="231F20"/>
                <w:sz w:val="24"/>
                <w:szCs w:val="24"/>
              </w:rPr>
              <w:t>s wort</w:t>
            </w:r>
          </w:p>
        </w:tc>
        <w:tc>
          <w:tcPr>
            <w:tcW w:w="258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Nausea, vomiting rash,</w:t>
            </w:r>
          </w:p>
          <w:p w:rsidR="00FF2CD0" w:rsidRPr="00C203F3" w:rsidRDefault="00FF2CD0" w:rsidP="00FF2CD0">
            <w:pPr>
              <w:spacing w:before="3" w:after="0" w:line="242" w:lineRule="auto"/>
              <w:ind w:left="52" w:right="81"/>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feve</w:t>
            </w:r>
            <w:r w:rsidRPr="00C203F3">
              <w:rPr>
                <w:rFonts w:ascii="Arial Narrow" w:eastAsia="Times New Roman" w:hAnsi="Arial Narrow" w:cs="Times New Roman"/>
                <w:color w:val="231F20"/>
                <w:spacing w:val="-9"/>
                <w:sz w:val="24"/>
                <w:szCs w:val="24"/>
              </w:rPr>
              <w:t>r</w:t>
            </w:r>
            <w:r w:rsidRPr="00C203F3">
              <w:rPr>
                <w:rFonts w:ascii="Arial Narrow" w:eastAsia="Times New Roman" w:hAnsi="Arial Narrow" w:cs="Times New Roman"/>
                <w:color w:val="231F20"/>
                <w:sz w:val="24"/>
                <w:szCs w:val="24"/>
              </w:rPr>
              <w:t>, headache, skin reactions, fatigue, stomatitis, abdominal pain, drowsiness, paresthesia; high hepatoxicity</w:t>
            </w:r>
          </w:p>
        </w:tc>
      </w:tr>
      <w:tr w:rsidR="00FF2CD0" w:rsidRPr="00C203F3" w:rsidTr="00FF2CD0">
        <w:trPr>
          <w:trHeight w:hRule="exact" w:val="1701"/>
        </w:trPr>
        <w:tc>
          <w:tcPr>
            <w:tcW w:w="18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Lopinavir</w:t>
            </w:r>
          </w:p>
          <w:p w:rsidR="00FF2CD0" w:rsidRPr="00C203F3" w:rsidRDefault="00FF2CD0" w:rsidP="00FF2CD0">
            <w:pPr>
              <w:spacing w:before="3" w:after="0" w:line="240" w:lineRule="auto"/>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PI</w:t>
            </w:r>
          </w:p>
        </w:tc>
        <w:tc>
          <w:tcPr>
            <w:tcW w:w="209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Antiretroviral</w:t>
            </w:r>
          </w:p>
        </w:tc>
        <w:tc>
          <w:tcPr>
            <w:tcW w:w="19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Can be taken</w:t>
            </w:r>
          </w:p>
          <w:p w:rsidR="00FF2CD0" w:rsidRPr="00C203F3" w:rsidRDefault="00FF2CD0" w:rsidP="00FF2CD0">
            <w:pPr>
              <w:spacing w:before="3" w:after="0" w:line="242" w:lineRule="auto"/>
              <w:ind w:left="52" w:right="274"/>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without regard to food</w:t>
            </w:r>
          </w:p>
        </w:tc>
        <w:tc>
          <w:tcPr>
            <w:tcW w:w="156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St John</w:t>
            </w:r>
            <w:r w:rsidRPr="00C203F3">
              <w:rPr>
                <w:rFonts w:ascii="Arial Narrow" w:eastAsia="Times New Roman" w:hAnsi="Arial Narrow" w:cs="Times New Roman"/>
                <w:color w:val="231F20"/>
                <w:spacing w:val="-12"/>
                <w:sz w:val="24"/>
                <w:szCs w:val="24"/>
              </w:rPr>
              <w:t>’</w:t>
            </w:r>
            <w:r w:rsidRPr="00C203F3">
              <w:rPr>
                <w:rFonts w:ascii="Arial Narrow" w:eastAsia="Times New Roman" w:hAnsi="Arial Narrow" w:cs="Times New Roman"/>
                <w:color w:val="231F20"/>
                <w:sz w:val="24"/>
                <w:szCs w:val="24"/>
              </w:rPr>
              <w:t>s wort</w:t>
            </w:r>
          </w:p>
        </w:tc>
        <w:tc>
          <w:tcPr>
            <w:tcW w:w="258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Abdominal pain, diarrhoea,</w:t>
            </w:r>
          </w:p>
          <w:p w:rsidR="00FF2CD0" w:rsidRPr="00C203F3" w:rsidRDefault="00FF2CD0" w:rsidP="00FF2CD0">
            <w:pPr>
              <w:spacing w:before="3" w:after="0" w:line="242" w:lineRule="auto"/>
              <w:ind w:left="52" w:right="418"/>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headaches, headache, weakness, nausea; may increase the risk of lipodystrophy and or diabetes</w:t>
            </w:r>
          </w:p>
        </w:tc>
      </w:tr>
      <w:tr w:rsidR="00FF2CD0" w:rsidRPr="00C203F3" w:rsidTr="00FF2CD0">
        <w:trPr>
          <w:trHeight w:hRule="exact" w:val="1269"/>
        </w:trPr>
        <w:tc>
          <w:tcPr>
            <w:tcW w:w="18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Nelfinavir</w:t>
            </w:r>
          </w:p>
          <w:p w:rsidR="00FF2CD0" w:rsidRPr="00C203F3" w:rsidRDefault="00FF2CD0" w:rsidP="00FF2CD0">
            <w:pPr>
              <w:spacing w:before="3" w:after="0" w:line="240" w:lineRule="auto"/>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PI</w:t>
            </w:r>
          </w:p>
        </w:tc>
        <w:tc>
          <w:tcPr>
            <w:tcW w:w="209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Antiretroviral</w:t>
            </w:r>
          </w:p>
        </w:tc>
        <w:tc>
          <w:tcPr>
            <w:tcW w:w="19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15"/>
                <w:sz w:val="24"/>
                <w:szCs w:val="24"/>
              </w:rPr>
              <w:t>T</w:t>
            </w:r>
            <w:r w:rsidRPr="00C203F3">
              <w:rPr>
                <w:rFonts w:ascii="Arial Narrow" w:eastAsia="Times New Roman" w:hAnsi="Arial Narrow" w:cs="Times New Roman"/>
                <w:color w:val="231F20"/>
                <w:sz w:val="24"/>
                <w:szCs w:val="24"/>
              </w:rPr>
              <w:t>ake with meal or</w:t>
            </w:r>
          </w:p>
          <w:p w:rsidR="00FF2CD0" w:rsidRPr="00C203F3" w:rsidRDefault="00FF2CD0" w:rsidP="00FF2CD0">
            <w:pPr>
              <w:spacing w:before="3" w:after="0" w:line="240" w:lineRule="auto"/>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light snack</w:t>
            </w:r>
          </w:p>
        </w:tc>
        <w:tc>
          <w:tcPr>
            <w:tcW w:w="156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St John</w:t>
            </w:r>
            <w:r w:rsidRPr="00C203F3">
              <w:rPr>
                <w:rFonts w:ascii="Arial Narrow" w:eastAsia="Times New Roman" w:hAnsi="Arial Narrow" w:cs="Times New Roman"/>
                <w:color w:val="231F20"/>
                <w:spacing w:val="-12"/>
                <w:sz w:val="24"/>
                <w:szCs w:val="24"/>
              </w:rPr>
              <w:t>’</w:t>
            </w:r>
            <w:r w:rsidRPr="00C203F3">
              <w:rPr>
                <w:rFonts w:ascii="Arial Narrow" w:eastAsia="Times New Roman" w:hAnsi="Arial Narrow" w:cs="Times New Roman"/>
                <w:color w:val="231F20"/>
                <w:sz w:val="24"/>
                <w:szCs w:val="24"/>
              </w:rPr>
              <w:t>s</w:t>
            </w:r>
          </w:p>
          <w:p w:rsidR="00FF2CD0" w:rsidRPr="00C203F3" w:rsidRDefault="00FF2CD0" w:rsidP="00FF2CD0">
            <w:pPr>
              <w:spacing w:before="3" w:after="0" w:line="200" w:lineRule="exact"/>
              <w:rPr>
                <w:rFonts w:ascii="Arial Narrow" w:hAnsi="Arial Narrow"/>
                <w:sz w:val="24"/>
                <w:szCs w:val="24"/>
              </w:rPr>
            </w:pPr>
          </w:p>
          <w:p w:rsidR="00FF2CD0" w:rsidRPr="00C203F3" w:rsidRDefault="00FF2CD0" w:rsidP="00FF2CD0">
            <w:pPr>
              <w:spacing w:after="0" w:line="240" w:lineRule="auto"/>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wort</w:t>
            </w:r>
          </w:p>
        </w:tc>
        <w:tc>
          <w:tcPr>
            <w:tcW w:w="258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Diarrhoea, flatulence,</w:t>
            </w:r>
          </w:p>
          <w:p w:rsidR="00FF2CD0" w:rsidRPr="00C203F3" w:rsidRDefault="00FF2CD0" w:rsidP="00FF2CD0">
            <w:pPr>
              <w:spacing w:before="3" w:after="0" w:line="242" w:lineRule="auto"/>
              <w:ind w:left="52" w:right="118"/>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nausea, abdominal pain, rash; may increase the risk of lipodystrophy</w:t>
            </w:r>
          </w:p>
        </w:tc>
      </w:tr>
    </w:tbl>
    <w:p w:rsidR="00FF2CD0" w:rsidRPr="00C203F3" w:rsidRDefault="00FF2CD0" w:rsidP="00FF2CD0">
      <w:pPr>
        <w:spacing w:after="0"/>
        <w:rPr>
          <w:rFonts w:ascii="Arial Narrow" w:hAnsi="Arial Narrow"/>
          <w:sz w:val="24"/>
          <w:szCs w:val="24"/>
        </w:rPr>
        <w:sectPr w:rsidR="00FF2CD0" w:rsidRPr="00C203F3">
          <w:headerReference w:type="default" r:id="rId29"/>
          <w:pgSz w:w="12760" w:h="9240" w:orient="landscape"/>
          <w:pgMar w:top="820" w:right="1260" w:bottom="280" w:left="1300" w:header="0" w:footer="0" w:gutter="0"/>
          <w:cols w:space="720"/>
        </w:sectPr>
      </w:pPr>
    </w:p>
    <w:p w:rsidR="00FF2CD0" w:rsidRPr="00C203F3" w:rsidRDefault="00AA771C" w:rsidP="00FF2CD0">
      <w:pPr>
        <w:spacing w:after="0" w:line="200" w:lineRule="exact"/>
        <w:rPr>
          <w:rFonts w:ascii="Arial Narrow" w:hAnsi="Arial Narrow"/>
          <w:sz w:val="24"/>
          <w:szCs w:val="24"/>
        </w:rPr>
      </w:pPr>
      <w:r>
        <w:rPr>
          <w:rFonts w:ascii="Arial Narrow" w:hAnsi="Arial Narrow"/>
          <w:noProof/>
          <w:sz w:val="24"/>
          <w:szCs w:val="24"/>
        </w:rPr>
        <mc:AlternateContent>
          <mc:Choice Requires="wpg">
            <w:drawing>
              <wp:anchor distT="0" distB="0" distL="114300" distR="114300" simplePos="0" relativeHeight="251780096" behindDoc="1" locked="0" layoutInCell="1" allowOverlap="1">
                <wp:simplePos x="0" y="0"/>
                <wp:positionH relativeFrom="page">
                  <wp:posOffset>7827010</wp:posOffset>
                </wp:positionH>
                <wp:positionV relativeFrom="page">
                  <wp:posOffset>5671185</wp:posOffset>
                </wp:positionV>
                <wp:extent cx="1270" cy="190500"/>
                <wp:effectExtent l="0" t="0" r="17780" b="19050"/>
                <wp:wrapNone/>
                <wp:docPr id="611"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12326" y="8931"/>
                          <a:chExt cx="2" cy="300"/>
                        </a:xfrm>
                      </wpg:grpSpPr>
                      <wps:wsp>
                        <wps:cNvPr id="612" name="Freeform 275"/>
                        <wps:cNvSpPr>
                          <a:spLocks/>
                        </wps:cNvSpPr>
                        <wps:spPr bwMode="auto">
                          <a:xfrm>
                            <a:off x="12326" y="8931"/>
                            <a:ext cx="2" cy="300"/>
                          </a:xfrm>
                          <a:custGeom>
                            <a:avLst/>
                            <a:gdLst>
                              <a:gd name="T0" fmla="+- 0 8931 8931"/>
                              <a:gd name="T1" fmla="*/ 8931 h 300"/>
                              <a:gd name="T2" fmla="+- 0 9231 8931"/>
                              <a:gd name="T3" fmla="*/ 9231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026" style="position:absolute;margin-left:616.3pt;margin-top:446.55pt;width:.1pt;height:15pt;z-index:-251536384;mso-position-horizontal-relative:page;mso-position-vertical-relative:page" coordorigin="12326,8931"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">
                <v:shape id="Freeform 275" o:spid="_x0000_s1027" style="position:absolute;left:12326;top:8931;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Zo8MA&#10;AADcAAAADwAAAGRycy9kb3ducmV2LnhtbESPQYvCMBSE74L/ITxhL7KmehDpmorILnjwUhW8PprX&#10;prR5KU1s67/fLCx4HGbmG2Z/mGwrBup97VjBepWAIC6crrlScL/9fO5A+ICssXVMCl7k4ZDNZ3tM&#10;tRs5p+EaKhEh7FNUYELoUil9YciiX7mOOHql6y2GKPtK6h7HCLet3CTJVlqsOS4Y7OhkqGiuT6sg&#10;l9NleTOd/R7C+MiLXXIpn41SH4vp+AUi0BTe4f/2WSvYrjfwdyYe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QZo8MAAADcAAAADwAAAAAAAAAAAAAAAACYAgAAZHJzL2Rv&#10;d25yZXYueG1sUEsFBgAAAAAEAAQA9QAAAIgDAAAAAA==&#10;" path="m,l,300e" filled="f" strokeweight=".25pt">
                  <v:path arrowok="t" o:connecttype="custom" o:connectlocs="0,8931;0,9231" o:connectangles="0,0"/>
                </v:shape>
                <w10:wrap anchorx="page" anchory="page"/>
              </v:group>
            </w:pict>
          </mc:Fallback>
        </mc:AlternateContent>
      </w:r>
      <w:r>
        <w:rPr>
          <w:rFonts w:ascii="Arial Narrow" w:hAnsi="Arial Narrow"/>
          <w:noProof/>
          <w:sz w:val="24"/>
          <w:szCs w:val="24"/>
        </w:rPr>
        <mc:AlternateContent>
          <mc:Choice Requires="wpg">
            <w:drawing>
              <wp:anchor distT="0" distB="0" distL="114300" distR="114300" simplePos="0" relativeHeight="251781120" behindDoc="1" locked="0" layoutInCell="1" allowOverlap="1">
                <wp:simplePos x="0" y="0"/>
                <wp:positionH relativeFrom="page">
                  <wp:posOffset>7903210</wp:posOffset>
                </wp:positionH>
                <wp:positionV relativeFrom="page">
                  <wp:posOffset>5594985</wp:posOffset>
                </wp:positionV>
                <wp:extent cx="190500" cy="1270"/>
                <wp:effectExtent l="0" t="0" r="19050" b="17780"/>
                <wp:wrapNone/>
                <wp:docPr id="609"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2446" y="8811"/>
                          <a:chExt cx="300" cy="2"/>
                        </a:xfrm>
                      </wpg:grpSpPr>
                      <wps:wsp>
                        <wps:cNvPr id="610" name="Freeform 273"/>
                        <wps:cNvSpPr>
                          <a:spLocks/>
                        </wps:cNvSpPr>
                        <wps:spPr bwMode="auto">
                          <a:xfrm>
                            <a:off x="12446" y="8811"/>
                            <a:ext cx="300" cy="2"/>
                          </a:xfrm>
                          <a:custGeom>
                            <a:avLst/>
                            <a:gdLst>
                              <a:gd name="T0" fmla="+- 0 12446 12446"/>
                              <a:gd name="T1" fmla="*/ T0 w 300"/>
                              <a:gd name="T2" fmla="+- 0 12746 12446"/>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026" style="position:absolute;margin-left:622.3pt;margin-top:440.55pt;width:15pt;height:.1pt;z-index:-251535360;mso-position-horizontal-relative:page;mso-position-vertical-relative:page" coordorigin="12446,8811"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">
                <v:shape id="Freeform 273" o:spid="_x0000_s1027" style="position:absolute;left:12446;top:8811;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JplcEA&#10;AADcAAAADwAAAGRycy9kb3ducmV2LnhtbERPz2vCMBS+C/sfwht4m2lVnHZGmYLYeRCm7v5onm1Z&#10;81KSqPW/NwfB48f3e77sTCOu5HxtWUE6SEAQF1bXXCo4HTcfUxA+IGtsLJOCO3lYLt56c8y0vfEv&#10;XQ+hFDGEfYYKqhDaTEpfVGTQD2xLHLmzdQZDhK6U2uEthptGDpNkIg3WHBsqbGldUfF/uBgF+z07&#10;h+fRMN2a2Wj3uRr/5T+5Uv337vsLRKAuvMRPd64VTNI4P56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iaZXBAAAA3AAAAA8AAAAAAAAAAAAAAAAAmAIAAGRycy9kb3du&#10;cmV2LnhtbFBLBQYAAAAABAAEAPUAAACGAwAAAAA=&#10;" path="m,l300,e" filled="f" strokeweight=".25pt">
                  <v:path arrowok="t" o:connecttype="custom" o:connectlocs="0,0;300,0" o:connectangles="0,0"/>
                </v:shape>
                <w10:wrap anchorx="page" anchory="page"/>
              </v:group>
            </w:pict>
          </mc:Fallback>
        </mc:AlternateContent>
      </w:r>
      <w:r>
        <w:rPr>
          <w:rFonts w:ascii="Arial Narrow" w:hAnsi="Arial Narrow"/>
          <w:noProof/>
          <w:sz w:val="24"/>
          <w:szCs w:val="24"/>
        </w:rPr>
        <mc:AlternateContent>
          <mc:Choice Requires="wps">
            <w:drawing>
              <wp:anchor distT="0" distB="0" distL="114300" distR="114300" simplePos="0" relativeHeight="251782144" behindDoc="1" locked="0" layoutInCell="1" allowOverlap="1">
                <wp:simplePos x="0" y="0"/>
                <wp:positionH relativeFrom="page">
                  <wp:posOffset>411480</wp:posOffset>
                </wp:positionH>
                <wp:positionV relativeFrom="page">
                  <wp:posOffset>4750435</wp:posOffset>
                </wp:positionV>
                <wp:extent cx="165100" cy="234950"/>
                <wp:effectExtent l="0" t="0" r="6350" b="12700"/>
                <wp:wrapNone/>
                <wp:docPr id="60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7C9" w:rsidRDefault="00B247C9" w:rsidP="00FF2CD0">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color w:val="FFFFFF"/>
                              </w:rPr>
                              <w:t>301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483" type="#_x0000_t202" style="position:absolute;margin-left:32.4pt;margin-top:374.05pt;width:13pt;height:18.5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" filled="f" stroked="f">
                <v:textbox style="layout-flow:vertical" inset="0,0,0,0">
                  <w:txbxContent>
                    <w:p w:rsidR="00B247C9" w:rsidRDefault="00B247C9" w:rsidP="00FF2CD0">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color w:val="FFFFFF"/>
                        </w:rPr>
                        <w:t>301</w:t>
                      </w:r>
                    </w:p>
                  </w:txbxContent>
                </v:textbox>
                <w10:wrap anchorx="page" anchory="page"/>
              </v:shape>
            </w:pict>
          </mc:Fallback>
        </mc:AlternateContent>
      </w:r>
    </w:p>
    <w:p w:rsidR="00FF2CD0" w:rsidRPr="00C203F3" w:rsidRDefault="00FF2CD0" w:rsidP="00FF2CD0">
      <w:pPr>
        <w:spacing w:before="4" w:after="0" w:line="200" w:lineRule="exact"/>
        <w:rPr>
          <w:rFonts w:ascii="Arial Narrow" w:hAnsi="Arial Narrow"/>
          <w:sz w:val="24"/>
          <w:szCs w:val="24"/>
        </w:rPr>
      </w:pPr>
    </w:p>
    <w:tbl>
      <w:tblPr>
        <w:tblW w:w="0" w:type="auto"/>
        <w:tblInd w:w="1511" w:type="dxa"/>
        <w:tblLayout w:type="fixed"/>
        <w:tblCellMar>
          <w:left w:w="0" w:type="dxa"/>
          <w:right w:w="0" w:type="dxa"/>
        </w:tblCellMar>
        <w:tblLook w:val="01E0" w:firstRow="1" w:lastRow="1" w:firstColumn="1" w:lastColumn="1" w:noHBand="0" w:noVBand="0"/>
      </w:tblPr>
      <w:tblGrid>
        <w:gridCol w:w="1809"/>
        <w:gridCol w:w="2098"/>
        <w:gridCol w:w="1909"/>
        <w:gridCol w:w="1569"/>
        <w:gridCol w:w="2584"/>
      </w:tblGrid>
      <w:tr w:rsidR="00FF2CD0" w:rsidRPr="00C203F3" w:rsidTr="00FF2CD0">
        <w:trPr>
          <w:trHeight w:hRule="exact" w:val="2038"/>
        </w:trPr>
        <w:tc>
          <w:tcPr>
            <w:tcW w:w="18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Ritonavir</w:t>
            </w:r>
          </w:p>
          <w:p w:rsidR="00FF2CD0" w:rsidRPr="00C203F3" w:rsidRDefault="00FF2CD0" w:rsidP="00FF2CD0">
            <w:pPr>
              <w:spacing w:before="3" w:after="0" w:line="240" w:lineRule="auto"/>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PI</w:t>
            </w:r>
          </w:p>
        </w:tc>
        <w:tc>
          <w:tcPr>
            <w:tcW w:w="209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Antiretroviral</w:t>
            </w:r>
          </w:p>
        </w:tc>
        <w:tc>
          <w:tcPr>
            <w:tcW w:w="19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15"/>
                <w:sz w:val="24"/>
                <w:szCs w:val="24"/>
              </w:rPr>
              <w:t>T</w:t>
            </w:r>
            <w:r w:rsidRPr="00C203F3">
              <w:rPr>
                <w:rFonts w:ascii="Arial Narrow" w:eastAsia="Times New Roman" w:hAnsi="Arial Narrow" w:cs="Times New Roman"/>
                <w:color w:val="231F20"/>
                <w:sz w:val="24"/>
                <w:szCs w:val="24"/>
              </w:rPr>
              <w:t>ake with meal if</w:t>
            </w:r>
          </w:p>
          <w:p w:rsidR="00FF2CD0" w:rsidRPr="00C203F3" w:rsidRDefault="00FF2CD0" w:rsidP="00FF2CD0">
            <w:pPr>
              <w:spacing w:before="3" w:after="0" w:line="240" w:lineRule="auto"/>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possible</w:t>
            </w:r>
          </w:p>
        </w:tc>
        <w:tc>
          <w:tcPr>
            <w:tcW w:w="156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St John</w:t>
            </w:r>
            <w:r w:rsidRPr="00C203F3">
              <w:rPr>
                <w:rFonts w:ascii="Arial Narrow" w:eastAsia="Times New Roman" w:hAnsi="Arial Narrow" w:cs="Times New Roman"/>
                <w:color w:val="231F20"/>
                <w:spacing w:val="-12"/>
                <w:sz w:val="24"/>
                <w:szCs w:val="24"/>
              </w:rPr>
              <w:t>’</w:t>
            </w:r>
            <w:r w:rsidRPr="00C203F3">
              <w:rPr>
                <w:rFonts w:ascii="Arial Narrow" w:eastAsia="Times New Roman" w:hAnsi="Arial Narrow" w:cs="Times New Roman"/>
                <w:color w:val="231F20"/>
                <w:sz w:val="24"/>
                <w:szCs w:val="24"/>
              </w:rPr>
              <w:t>s wort</w:t>
            </w:r>
          </w:p>
        </w:tc>
        <w:tc>
          <w:tcPr>
            <w:tcW w:w="258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Nausea, vomiting,</w:t>
            </w:r>
          </w:p>
          <w:p w:rsidR="00FF2CD0" w:rsidRPr="00C203F3" w:rsidRDefault="00FF2CD0" w:rsidP="00FF2CD0">
            <w:pPr>
              <w:spacing w:before="3" w:after="0" w:line="242" w:lineRule="auto"/>
              <w:ind w:left="52" w:right="63"/>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diarrhoea, hepatitis, jaundice, weakness, anorexia, abdominal pain, feve</w:t>
            </w:r>
            <w:r w:rsidRPr="00C203F3">
              <w:rPr>
                <w:rFonts w:ascii="Arial Narrow" w:eastAsia="Times New Roman" w:hAnsi="Arial Narrow" w:cs="Times New Roman"/>
                <w:color w:val="231F20"/>
                <w:spacing w:val="-9"/>
                <w:sz w:val="24"/>
                <w:szCs w:val="24"/>
              </w:rPr>
              <w:t>r</w:t>
            </w:r>
            <w:r w:rsidRPr="00C203F3">
              <w:rPr>
                <w:rFonts w:ascii="Arial Narrow" w:eastAsia="Times New Roman" w:hAnsi="Arial Narrow" w:cs="Times New Roman"/>
                <w:color w:val="231F20"/>
                <w:sz w:val="24"/>
                <w:szCs w:val="24"/>
              </w:rPr>
              <w:t>, diabetes, headache, dizziness; may increase the risk of lipodystrophy</w:t>
            </w:r>
          </w:p>
        </w:tc>
      </w:tr>
      <w:tr w:rsidR="00FF2CD0" w:rsidRPr="00C203F3" w:rsidTr="00FF2CD0">
        <w:trPr>
          <w:trHeight w:hRule="exact" w:val="2065"/>
        </w:trPr>
        <w:tc>
          <w:tcPr>
            <w:tcW w:w="18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Saquinavir</w:t>
            </w:r>
          </w:p>
          <w:p w:rsidR="00FF2CD0" w:rsidRPr="00C203F3" w:rsidRDefault="00FF2CD0" w:rsidP="00FF2CD0">
            <w:pPr>
              <w:spacing w:before="3" w:after="0" w:line="240" w:lineRule="auto"/>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PI</w:t>
            </w:r>
          </w:p>
        </w:tc>
        <w:tc>
          <w:tcPr>
            <w:tcW w:w="2098"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Antiretroviral</w:t>
            </w:r>
          </w:p>
        </w:tc>
        <w:tc>
          <w:tcPr>
            <w:tcW w:w="190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pacing w:val="-15"/>
                <w:sz w:val="24"/>
                <w:szCs w:val="24"/>
              </w:rPr>
              <w:t>T</w:t>
            </w:r>
            <w:r w:rsidRPr="00C203F3">
              <w:rPr>
                <w:rFonts w:ascii="Arial Narrow" w:eastAsia="Times New Roman" w:hAnsi="Arial Narrow" w:cs="Times New Roman"/>
                <w:color w:val="231F20"/>
                <w:sz w:val="24"/>
                <w:szCs w:val="24"/>
              </w:rPr>
              <w:t>ake with meal or</w:t>
            </w:r>
          </w:p>
          <w:p w:rsidR="00FF2CD0" w:rsidRPr="00C203F3" w:rsidRDefault="00FF2CD0" w:rsidP="00FF2CD0">
            <w:pPr>
              <w:spacing w:before="3" w:after="0" w:line="242" w:lineRule="auto"/>
              <w:ind w:left="52" w:right="237"/>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light snack; take within two hours of a high fat meal and high calcium meal garlic supplements</w:t>
            </w:r>
          </w:p>
        </w:tc>
        <w:tc>
          <w:tcPr>
            <w:tcW w:w="1569"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St John</w:t>
            </w:r>
            <w:r w:rsidRPr="00C203F3">
              <w:rPr>
                <w:rFonts w:ascii="Arial Narrow" w:eastAsia="Times New Roman" w:hAnsi="Arial Narrow" w:cs="Times New Roman"/>
                <w:color w:val="231F20"/>
                <w:spacing w:val="-12"/>
                <w:sz w:val="24"/>
                <w:szCs w:val="24"/>
              </w:rPr>
              <w:t>’</w:t>
            </w:r>
            <w:r w:rsidRPr="00C203F3">
              <w:rPr>
                <w:rFonts w:ascii="Arial Narrow" w:eastAsia="Times New Roman" w:hAnsi="Arial Narrow" w:cs="Times New Roman"/>
                <w:color w:val="231F20"/>
                <w:sz w:val="24"/>
                <w:szCs w:val="24"/>
              </w:rPr>
              <w:t>s wort</w:t>
            </w:r>
          </w:p>
        </w:tc>
        <w:tc>
          <w:tcPr>
            <w:tcW w:w="2584" w:type="dxa"/>
            <w:tcBorders>
              <w:top w:val="single" w:sz="4" w:space="0" w:color="231F20"/>
              <w:left w:val="single" w:sz="4" w:space="0" w:color="231F20"/>
              <w:bottom w:val="single" w:sz="4" w:space="0" w:color="231F20"/>
              <w:right w:val="single" w:sz="4" w:space="0" w:color="231F20"/>
            </w:tcBorders>
            <w:shd w:val="clear" w:color="auto" w:fill="E4F5FD"/>
          </w:tcPr>
          <w:p w:rsidR="00FF2CD0" w:rsidRPr="00C203F3" w:rsidRDefault="00FF2CD0" w:rsidP="00FF2CD0">
            <w:pPr>
              <w:spacing w:after="0" w:line="252" w:lineRule="exact"/>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Mouth ulceration, taste</w:t>
            </w:r>
          </w:p>
          <w:p w:rsidR="00FF2CD0" w:rsidRPr="00C203F3" w:rsidRDefault="00FF2CD0" w:rsidP="00FF2CD0">
            <w:pPr>
              <w:spacing w:before="3" w:after="0" w:line="242" w:lineRule="auto"/>
              <w:ind w:left="52" w:right="87"/>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changes, nausea, vomiting, abdominal pain, diarrhoea, constipation, flatulence, weakness rash, headache; may increase the risk</w:t>
            </w:r>
          </w:p>
          <w:p w:rsidR="00FF2CD0" w:rsidRPr="00C203F3" w:rsidRDefault="00FF2CD0" w:rsidP="00FF2CD0">
            <w:pPr>
              <w:spacing w:after="0" w:line="240" w:lineRule="auto"/>
              <w:ind w:left="52"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of lipodystrophy</w:t>
            </w:r>
          </w:p>
        </w:tc>
      </w:tr>
    </w:tbl>
    <w:p w:rsidR="00FF2CD0" w:rsidRDefault="00FF2CD0" w:rsidP="00FF2CD0">
      <w:pPr>
        <w:spacing w:after="0"/>
        <w:rPr>
          <w:rFonts w:ascii="Arial Narrow" w:hAnsi="Arial Narrow"/>
          <w:sz w:val="24"/>
          <w:szCs w:val="24"/>
        </w:rPr>
      </w:pPr>
    </w:p>
    <w:p w:rsidR="00FF2CD0" w:rsidRDefault="00FF2CD0" w:rsidP="00FF2CD0">
      <w:pPr>
        <w:spacing w:after="0"/>
        <w:rPr>
          <w:rFonts w:ascii="Arial Narrow" w:hAnsi="Arial Narrow"/>
          <w:sz w:val="24"/>
          <w:szCs w:val="24"/>
        </w:rPr>
      </w:pPr>
    </w:p>
    <w:p w:rsidR="00FF2CD0" w:rsidRDefault="00FF2CD0" w:rsidP="00FF2CD0">
      <w:pPr>
        <w:spacing w:after="0"/>
        <w:rPr>
          <w:rFonts w:ascii="Arial Narrow" w:hAnsi="Arial Narrow"/>
          <w:sz w:val="24"/>
          <w:szCs w:val="24"/>
        </w:rPr>
      </w:pPr>
    </w:p>
    <w:p w:rsidR="00FF2CD0" w:rsidRDefault="00FF2CD0" w:rsidP="00FF2CD0">
      <w:pPr>
        <w:spacing w:after="0"/>
        <w:rPr>
          <w:rFonts w:ascii="Arial Narrow" w:hAnsi="Arial Narrow"/>
          <w:sz w:val="24"/>
          <w:szCs w:val="24"/>
        </w:rPr>
      </w:pPr>
    </w:p>
    <w:p w:rsidR="00FF2CD0" w:rsidRDefault="00FF2CD0" w:rsidP="00FF2CD0">
      <w:pPr>
        <w:spacing w:after="0"/>
        <w:rPr>
          <w:rFonts w:ascii="Arial Narrow" w:hAnsi="Arial Narrow"/>
          <w:sz w:val="24"/>
          <w:szCs w:val="24"/>
        </w:rPr>
      </w:pPr>
    </w:p>
    <w:p w:rsidR="00FF2CD0" w:rsidRDefault="00FF2CD0" w:rsidP="00FF2CD0">
      <w:pPr>
        <w:spacing w:after="0"/>
        <w:rPr>
          <w:rFonts w:ascii="Arial Narrow" w:hAnsi="Arial Narrow"/>
          <w:sz w:val="24"/>
          <w:szCs w:val="24"/>
        </w:rPr>
      </w:pPr>
    </w:p>
    <w:p w:rsidR="00FF2CD0" w:rsidRDefault="00FF2CD0" w:rsidP="00FF2CD0">
      <w:pPr>
        <w:spacing w:after="0"/>
        <w:rPr>
          <w:rFonts w:ascii="Arial Narrow" w:hAnsi="Arial Narrow"/>
          <w:sz w:val="24"/>
          <w:szCs w:val="24"/>
        </w:rPr>
      </w:pPr>
    </w:p>
    <w:p w:rsidR="00FF2CD0" w:rsidRDefault="00FF2CD0" w:rsidP="00FF2CD0">
      <w:pPr>
        <w:spacing w:after="0"/>
        <w:rPr>
          <w:rFonts w:ascii="Arial Narrow" w:hAnsi="Arial Narrow"/>
          <w:sz w:val="24"/>
          <w:szCs w:val="24"/>
        </w:rPr>
      </w:pPr>
    </w:p>
    <w:p w:rsidR="00FF2CD0" w:rsidRDefault="00FF2CD0" w:rsidP="00FF2CD0">
      <w:pPr>
        <w:spacing w:after="0"/>
        <w:rPr>
          <w:rFonts w:ascii="Arial Narrow" w:hAnsi="Arial Narrow"/>
          <w:sz w:val="24"/>
          <w:szCs w:val="24"/>
        </w:rPr>
      </w:pPr>
    </w:p>
    <w:p w:rsidR="00FF2CD0" w:rsidRDefault="00FF2CD0" w:rsidP="00FF2CD0">
      <w:pPr>
        <w:spacing w:after="0"/>
        <w:rPr>
          <w:rFonts w:ascii="Arial Narrow" w:hAnsi="Arial Narrow"/>
          <w:sz w:val="24"/>
          <w:szCs w:val="24"/>
        </w:rPr>
      </w:pPr>
    </w:p>
    <w:p w:rsidR="00FF2CD0" w:rsidRDefault="00FF2CD0" w:rsidP="00FF2CD0">
      <w:pPr>
        <w:spacing w:after="0"/>
        <w:rPr>
          <w:rFonts w:ascii="Arial Narrow" w:hAnsi="Arial Narrow"/>
          <w:sz w:val="24"/>
          <w:szCs w:val="24"/>
        </w:rPr>
      </w:pPr>
    </w:p>
    <w:p w:rsidR="00FF2CD0" w:rsidRDefault="00FF2CD0" w:rsidP="00FF2CD0">
      <w:pPr>
        <w:spacing w:after="0"/>
        <w:rPr>
          <w:rFonts w:ascii="Arial Narrow" w:hAnsi="Arial Narrow"/>
          <w:sz w:val="24"/>
          <w:szCs w:val="24"/>
        </w:rPr>
      </w:pPr>
    </w:p>
    <w:p w:rsidR="00FF2CD0" w:rsidRDefault="00FF2CD0" w:rsidP="00FF2CD0">
      <w:pPr>
        <w:spacing w:after="0"/>
        <w:rPr>
          <w:rFonts w:ascii="Arial Narrow" w:hAnsi="Arial Narrow"/>
          <w:sz w:val="24"/>
          <w:szCs w:val="24"/>
        </w:rPr>
      </w:pPr>
    </w:p>
    <w:p w:rsidR="00FF2CD0" w:rsidRDefault="00FF2CD0" w:rsidP="00FF2CD0">
      <w:pPr>
        <w:spacing w:after="0"/>
        <w:rPr>
          <w:rFonts w:ascii="Arial Narrow" w:hAnsi="Arial Narrow"/>
          <w:sz w:val="24"/>
          <w:szCs w:val="24"/>
        </w:rPr>
      </w:pPr>
    </w:p>
    <w:p w:rsidR="00FF2CD0" w:rsidRDefault="00FF2CD0" w:rsidP="00FF2CD0">
      <w:pPr>
        <w:pStyle w:val="Heading2"/>
      </w:pPr>
      <w:r w:rsidRPr="00235CDA">
        <w:t xml:space="preserve">          </w:t>
      </w:r>
      <w:r>
        <w:tab/>
      </w:r>
      <w:bookmarkStart w:id="1122" w:name="_Toc378258357"/>
      <w:bookmarkStart w:id="1123" w:name="_Toc382214196"/>
      <w:r w:rsidR="004C4B6C">
        <w:t>ANNEX: 9</w:t>
      </w:r>
      <w:bookmarkEnd w:id="1122"/>
      <w:r w:rsidR="004C4B6C" w:rsidRPr="00FF2CD0">
        <w:t xml:space="preserve"> </w:t>
      </w:r>
      <w:r w:rsidR="004C4B6C" w:rsidRPr="00235CDA">
        <w:t>MODERN MEDICATIONS AND RECOMMENDED</w:t>
      </w:r>
      <w:r w:rsidR="004C4B6C">
        <w:t xml:space="preserve"> FOOD INTAKES AND SIDE EFFECTS</w:t>
      </w:r>
      <w:bookmarkEnd w:id="1123"/>
    </w:p>
    <w:p w:rsidR="00FF2CD0" w:rsidRPr="00FF2CD0" w:rsidRDefault="00FF2CD0" w:rsidP="00FF2CD0"/>
    <w:tbl>
      <w:tblPr>
        <w:tblW w:w="9956" w:type="dxa"/>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1800"/>
        <w:gridCol w:w="1680"/>
        <w:gridCol w:w="3116"/>
      </w:tblGrid>
      <w:tr w:rsidR="00FF2CD0" w:rsidRPr="00C203F3" w:rsidTr="00FF2CD0">
        <w:tc>
          <w:tcPr>
            <w:tcW w:w="1800" w:type="dxa"/>
            <w:shd w:val="clear" w:color="auto" w:fill="00B0F0"/>
          </w:tcPr>
          <w:p w:rsidR="00FF2CD0" w:rsidRPr="00376D73" w:rsidRDefault="00FF2CD0" w:rsidP="00AA771C">
            <w:pPr>
              <w:autoSpaceDE w:val="0"/>
              <w:autoSpaceDN w:val="0"/>
              <w:adjustRightInd w:val="0"/>
              <w:spacing w:beforeLines="120" w:before="288" w:afterLines="120" w:after="288"/>
              <w:rPr>
                <w:rFonts w:ascii="Arial Narrow" w:hAnsi="Arial Narrow"/>
                <w:b/>
                <w:color w:val="FFFFFF" w:themeColor="background1"/>
                <w:sz w:val="24"/>
                <w:szCs w:val="24"/>
              </w:rPr>
            </w:pPr>
            <w:r w:rsidRPr="00235CDA">
              <w:t xml:space="preserve"> </w:t>
            </w:r>
            <w:r>
              <w:tab/>
            </w:r>
            <w:r w:rsidRPr="00376D73">
              <w:rPr>
                <w:rFonts w:ascii="Arial Narrow" w:hAnsi="Arial Narrow"/>
                <w:b/>
                <w:color w:val="FFFFFF" w:themeColor="background1"/>
                <w:sz w:val="24"/>
                <w:szCs w:val="24"/>
              </w:rPr>
              <w:t>Medication</w:t>
            </w:r>
          </w:p>
        </w:tc>
        <w:tc>
          <w:tcPr>
            <w:tcW w:w="1560" w:type="dxa"/>
            <w:shd w:val="clear" w:color="auto" w:fill="00B0F0"/>
          </w:tcPr>
          <w:p w:rsidR="00FF2CD0" w:rsidRPr="00376D73" w:rsidRDefault="00FF2CD0" w:rsidP="00AA771C">
            <w:pPr>
              <w:autoSpaceDE w:val="0"/>
              <w:autoSpaceDN w:val="0"/>
              <w:adjustRightInd w:val="0"/>
              <w:spacing w:beforeLines="120" w:before="288" w:afterLines="120" w:after="288"/>
              <w:rPr>
                <w:rFonts w:ascii="Arial Narrow" w:hAnsi="Arial Narrow"/>
                <w:b/>
                <w:color w:val="FFFFFF" w:themeColor="background1"/>
                <w:sz w:val="24"/>
                <w:szCs w:val="24"/>
              </w:rPr>
            </w:pPr>
            <w:r w:rsidRPr="00376D73">
              <w:rPr>
                <w:rFonts w:ascii="Arial Narrow" w:hAnsi="Arial Narrow"/>
                <w:b/>
                <w:color w:val="FFFFFF" w:themeColor="background1"/>
                <w:sz w:val="24"/>
                <w:szCs w:val="24"/>
              </w:rPr>
              <w:t>Purpose</w:t>
            </w:r>
          </w:p>
        </w:tc>
        <w:tc>
          <w:tcPr>
            <w:tcW w:w="1800" w:type="dxa"/>
            <w:shd w:val="clear" w:color="auto" w:fill="00B0F0"/>
          </w:tcPr>
          <w:p w:rsidR="00FF2CD0" w:rsidRPr="00376D73" w:rsidRDefault="00FF2CD0" w:rsidP="00AA771C">
            <w:pPr>
              <w:autoSpaceDE w:val="0"/>
              <w:autoSpaceDN w:val="0"/>
              <w:adjustRightInd w:val="0"/>
              <w:spacing w:beforeLines="120" w:before="288" w:afterLines="120" w:after="288"/>
              <w:rPr>
                <w:rFonts w:ascii="Arial Narrow" w:hAnsi="Arial Narrow"/>
                <w:b/>
                <w:color w:val="FFFFFF" w:themeColor="background1"/>
                <w:sz w:val="24"/>
                <w:szCs w:val="24"/>
              </w:rPr>
            </w:pPr>
            <w:r w:rsidRPr="00376D73">
              <w:rPr>
                <w:rFonts w:ascii="Arial Narrow" w:hAnsi="Arial Narrow"/>
                <w:b/>
                <w:color w:val="FFFFFF" w:themeColor="background1"/>
                <w:sz w:val="24"/>
                <w:szCs w:val="24"/>
              </w:rPr>
              <w:t>Nutrition Recommendations</w:t>
            </w:r>
          </w:p>
        </w:tc>
        <w:tc>
          <w:tcPr>
            <w:tcW w:w="1680" w:type="dxa"/>
            <w:shd w:val="clear" w:color="auto" w:fill="00B0F0"/>
          </w:tcPr>
          <w:p w:rsidR="00FF2CD0" w:rsidRPr="00376D73" w:rsidRDefault="00FF2CD0" w:rsidP="00AA771C">
            <w:pPr>
              <w:autoSpaceDE w:val="0"/>
              <w:autoSpaceDN w:val="0"/>
              <w:adjustRightInd w:val="0"/>
              <w:spacing w:beforeLines="120" w:before="288" w:afterLines="120" w:after="288"/>
              <w:ind w:hanging="108"/>
              <w:rPr>
                <w:rFonts w:ascii="Arial Narrow" w:hAnsi="Arial Narrow"/>
                <w:b/>
                <w:color w:val="FFFFFF" w:themeColor="background1"/>
                <w:sz w:val="24"/>
                <w:szCs w:val="24"/>
              </w:rPr>
            </w:pPr>
            <w:r w:rsidRPr="00376D73">
              <w:rPr>
                <w:rFonts w:ascii="Arial Narrow" w:hAnsi="Arial Narrow"/>
                <w:b/>
                <w:color w:val="FFFFFF" w:themeColor="background1"/>
                <w:sz w:val="24"/>
                <w:szCs w:val="24"/>
              </w:rPr>
              <w:t>Foods/Beverages / Herbs to Avoid</w:t>
            </w:r>
          </w:p>
        </w:tc>
        <w:tc>
          <w:tcPr>
            <w:tcW w:w="3116" w:type="dxa"/>
            <w:shd w:val="clear" w:color="auto" w:fill="00B0F0"/>
          </w:tcPr>
          <w:p w:rsidR="00FF2CD0" w:rsidRPr="00376D73" w:rsidRDefault="00FF2CD0" w:rsidP="00AA771C">
            <w:pPr>
              <w:autoSpaceDE w:val="0"/>
              <w:autoSpaceDN w:val="0"/>
              <w:adjustRightInd w:val="0"/>
              <w:spacing w:beforeLines="120" w:before="288" w:afterLines="120" w:after="288"/>
              <w:rPr>
                <w:rFonts w:ascii="Arial Narrow" w:hAnsi="Arial Narrow"/>
                <w:b/>
                <w:color w:val="FFFFFF" w:themeColor="background1"/>
                <w:sz w:val="24"/>
                <w:szCs w:val="24"/>
              </w:rPr>
            </w:pPr>
            <w:r w:rsidRPr="00376D73">
              <w:rPr>
                <w:rFonts w:ascii="Arial Narrow" w:hAnsi="Arial Narrow"/>
                <w:b/>
                <w:color w:val="FFFFFF" w:themeColor="background1"/>
                <w:sz w:val="24"/>
                <w:szCs w:val="24"/>
              </w:rPr>
              <w:t>Potential Side Effects</w:t>
            </w:r>
          </w:p>
        </w:tc>
      </w:tr>
      <w:tr w:rsidR="00FF2CD0" w:rsidRPr="00C203F3" w:rsidTr="00FF2CD0">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Sulfonamides:</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Sulfamethoxazole,</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Cotrimoxazole</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56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Antibiotic</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for treating</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pneumonia and</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toxoplasmosis</w:t>
            </w:r>
          </w:p>
        </w:tc>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Take with food</w:t>
            </w:r>
          </w:p>
        </w:tc>
        <w:tc>
          <w:tcPr>
            <w:tcW w:w="168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3116"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Nausea, vomiting, abdominal</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Pain</w:t>
            </w:r>
          </w:p>
        </w:tc>
      </w:tr>
      <w:tr w:rsidR="00FF2CD0" w:rsidRPr="00C203F3" w:rsidTr="00FF2CD0">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Rifampin</w:t>
            </w:r>
          </w:p>
        </w:tc>
        <w:tc>
          <w:tcPr>
            <w:tcW w:w="156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Treatment of</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TB</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On an empty stomach one hour before or two hours after meals</w:t>
            </w:r>
          </w:p>
        </w:tc>
        <w:tc>
          <w:tcPr>
            <w:tcW w:w="168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Alcohol</w:t>
            </w:r>
          </w:p>
        </w:tc>
        <w:tc>
          <w:tcPr>
            <w:tcW w:w="3116"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Nausea, vomiting, diarrhoea, loss</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of appetite</w:t>
            </w:r>
          </w:p>
        </w:tc>
      </w:tr>
      <w:tr w:rsidR="00FF2CD0" w:rsidRPr="00C203F3" w:rsidTr="00FF2CD0">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 xml:space="preserve">Isoniazid </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56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Treatment of</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TB</w:t>
            </w:r>
          </w:p>
        </w:tc>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One hour before or two hours after meals</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Supplement with</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10 mg vitamin B6</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daily</w:t>
            </w:r>
          </w:p>
        </w:tc>
        <w:tc>
          <w:tcPr>
            <w:tcW w:w="168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Alcohol</w:t>
            </w:r>
          </w:p>
        </w:tc>
        <w:tc>
          <w:tcPr>
            <w:tcW w:w="3116"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Anorexia, diarrhoea; may cause possible reactions with foods such as bananas, beer, avocados, liver, smoked or pickled fish, yeast, yogurt; may interfere with vitamin B6 metabolism, therefore will require vitamin B6 supplement to prevent peripheral neuropathy and anaemia</w:t>
            </w:r>
          </w:p>
        </w:tc>
      </w:tr>
      <w:tr w:rsidR="00FF2CD0" w:rsidRPr="00C203F3" w:rsidTr="00FF2CD0">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 xml:space="preserve">Quinine </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56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Treatment of</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Malaria</w:t>
            </w:r>
          </w:p>
        </w:tc>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With food</w:t>
            </w:r>
          </w:p>
        </w:tc>
        <w:tc>
          <w:tcPr>
            <w:tcW w:w="168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3116"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Abdominal or stomach pain, diarrhea, nausea, vomiting; lower</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blood sugar</w:t>
            </w:r>
          </w:p>
        </w:tc>
      </w:tr>
      <w:tr w:rsidR="00FF2CD0" w:rsidRPr="00C203F3" w:rsidTr="00FF2CD0">
        <w:trPr>
          <w:trHeight w:val="1385"/>
        </w:trPr>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Sulfadoxine and Pyrimethamine</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(Fansidar ®)</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56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Treatment of</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Malaria</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Pyrimethamine</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is also used</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to treat</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toxoplasmosis</w:t>
            </w:r>
          </w:p>
        </w:tc>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With food and consume large quantities of water</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Supplement daily with folinic acid (leucovorin), the active form of folate (5-10 mg/ day)</w:t>
            </w:r>
          </w:p>
        </w:tc>
        <w:tc>
          <w:tcPr>
            <w:tcW w:w="168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3116"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Nausea, vomiting, taste loss and diarrhoea; not recommended if folate deficient; not recommended for breastfeeding women</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r>
      <w:tr w:rsidR="00FF2CD0" w:rsidRPr="00C203F3" w:rsidTr="00FF2CD0">
        <w:trPr>
          <w:trHeight w:val="413"/>
        </w:trPr>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 xml:space="preserve">Fluconazole </w:t>
            </w:r>
          </w:p>
        </w:tc>
        <w:tc>
          <w:tcPr>
            <w:tcW w:w="156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Treatment of</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Thrush</w:t>
            </w:r>
          </w:p>
        </w:tc>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With food</w:t>
            </w:r>
          </w:p>
        </w:tc>
        <w:tc>
          <w:tcPr>
            <w:tcW w:w="168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3116"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Nausea, vomiting, diarrhea; can be used during breastfeeding</w:t>
            </w:r>
          </w:p>
        </w:tc>
      </w:tr>
      <w:tr w:rsidR="00FF2CD0" w:rsidRPr="00C203F3" w:rsidTr="00FF2CD0">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 xml:space="preserve">Nystatin ® </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56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Treatment of thrush</w:t>
            </w:r>
          </w:p>
        </w:tc>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With food</w:t>
            </w:r>
          </w:p>
        </w:tc>
        <w:tc>
          <w:tcPr>
            <w:tcW w:w="168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3116"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Infrequent occurrence of</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diarrhea, vomiting, nausea</w:t>
            </w:r>
          </w:p>
        </w:tc>
      </w:tr>
      <w:tr w:rsidR="00FF2CD0" w:rsidRPr="00C203F3" w:rsidTr="00FF2CD0">
        <w:tc>
          <w:tcPr>
            <w:tcW w:w="9956" w:type="dxa"/>
            <w:gridSpan w:val="5"/>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b/>
                <w:bCs/>
                <w:sz w:val="24"/>
                <w:szCs w:val="24"/>
              </w:rPr>
              <w:t>Antiretroviral drugs</w:t>
            </w:r>
          </w:p>
        </w:tc>
      </w:tr>
      <w:tr w:rsidR="00FF2CD0" w:rsidRPr="00C203F3" w:rsidTr="00FF2CD0">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Abacavir (ABC)</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NNRTI</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56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Antiretroviral</w:t>
            </w:r>
          </w:p>
        </w:tc>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Can be taken</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without regard to</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food</w:t>
            </w:r>
          </w:p>
        </w:tc>
        <w:tc>
          <w:tcPr>
            <w:tcW w:w="168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3116"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Nausea, vomiting, fever, allergic reaction, anorexia, abdominal pain, diarrhoea, anaemia, rash, hypotension, pancreatitis, dyspnea, weakness and insomnia, cough, headache</w:t>
            </w:r>
          </w:p>
        </w:tc>
      </w:tr>
      <w:tr w:rsidR="00FF2CD0" w:rsidRPr="00C203F3" w:rsidTr="00FF2CD0">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Lamivudine (3TC)</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NNRTI</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56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Antiretroviral</w:t>
            </w:r>
          </w:p>
        </w:tc>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Can be taken</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without regard to</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food</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68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Alcohol</w:t>
            </w:r>
          </w:p>
        </w:tc>
        <w:tc>
          <w:tcPr>
            <w:tcW w:w="3116"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Nausea, vomiting, headache, dizziness, diarrhoea, abdominal pain, nasal symptoms, cough, fatigue, pancreatitis, anaemia, insomnia, muscle pain, and rash</w:t>
            </w:r>
          </w:p>
        </w:tc>
      </w:tr>
      <w:tr w:rsidR="00FF2CD0" w:rsidRPr="00C203F3" w:rsidTr="00FF2CD0">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Stavudine (d4T)</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NNRTI</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56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Antiretroviral</w:t>
            </w:r>
          </w:p>
        </w:tc>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Can be taken</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without regard to</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food</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68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Limit</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alcohol</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3116"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Nausea, vomiting, diarrhea,</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peripheral neuropathy, chills and fever, anorexia, stomatitis, diarrhoea, anaemia, headaches, rash, bone marrow, and pancreatitis</w:t>
            </w:r>
          </w:p>
        </w:tc>
      </w:tr>
      <w:tr w:rsidR="00FF2CD0" w:rsidRPr="00C203F3" w:rsidTr="00FF2CD0">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Zidovudine (AZT)</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NNRTI</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56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Antiretroviral</w:t>
            </w:r>
          </w:p>
        </w:tc>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Can be taken with</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food, but do not</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take with a high</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fat meal</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68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Alcohol</w:t>
            </w:r>
          </w:p>
        </w:tc>
        <w:tc>
          <w:tcPr>
            <w:tcW w:w="3116"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Anorexia, anaemia, nausea,</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vomiting, bone marrow</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suppression, headache, fatigue, constipation, fever dizziness, dyspnea, insomnia, muscle pain, rash</w:t>
            </w:r>
          </w:p>
        </w:tc>
      </w:tr>
      <w:tr w:rsidR="00FF2CD0" w:rsidRPr="00C203F3" w:rsidTr="00FF2CD0">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Efavirenz</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NRTI</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56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Antiretroviral</w:t>
            </w:r>
          </w:p>
        </w:tc>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Can be taken with</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food, but do not</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take with a high</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fat meal</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68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Alcohol</w:t>
            </w:r>
          </w:p>
        </w:tc>
        <w:tc>
          <w:tcPr>
            <w:tcW w:w="3116"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Elevated blood cholesterol</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levels, elevated triglycerides</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levels, rash, dizziness, anorexia, nausea, vomiting, diarrhoea, dyspepsia, abdominal pain, flatulence</w:t>
            </w:r>
          </w:p>
        </w:tc>
      </w:tr>
      <w:tr w:rsidR="00FF2CD0" w:rsidRPr="00C203F3" w:rsidTr="00FF2CD0">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Tenofovir (TDF)</w:t>
            </w:r>
          </w:p>
        </w:tc>
        <w:tc>
          <w:tcPr>
            <w:tcW w:w="156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68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3116"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r>
      <w:tr w:rsidR="00FF2CD0" w:rsidRPr="00C203F3" w:rsidTr="00FF2CD0">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Nevirapine (NVP)</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NRTI</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56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Antiretroviral</w:t>
            </w:r>
          </w:p>
        </w:tc>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Can be taken</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without regard to</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food</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68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St John’s wort</w:t>
            </w:r>
          </w:p>
        </w:tc>
        <w:tc>
          <w:tcPr>
            <w:tcW w:w="3116"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Nausea, vomiting rash, fever, headache, skin reactions, fatigue, stomatitis, abdominal pain, drowsiness, paresthesia; high hepatoxicity</w:t>
            </w:r>
          </w:p>
        </w:tc>
      </w:tr>
      <w:tr w:rsidR="00FF2CD0" w:rsidRPr="00C203F3" w:rsidTr="00FF2CD0">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Lopinavir</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PI</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56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Antiretroviral</w:t>
            </w:r>
          </w:p>
        </w:tc>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Can be taken</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without regard to</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food</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68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St John’s wort</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3116"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Abdominal pain, diarrhoea,</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headaches, headache, weakness, nausea; may increase the risk of lipodystrophy and or diabetes</w:t>
            </w:r>
          </w:p>
        </w:tc>
      </w:tr>
      <w:tr w:rsidR="00FF2CD0" w:rsidRPr="00C203F3" w:rsidTr="00FF2CD0">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Nelfinavir</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PI</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56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Antiretroviral</w:t>
            </w:r>
          </w:p>
        </w:tc>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Take with meal or</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light snack</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68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St John’s</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wort</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3116"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Diarrhea, flatulence, nausea, abdominal pain, rash; may increase the risk of lipodystrophy</w:t>
            </w:r>
          </w:p>
        </w:tc>
      </w:tr>
      <w:tr w:rsidR="00FF2CD0" w:rsidRPr="00C203F3" w:rsidTr="00FF2CD0">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Ritonavir</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PI</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56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Antiretroviral</w:t>
            </w:r>
          </w:p>
        </w:tc>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Take with meal if</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possible</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68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St John’s wort</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3116"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Nausea, vomiting, diarrhoea,</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hepatitis, jaundice, weakness, anorexia, abdominal pain, fever, diabetes, headache, dizziness; may increase the risk of lipodystrophy</w:t>
            </w:r>
          </w:p>
        </w:tc>
      </w:tr>
      <w:tr w:rsidR="00FF2CD0" w:rsidRPr="00C203F3" w:rsidTr="00FF2CD0">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Saquinavir</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PI</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156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Antiretroviral</w:t>
            </w:r>
          </w:p>
        </w:tc>
        <w:tc>
          <w:tcPr>
            <w:tcW w:w="180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Take with meal or</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light snack; take</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within two hours</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of a high fat meal</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and high calcium</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meal Garlic supplements</w:t>
            </w:r>
          </w:p>
        </w:tc>
        <w:tc>
          <w:tcPr>
            <w:tcW w:w="1680"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St John’s wort</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p>
        </w:tc>
        <w:tc>
          <w:tcPr>
            <w:tcW w:w="3116" w:type="dxa"/>
          </w:tcPr>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Mouth ulceration, taste changes, nausea, vomiting, abdominal pain, diarrhoea, constipation, flatulence, weakness rash, headache; may increase the risk</w:t>
            </w:r>
          </w:p>
          <w:p w:rsidR="00FF2CD0" w:rsidRPr="00C203F3" w:rsidRDefault="00FF2CD0" w:rsidP="00AA771C">
            <w:pPr>
              <w:autoSpaceDE w:val="0"/>
              <w:autoSpaceDN w:val="0"/>
              <w:adjustRightInd w:val="0"/>
              <w:spacing w:beforeLines="120" w:before="288" w:afterLines="120" w:after="288"/>
              <w:jc w:val="both"/>
              <w:rPr>
                <w:rFonts w:ascii="Arial Narrow" w:hAnsi="Arial Narrow"/>
                <w:sz w:val="24"/>
                <w:szCs w:val="24"/>
              </w:rPr>
            </w:pPr>
            <w:r w:rsidRPr="00C203F3">
              <w:rPr>
                <w:rFonts w:ascii="Arial Narrow" w:hAnsi="Arial Narrow"/>
                <w:sz w:val="24"/>
                <w:szCs w:val="24"/>
              </w:rPr>
              <w:t>of lipodystrophy</w:t>
            </w:r>
          </w:p>
        </w:tc>
      </w:tr>
    </w:tbl>
    <w:p w:rsidR="00FF2CD0" w:rsidRPr="00C203F3" w:rsidRDefault="00FF2CD0" w:rsidP="00FF2CD0">
      <w:pPr>
        <w:spacing w:after="0"/>
        <w:rPr>
          <w:rFonts w:ascii="Arial Narrow" w:hAnsi="Arial Narrow"/>
          <w:sz w:val="24"/>
          <w:szCs w:val="24"/>
        </w:rPr>
        <w:sectPr w:rsidR="00FF2CD0" w:rsidRPr="00C203F3">
          <w:pgSz w:w="12760" w:h="9240" w:orient="landscape"/>
          <w:pgMar w:top="420" w:right="0" w:bottom="280" w:left="0" w:header="0" w:footer="0" w:gutter="0"/>
          <w:cols w:space="720"/>
        </w:sectPr>
      </w:pPr>
    </w:p>
    <w:p w:rsidR="00FF2CD0" w:rsidRPr="00C203F3" w:rsidRDefault="00AA771C" w:rsidP="00FF2CD0">
      <w:pPr>
        <w:pStyle w:val="Heading2"/>
        <w:tabs>
          <w:tab w:val="left" w:pos="720"/>
          <w:tab w:val="left" w:pos="1440"/>
          <w:tab w:val="left" w:pos="2160"/>
          <w:tab w:val="right" w:pos="9240"/>
        </w:tabs>
        <w:ind w:firstLine="720"/>
        <w:rPr>
          <w:rFonts w:ascii="Arial Narrow" w:eastAsia="Arial" w:hAnsi="Arial Narrow"/>
          <w:sz w:val="24"/>
          <w:szCs w:val="24"/>
        </w:rPr>
      </w:pPr>
      <w:r>
        <w:rPr>
          <w:rFonts w:ascii="Arial Narrow" w:hAnsi="Arial Narrow"/>
          <w:noProof/>
          <w:sz w:val="24"/>
          <w:szCs w:val="24"/>
        </w:rPr>
        <mc:AlternateContent>
          <mc:Choice Requires="wpg">
            <w:drawing>
              <wp:anchor distT="0" distB="0" distL="114300" distR="114300" simplePos="0" relativeHeight="251783168" behindDoc="1" locked="0" layoutInCell="1" allowOverlap="1">
                <wp:simplePos x="0" y="0"/>
                <wp:positionH relativeFrom="page">
                  <wp:posOffset>4150360</wp:posOffset>
                </wp:positionH>
                <wp:positionV relativeFrom="paragraph">
                  <wp:posOffset>475615</wp:posOffset>
                </wp:positionV>
                <wp:extent cx="724535" cy="723900"/>
                <wp:effectExtent l="0" t="0" r="1905" b="635"/>
                <wp:wrapNone/>
                <wp:docPr id="5"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535" cy="723900"/>
                          <a:chOff x="6536" y="749"/>
                          <a:chExt cx="1141" cy="1140"/>
                        </a:xfrm>
                      </wpg:grpSpPr>
                      <wps:wsp>
                        <wps:cNvPr id="10" name="Picture 251"/>
                        <wps:cNvSpPr>
                          <a:spLocks noChangeAspect="1" noChangeArrowheads="1"/>
                        </wps:cNvSpPr>
                        <wps:spPr bwMode="auto">
                          <a:xfrm>
                            <a:off x="6536" y="1625"/>
                            <a:ext cx="1141" cy="26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Picture 250"/>
                        <wps:cNvSpPr>
                          <a:spLocks noChangeAspect="1" noChangeArrowheads="1"/>
                        </wps:cNvSpPr>
                        <wps:spPr bwMode="auto">
                          <a:xfrm>
                            <a:off x="6576" y="1409"/>
                            <a:ext cx="870" cy="25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Picture 249"/>
                        <wps:cNvSpPr>
                          <a:spLocks noChangeAspect="1" noChangeArrowheads="1"/>
                        </wps:cNvSpPr>
                        <wps:spPr bwMode="auto">
                          <a:xfrm>
                            <a:off x="6578" y="1381"/>
                            <a:ext cx="1041" cy="25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Picture 248"/>
                        <wps:cNvSpPr>
                          <a:spLocks noChangeAspect="1" noChangeArrowheads="1"/>
                        </wps:cNvSpPr>
                        <wps:spPr bwMode="auto">
                          <a:xfrm>
                            <a:off x="7367" y="1295"/>
                            <a:ext cx="277" cy="11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Picture 247"/>
                        <wps:cNvSpPr>
                          <a:spLocks noChangeAspect="1" noChangeArrowheads="1"/>
                        </wps:cNvSpPr>
                        <wps:spPr bwMode="auto">
                          <a:xfrm>
                            <a:off x="6576" y="1283"/>
                            <a:ext cx="722" cy="11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Picture 246"/>
                        <wps:cNvSpPr>
                          <a:spLocks noChangeAspect="1" noChangeArrowheads="1"/>
                        </wps:cNvSpPr>
                        <wps:spPr bwMode="auto">
                          <a:xfrm>
                            <a:off x="6556" y="1221"/>
                            <a:ext cx="749" cy="17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Picture 245"/>
                        <wps:cNvSpPr>
                          <a:spLocks noChangeAspect="1" noChangeArrowheads="1"/>
                        </wps:cNvSpPr>
                        <wps:spPr bwMode="auto">
                          <a:xfrm>
                            <a:off x="6743" y="1117"/>
                            <a:ext cx="908" cy="26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Picture 244"/>
                        <wps:cNvSpPr>
                          <a:spLocks noChangeAspect="1" noChangeArrowheads="1"/>
                        </wps:cNvSpPr>
                        <wps:spPr bwMode="auto">
                          <a:xfrm>
                            <a:off x="6583" y="993"/>
                            <a:ext cx="1035" cy="22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Picture 243"/>
                        <wps:cNvSpPr>
                          <a:spLocks noChangeAspect="1" noChangeArrowheads="1"/>
                        </wps:cNvSpPr>
                        <wps:spPr bwMode="auto">
                          <a:xfrm>
                            <a:off x="6608" y="901"/>
                            <a:ext cx="237" cy="1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Picture 242"/>
                        <wps:cNvSpPr>
                          <a:spLocks noChangeAspect="1" noChangeArrowheads="1"/>
                        </wps:cNvSpPr>
                        <wps:spPr bwMode="auto">
                          <a:xfrm>
                            <a:off x="6840" y="771"/>
                            <a:ext cx="517" cy="27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Picture 241"/>
                        <wps:cNvSpPr>
                          <a:spLocks noChangeAspect="1" noChangeArrowheads="1"/>
                        </wps:cNvSpPr>
                        <wps:spPr bwMode="auto">
                          <a:xfrm>
                            <a:off x="6765" y="987"/>
                            <a:ext cx="35" cy="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Picture 240"/>
                        <wps:cNvSpPr>
                          <a:spLocks noChangeAspect="1" noChangeArrowheads="1"/>
                        </wps:cNvSpPr>
                        <wps:spPr bwMode="auto">
                          <a:xfrm>
                            <a:off x="7357" y="853"/>
                            <a:ext cx="187" cy="14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Picture 239"/>
                        <wps:cNvSpPr>
                          <a:spLocks noChangeAspect="1" noChangeArrowheads="1"/>
                        </wps:cNvSpPr>
                        <wps:spPr bwMode="auto">
                          <a:xfrm>
                            <a:off x="6713" y="837"/>
                            <a:ext cx="140" cy="6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Picture 238"/>
                        <wps:cNvSpPr>
                          <a:spLocks noChangeAspect="1" noChangeArrowheads="1"/>
                        </wps:cNvSpPr>
                        <wps:spPr bwMode="auto">
                          <a:xfrm>
                            <a:off x="6945" y="749"/>
                            <a:ext cx="348" cy="15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026" style="position:absolute;margin-left:326.8pt;margin-top:37.45pt;width:57.05pt;height:57pt;z-index:-251533312;mso-position-horizontal-relative:page" coordorigin="6536,749" coordsize="1141,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">
                <v:rect id="Picture 251" o:spid="_x0000_s1027" style="position:absolute;left:6536;top:1625;width:1141;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o:lock v:ext="edit" aspectratio="t"/>
                </v:rect>
                <v:rect id="Picture 250" o:spid="_x0000_s1028" style="position:absolute;left:6576;top:1409;width:87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o:lock v:ext="edit" aspectratio="t"/>
                </v:rect>
                <v:rect id="Picture 249" o:spid="_x0000_s1029" style="position:absolute;left:6578;top:1381;width:104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o:lock v:ext="edit" aspectratio="t"/>
                </v:rect>
                <v:rect id="Picture 248" o:spid="_x0000_s1030" style="position:absolute;left:7367;top:1295;width:277;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a8IA&#10;AADbAAAADwAAAGRycy9kb3ducmV2LnhtbERPTWvCQBC9C/6HZYReRDftQUvMRkSQhlIQY+t5yE6T&#10;0OxszG6T9N+7gtDbPN7nJNvRNKKnztWWFTwvIxDEhdU1lwo+z4fFKwjnkTU2lknBHznYptNJgrG2&#10;A5+oz30pQgi7GBVU3rexlK6oyKBb2pY4cN+2M+gD7EqpOxxCuGnkSxStpMGaQ0OFLe0rKn7yX6Ng&#10;KI795fzxJo/zS2b5ml33+de7Uk+zcbcB4Wn0/+KHO9Nh/hr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W9rwgAAANsAAAAPAAAAAAAAAAAAAAAAAJgCAABkcnMvZG93&#10;bnJldi54bWxQSwUGAAAAAAQABAD1AAAAhwMAAAAA&#10;" filled="f" stroked="f">
                  <o:lock v:ext="edit" aspectratio="t"/>
                </v:rect>
                <v:rect id="Picture 247" o:spid="_x0000_s1031" style="position:absolute;left:6576;top:1283;width:722;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7GcQA&#10;AADbAAAADwAAAGRycy9kb3ducmV2LnhtbESPQWvCQBCF7wX/wzKCl1I39VAkdRURpEEKYmw9D9lp&#10;Epqdjdk1Sf995yB4m+G9ee+b1WZ0jeqpC7VnA6/zBBRx4W3NpYGv8/5lCSpEZIuNZzLwRwE268nT&#10;ClPrBz5Rn8dSSQiHFA1UMbap1qGoyGGY+5ZYtB/fOYyydqW2HQ4S7hq9SJI37bBmaaiwpV1FxW9+&#10;cwaG4thfzp8f+vh8yTxfs+su/z4YM5uO23dQkcb4MN+vM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xnEAAAA2wAAAA8AAAAAAAAAAAAAAAAAmAIAAGRycy9k&#10;b3ducmV2LnhtbFBLBQYAAAAABAAEAPUAAACJAwAAAAA=&#10;" filled="f" stroked="f">
                  <o:lock v:ext="edit" aspectratio="t"/>
                </v:rect>
                <v:rect id="Picture 246" o:spid="_x0000_s1032" style="position:absolute;left:6556;top:1221;width:749;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o:lock v:ext="edit" aspectratio="t"/>
                </v:rect>
                <v:rect id="Picture 245" o:spid="_x0000_s1033" style="position:absolute;left:6743;top:1117;width:90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o:lock v:ext="edit" aspectratio="t"/>
                </v:rect>
                <v:rect id="Picture 244" o:spid="_x0000_s1034" style="position:absolute;left:6583;top:993;width:1035;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o:lock v:ext="edit" aspectratio="t"/>
                </v:rect>
                <v:rect id="Picture 243" o:spid="_x0000_s1035" style="position:absolute;left:6608;top:901;width:237;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o:lock v:ext="edit" aspectratio="t"/>
                </v:rect>
                <v:rect id="Picture 242" o:spid="_x0000_s1036" style="position:absolute;left:6840;top:771;width:517;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1cQA&#10;AADbAAAADwAAAGRycy9kb3ducmV2LnhtbESPQWvCQBSE74X+h+UVvBTd1EI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o9XEAAAA2wAAAA8AAAAAAAAAAAAAAAAAmAIAAGRycy9k&#10;b3ducmV2LnhtbFBLBQYAAAAABAAEAPUAAACJAwAAAAA=&#10;" filled="f" stroked="f">
                  <o:lock v:ext="edit" aspectratio="t"/>
                </v:rect>
                <v:rect id="Picture 241" o:spid="_x0000_s1037" style="position:absolute;left:6765;top:987;width:3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7ocQA&#10;AADbAAAADwAAAGRycy9kb3ducmV2LnhtbESPQWvCQBSE74X+h+UVvBTdVEo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O6HEAAAA2wAAAA8AAAAAAAAAAAAAAAAAmAIAAGRycy9k&#10;b3ducmV2LnhtbFBLBQYAAAAABAAEAPUAAACJAwAAAAA=&#10;" filled="f" stroked="f">
                  <o:lock v:ext="edit" aspectratio="t"/>
                </v:rect>
                <v:rect id="Picture 240" o:spid="_x0000_s1038" style="position:absolute;left:7357;top:853;width:187;height: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o:lock v:ext="edit" aspectratio="t"/>
                </v:rect>
                <v:rect id="Picture 239" o:spid="_x0000_s1039" style="position:absolute;left:6713;top:837;width:140;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o:lock v:ext="edit" aspectratio="t"/>
                </v:rect>
                <v:rect id="Picture 238" o:spid="_x0000_s1040" style="position:absolute;left:6945;top:749;width:34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o:lock v:ext="edit" aspectratio="t"/>
                </v:rect>
                <w10:wrap anchorx="page"/>
              </v:group>
            </w:pict>
          </mc:Fallback>
        </mc:AlternateContent>
      </w:r>
      <w:bookmarkStart w:id="1124" w:name="_Toc378258359"/>
      <w:bookmarkStart w:id="1125" w:name="_Toc382214197"/>
      <w:r w:rsidR="00FF2CD0" w:rsidRPr="00C203F3">
        <w:rPr>
          <w:rFonts w:ascii="Arial Narrow" w:eastAsia="Arial" w:hAnsi="Arial Narrow"/>
          <w:sz w:val="24"/>
          <w:szCs w:val="24"/>
        </w:rPr>
        <w:t xml:space="preserve">ANNEX </w:t>
      </w:r>
      <w:r w:rsidR="00FF2CD0">
        <w:rPr>
          <w:rFonts w:ascii="Arial Narrow" w:eastAsia="Arial" w:hAnsi="Arial Narrow"/>
          <w:sz w:val="24"/>
          <w:szCs w:val="24"/>
        </w:rPr>
        <w:t>10</w:t>
      </w:r>
      <w:r w:rsidR="00FF2CD0" w:rsidRPr="00C203F3">
        <w:rPr>
          <w:rFonts w:ascii="Arial Narrow" w:eastAsia="Arial" w:hAnsi="Arial Narrow"/>
          <w:sz w:val="24"/>
          <w:szCs w:val="24"/>
        </w:rPr>
        <w:t>.</w:t>
      </w:r>
      <w:bookmarkEnd w:id="1124"/>
      <w:r w:rsidR="00FF2CD0" w:rsidRPr="00C203F3">
        <w:rPr>
          <w:rFonts w:ascii="Arial Narrow" w:eastAsia="Arial" w:hAnsi="Arial Narrow"/>
          <w:sz w:val="24"/>
          <w:szCs w:val="24"/>
        </w:rPr>
        <w:tab/>
      </w:r>
      <w:bookmarkStart w:id="1126" w:name="_Toc378258360"/>
      <w:r w:rsidR="00FF2CD0" w:rsidRPr="00C203F3">
        <w:rPr>
          <w:rFonts w:ascii="Arial Narrow" w:eastAsia="Arial" w:hAnsi="Arial Narrow"/>
          <w:sz w:val="24"/>
          <w:szCs w:val="24"/>
        </w:rPr>
        <w:t xml:space="preserve">TB SCREENING </w:t>
      </w:r>
      <w:r w:rsidR="00FF2CD0" w:rsidRPr="00C203F3">
        <w:rPr>
          <w:rFonts w:ascii="Arial Narrow" w:eastAsia="Arial" w:hAnsi="Arial Narrow"/>
          <w:spacing w:val="-5"/>
          <w:sz w:val="24"/>
          <w:szCs w:val="24"/>
        </w:rPr>
        <w:t>T</w:t>
      </w:r>
      <w:r w:rsidR="00FF2CD0" w:rsidRPr="00C203F3">
        <w:rPr>
          <w:rFonts w:ascii="Arial Narrow" w:eastAsia="Arial" w:hAnsi="Arial Narrow"/>
          <w:sz w:val="24"/>
          <w:szCs w:val="24"/>
        </w:rPr>
        <w:t xml:space="preserve">OOLS FOR HIV/AIDS </w:t>
      </w:r>
      <w:r w:rsidR="00FF2CD0" w:rsidRPr="00C203F3">
        <w:rPr>
          <w:rFonts w:ascii="Arial Narrow" w:eastAsia="Arial" w:hAnsi="Arial Narrow"/>
          <w:spacing w:val="-19"/>
          <w:sz w:val="24"/>
          <w:szCs w:val="24"/>
        </w:rPr>
        <w:t>PA</w:t>
      </w:r>
      <w:r w:rsidR="00FF2CD0" w:rsidRPr="00C203F3">
        <w:rPr>
          <w:rFonts w:ascii="Arial Narrow" w:eastAsia="Arial" w:hAnsi="Arial Narrow"/>
          <w:sz w:val="24"/>
          <w:szCs w:val="24"/>
        </w:rPr>
        <w:t>TIENTS</w:t>
      </w:r>
      <w:bookmarkEnd w:id="1125"/>
      <w:bookmarkEnd w:id="1126"/>
    </w:p>
    <w:p w:rsidR="00FF2CD0" w:rsidRPr="00C203F3" w:rsidRDefault="00FF2CD0" w:rsidP="00FF2CD0">
      <w:pPr>
        <w:spacing w:after="0" w:line="196" w:lineRule="exact"/>
        <w:ind w:left="874"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MINIST</w:t>
      </w:r>
      <w:r w:rsidRPr="00C203F3">
        <w:rPr>
          <w:rFonts w:ascii="Arial Narrow" w:eastAsia="Times New Roman" w:hAnsi="Arial Narrow" w:cs="Times New Roman"/>
          <w:color w:val="231F20"/>
          <w:spacing w:val="-12"/>
          <w:sz w:val="24"/>
          <w:szCs w:val="24"/>
        </w:rPr>
        <w:t>R</w:t>
      </w:r>
      <w:r w:rsidRPr="00C203F3">
        <w:rPr>
          <w:rFonts w:ascii="Arial Narrow" w:eastAsia="Times New Roman" w:hAnsi="Arial Narrow" w:cs="Times New Roman"/>
          <w:color w:val="231F20"/>
          <w:sz w:val="24"/>
          <w:szCs w:val="24"/>
        </w:rPr>
        <w:t>YOF HEA</w:t>
      </w:r>
      <w:r w:rsidRPr="00C203F3">
        <w:rPr>
          <w:rFonts w:ascii="Arial Narrow" w:eastAsia="Times New Roman" w:hAnsi="Arial Narrow" w:cs="Times New Roman"/>
          <w:color w:val="231F20"/>
          <w:spacing w:val="-20"/>
          <w:sz w:val="24"/>
          <w:szCs w:val="24"/>
        </w:rPr>
        <w:t>L</w:t>
      </w:r>
      <w:r w:rsidRPr="00C203F3">
        <w:rPr>
          <w:rFonts w:ascii="Arial Narrow" w:eastAsia="Times New Roman" w:hAnsi="Arial Narrow" w:cs="Times New Roman"/>
          <w:color w:val="231F20"/>
          <w:sz w:val="24"/>
          <w:szCs w:val="24"/>
        </w:rPr>
        <w:t>THAND SOCIALWEL</w:t>
      </w:r>
      <w:r w:rsidRPr="00C203F3">
        <w:rPr>
          <w:rFonts w:ascii="Arial Narrow" w:eastAsia="Times New Roman" w:hAnsi="Arial Narrow" w:cs="Times New Roman"/>
          <w:color w:val="231F20"/>
          <w:spacing w:val="-16"/>
          <w:sz w:val="24"/>
          <w:szCs w:val="24"/>
        </w:rPr>
        <w:t>F</w:t>
      </w:r>
      <w:r w:rsidRPr="00C203F3">
        <w:rPr>
          <w:rFonts w:ascii="Arial Narrow" w:eastAsia="Times New Roman" w:hAnsi="Arial Narrow" w:cs="Times New Roman"/>
          <w:color w:val="231F20"/>
          <w:sz w:val="24"/>
          <w:szCs w:val="24"/>
        </w:rPr>
        <w:t>ARE</w:t>
      </w:r>
    </w:p>
    <w:p w:rsidR="00FF2CD0" w:rsidRPr="00C203F3" w:rsidRDefault="00FF2CD0" w:rsidP="00FF2CD0">
      <w:pPr>
        <w:spacing w:after="0" w:line="212" w:lineRule="exact"/>
        <w:ind w:left="874" w:right="-20"/>
        <w:rPr>
          <w:rFonts w:ascii="Arial Narrow" w:eastAsia="Times New Roman" w:hAnsi="Arial Narrow" w:cs="Times New Roman"/>
          <w:sz w:val="24"/>
          <w:szCs w:val="24"/>
        </w:rPr>
      </w:pPr>
      <w:r w:rsidRPr="00C203F3">
        <w:rPr>
          <w:rFonts w:ascii="Arial Narrow" w:eastAsia="Times New Roman" w:hAnsi="Arial Narrow" w:cs="Times New Roman"/>
          <w:color w:val="231F20"/>
          <w:position w:val="1"/>
          <w:sz w:val="24"/>
          <w:szCs w:val="24"/>
        </w:rPr>
        <w:t>COLLABOR</w:t>
      </w:r>
      <w:r w:rsidRPr="00C203F3">
        <w:rPr>
          <w:rFonts w:ascii="Arial Narrow" w:eastAsia="Times New Roman" w:hAnsi="Arial Narrow" w:cs="Times New Roman"/>
          <w:color w:val="231F20"/>
          <w:spacing w:val="-24"/>
          <w:position w:val="1"/>
          <w:sz w:val="24"/>
          <w:szCs w:val="24"/>
        </w:rPr>
        <w:t>A</w:t>
      </w:r>
      <w:r w:rsidRPr="00C203F3">
        <w:rPr>
          <w:rFonts w:ascii="Arial Narrow" w:eastAsia="Times New Roman" w:hAnsi="Arial Narrow" w:cs="Times New Roman"/>
          <w:color w:val="231F20"/>
          <w:position w:val="1"/>
          <w:sz w:val="24"/>
          <w:szCs w:val="24"/>
        </w:rPr>
        <w:t>TIVETB/ HIVACTIVITIES</w:t>
      </w:r>
    </w:p>
    <w:p w:rsidR="00FF2CD0" w:rsidRPr="00C203F3" w:rsidRDefault="00FF2CD0" w:rsidP="00FF2CD0">
      <w:pPr>
        <w:spacing w:before="7" w:after="0" w:line="140" w:lineRule="exact"/>
        <w:rPr>
          <w:rFonts w:ascii="Arial Narrow" w:hAnsi="Arial Narrow"/>
          <w:sz w:val="24"/>
          <w:szCs w:val="24"/>
        </w:rPr>
      </w:pPr>
    </w:p>
    <w:p w:rsidR="00FF2CD0" w:rsidRPr="00C203F3" w:rsidRDefault="00FF2CD0" w:rsidP="00FF2CD0">
      <w:pPr>
        <w:spacing w:after="0" w:line="243" w:lineRule="auto"/>
        <w:ind w:left="874" w:right="2714"/>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TB SCREENING QUESTIONNAIRE FOR CHILDREN ABOVEAGE 6YEARSANDADU</w:t>
      </w:r>
      <w:r w:rsidRPr="00C203F3">
        <w:rPr>
          <w:rFonts w:ascii="Arial Narrow" w:eastAsia="Times New Roman" w:hAnsi="Arial Narrow" w:cs="Times New Roman"/>
          <w:color w:val="231F20"/>
          <w:spacing w:val="-20"/>
          <w:sz w:val="24"/>
          <w:szCs w:val="24"/>
        </w:rPr>
        <w:t>L</w:t>
      </w:r>
      <w:r w:rsidRPr="00C203F3">
        <w:rPr>
          <w:rFonts w:ascii="Arial Narrow" w:eastAsia="Times New Roman" w:hAnsi="Arial Narrow" w:cs="Times New Roman"/>
          <w:color w:val="231F20"/>
          <w:sz w:val="24"/>
          <w:szCs w:val="24"/>
        </w:rPr>
        <w:t xml:space="preserve">THIV/AIDS </w:t>
      </w:r>
      <w:r w:rsidRPr="00C203F3">
        <w:rPr>
          <w:rFonts w:ascii="Arial Narrow" w:eastAsia="Times New Roman" w:hAnsi="Arial Narrow" w:cs="Times New Roman"/>
          <w:color w:val="231F20"/>
          <w:spacing w:val="-20"/>
          <w:sz w:val="24"/>
          <w:szCs w:val="24"/>
        </w:rPr>
        <w:t>P</w:t>
      </w:r>
      <w:r w:rsidRPr="00C203F3">
        <w:rPr>
          <w:rFonts w:ascii="Arial Narrow" w:eastAsia="Times New Roman" w:hAnsi="Arial Narrow" w:cs="Times New Roman"/>
          <w:color w:val="231F20"/>
          <w:spacing w:val="-24"/>
          <w:sz w:val="24"/>
          <w:szCs w:val="24"/>
        </w:rPr>
        <w:t>A</w:t>
      </w:r>
      <w:r w:rsidRPr="00C203F3">
        <w:rPr>
          <w:rFonts w:ascii="Arial Narrow" w:eastAsia="Times New Roman" w:hAnsi="Arial Narrow" w:cs="Times New Roman"/>
          <w:color w:val="231F20"/>
          <w:sz w:val="24"/>
          <w:szCs w:val="24"/>
        </w:rPr>
        <w:t>TIENTS Patient</w:t>
      </w:r>
      <w:r w:rsidRPr="00C203F3">
        <w:rPr>
          <w:rFonts w:ascii="Arial Narrow" w:eastAsia="Times New Roman" w:hAnsi="Arial Narrow" w:cs="Times New Roman"/>
          <w:color w:val="231F20"/>
          <w:spacing w:val="-12"/>
          <w:sz w:val="24"/>
          <w:szCs w:val="24"/>
        </w:rPr>
        <w:t>’</w:t>
      </w:r>
      <w:r w:rsidRPr="00C203F3">
        <w:rPr>
          <w:rFonts w:ascii="Arial Narrow" w:eastAsia="Times New Roman" w:hAnsi="Arial Narrow" w:cs="Times New Roman"/>
          <w:color w:val="231F20"/>
          <w:sz w:val="24"/>
          <w:szCs w:val="24"/>
        </w:rPr>
        <w:t>s name: ……….………………………...........................</w:t>
      </w:r>
    </w:p>
    <w:p w:rsidR="00FF2CD0" w:rsidRPr="00C203F3" w:rsidRDefault="00FF2CD0" w:rsidP="00FF2CD0">
      <w:pPr>
        <w:tabs>
          <w:tab w:val="left" w:pos="3500"/>
        </w:tabs>
        <w:spacing w:before="56" w:after="0" w:line="297" w:lineRule="auto"/>
        <w:ind w:left="874" w:right="2775"/>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CTC Reg. Number: …………………………………….……... Date of birth: …/……/….</w:t>
      </w:r>
      <w:r w:rsidRPr="00C203F3">
        <w:rPr>
          <w:rFonts w:ascii="Arial Narrow" w:eastAsia="Times New Roman" w:hAnsi="Arial Narrow" w:cs="Times New Roman"/>
          <w:color w:val="231F20"/>
          <w:sz w:val="24"/>
          <w:szCs w:val="24"/>
        </w:rPr>
        <w:tab/>
        <w:t>Sex: □ Male □Female</w:t>
      </w:r>
    </w:p>
    <w:p w:rsidR="00FF2CD0" w:rsidRPr="00C203F3" w:rsidRDefault="00FF2CD0" w:rsidP="00FF2CD0">
      <w:pPr>
        <w:spacing w:before="2" w:after="0" w:line="297" w:lineRule="auto"/>
        <w:ind w:left="874" w:right="2824"/>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PhysicalAddress: ………………………………………......… Area leader/ neighbor: …………………………….........….…</w:t>
      </w:r>
    </w:p>
    <w:p w:rsidR="00FF2CD0" w:rsidRPr="00C203F3" w:rsidRDefault="00FF2CD0" w:rsidP="00FF2CD0">
      <w:pPr>
        <w:spacing w:before="2" w:after="0" w:line="248" w:lineRule="exact"/>
        <w:ind w:left="874" w:right="-20"/>
        <w:rPr>
          <w:rFonts w:ascii="Arial Narrow" w:eastAsia="Times New Roman" w:hAnsi="Arial Narrow" w:cs="Times New Roman"/>
          <w:sz w:val="24"/>
          <w:szCs w:val="24"/>
        </w:rPr>
      </w:pPr>
      <w:r w:rsidRPr="00C203F3">
        <w:rPr>
          <w:rFonts w:ascii="Arial Narrow" w:eastAsia="Times New Roman" w:hAnsi="Arial Narrow" w:cs="Times New Roman"/>
          <w:color w:val="231F20"/>
          <w:position w:val="-1"/>
          <w:sz w:val="24"/>
          <w:szCs w:val="24"/>
        </w:rPr>
        <w:t>Contact telephone (if available)…………………….....………</w:t>
      </w:r>
    </w:p>
    <w:p w:rsidR="00FF2CD0" w:rsidRPr="00C203F3" w:rsidRDefault="00FF2CD0" w:rsidP="00FF2CD0">
      <w:pPr>
        <w:spacing w:before="10" w:after="0" w:line="110" w:lineRule="exact"/>
        <w:rPr>
          <w:rFonts w:ascii="Arial Narrow" w:hAnsi="Arial Narrow"/>
          <w:sz w:val="24"/>
          <w:szCs w:val="24"/>
        </w:rPr>
      </w:pPr>
    </w:p>
    <w:p w:rsidR="00FF2CD0" w:rsidRPr="00C203F3" w:rsidRDefault="00FF2CD0" w:rsidP="00FF2CD0">
      <w:pPr>
        <w:spacing w:after="0" w:line="200" w:lineRule="exact"/>
        <w:rPr>
          <w:rFonts w:ascii="Arial Narrow" w:hAnsi="Arial Narrow"/>
          <w:sz w:val="24"/>
          <w:szCs w:val="24"/>
        </w:rPr>
      </w:pPr>
    </w:p>
    <w:p w:rsidR="00FF2CD0" w:rsidRPr="00C203F3" w:rsidRDefault="00FF2CD0" w:rsidP="00FF2CD0">
      <w:pPr>
        <w:spacing w:after="0" w:line="200" w:lineRule="exact"/>
        <w:rPr>
          <w:rFonts w:ascii="Arial Narrow" w:hAnsi="Arial Narrow"/>
          <w:sz w:val="24"/>
          <w:szCs w:val="24"/>
        </w:rPr>
      </w:pPr>
    </w:p>
    <w:tbl>
      <w:tblPr>
        <w:tblW w:w="0" w:type="auto"/>
        <w:tblInd w:w="863" w:type="dxa"/>
        <w:tblLayout w:type="fixed"/>
        <w:tblCellMar>
          <w:left w:w="0" w:type="dxa"/>
          <w:right w:w="0" w:type="dxa"/>
        </w:tblCellMar>
        <w:tblLook w:val="01E0" w:firstRow="1" w:lastRow="1" w:firstColumn="1" w:lastColumn="1" w:noHBand="0" w:noVBand="0"/>
      </w:tblPr>
      <w:tblGrid>
        <w:gridCol w:w="1648"/>
        <w:gridCol w:w="331"/>
        <w:gridCol w:w="326"/>
        <w:gridCol w:w="340"/>
        <w:gridCol w:w="340"/>
        <w:gridCol w:w="321"/>
        <w:gridCol w:w="340"/>
        <w:gridCol w:w="312"/>
        <w:gridCol w:w="340"/>
        <w:gridCol w:w="312"/>
        <w:gridCol w:w="331"/>
        <w:gridCol w:w="317"/>
        <w:gridCol w:w="335"/>
        <w:gridCol w:w="317"/>
        <w:gridCol w:w="321"/>
        <w:gridCol w:w="312"/>
        <w:gridCol w:w="335"/>
        <w:gridCol w:w="321"/>
        <w:gridCol w:w="330"/>
      </w:tblGrid>
      <w:tr w:rsidR="00FF2CD0" w:rsidRPr="00C203F3" w:rsidTr="00FF2CD0">
        <w:trPr>
          <w:trHeight w:hRule="exact" w:val="309"/>
        </w:trPr>
        <w:tc>
          <w:tcPr>
            <w:tcW w:w="1648"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before="13" w:after="0" w:line="240" w:lineRule="auto"/>
              <w:ind w:left="70" w:right="-20"/>
              <w:rPr>
                <w:rFonts w:ascii="Arial Narrow" w:eastAsia="Times New Roman" w:hAnsi="Arial Narrow" w:cs="Times New Roman"/>
                <w:sz w:val="24"/>
                <w:szCs w:val="24"/>
              </w:rPr>
            </w:pPr>
            <w:r w:rsidRPr="00C203F3">
              <w:rPr>
                <w:rFonts w:ascii="Arial Narrow" w:eastAsia="Times New Roman" w:hAnsi="Arial Narrow" w:cs="Times New Roman"/>
                <w:b/>
                <w:bCs/>
                <w:color w:val="231F20"/>
                <w:sz w:val="24"/>
                <w:szCs w:val="24"/>
              </w:rPr>
              <w:t>Date</w:t>
            </w:r>
          </w:p>
        </w:tc>
        <w:tc>
          <w:tcPr>
            <w:tcW w:w="657" w:type="dxa"/>
            <w:gridSpan w:val="2"/>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680" w:type="dxa"/>
            <w:gridSpan w:val="2"/>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661" w:type="dxa"/>
            <w:gridSpan w:val="2"/>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652" w:type="dxa"/>
            <w:gridSpan w:val="2"/>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643" w:type="dxa"/>
            <w:gridSpan w:val="2"/>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652" w:type="dxa"/>
            <w:gridSpan w:val="2"/>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638" w:type="dxa"/>
            <w:gridSpan w:val="2"/>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647" w:type="dxa"/>
            <w:gridSpan w:val="2"/>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651" w:type="dxa"/>
            <w:gridSpan w:val="2"/>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r>
      <w:tr w:rsidR="00FF2CD0" w:rsidRPr="00C203F3" w:rsidTr="00FF2CD0">
        <w:trPr>
          <w:trHeight w:hRule="exact" w:val="509"/>
        </w:trPr>
        <w:tc>
          <w:tcPr>
            <w:tcW w:w="1648"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before="23" w:after="0" w:line="220" w:lineRule="exact"/>
              <w:ind w:left="70" w:right="48"/>
              <w:rPr>
                <w:rFonts w:ascii="Arial Narrow" w:eastAsia="Times New Roman" w:hAnsi="Arial Narrow" w:cs="Times New Roman"/>
                <w:sz w:val="24"/>
                <w:szCs w:val="24"/>
              </w:rPr>
            </w:pPr>
            <w:r w:rsidRPr="00C203F3">
              <w:rPr>
                <w:rFonts w:ascii="Arial Narrow" w:eastAsia="Times New Roman" w:hAnsi="Arial Narrow" w:cs="Times New Roman"/>
                <w:color w:val="231F20"/>
                <w:spacing w:val="-8"/>
                <w:sz w:val="24"/>
                <w:szCs w:val="24"/>
              </w:rPr>
              <w:t>T</w:t>
            </w:r>
            <w:r w:rsidRPr="00C203F3">
              <w:rPr>
                <w:rFonts w:ascii="Arial Narrow" w:eastAsia="Times New Roman" w:hAnsi="Arial Narrow" w:cs="Times New Roman"/>
                <w:color w:val="231F20"/>
                <w:sz w:val="24"/>
                <w:szCs w:val="24"/>
              </w:rPr>
              <w:t>ick appropriate response</w:t>
            </w:r>
          </w:p>
        </w:tc>
        <w:tc>
          <w:tcPr>
            <w:tcW w:w="33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after="0" w:line="247" w:lineRule="exact"/>
              <w:ind w:left="7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Y</w:t>
            </w:r>
          </w:p>
        </w:tc>
        <w:tc>
          <w:tcPr>
            <w:tcW w:w="326"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after="0" w:line="247" w:lineRule="exact"/>
              <w:ind w:left="7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w:t>
            </w: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after="0" w:line="247" w:lineRule="exact"/>
              <w:ind w:left="7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Y</w:t>
            </w: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after="0" w:line="247" w:lineRule="exact"/>
              <w:ind w:left="7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w:t>
            </w:r>
          </w:p>
        </w:tc>
        <w:tc>
          <w:tcPr>
            <w:tcW w:w="32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after="0" w:line="247" w:lineRule="exact"/>
              <w:ind w:left="7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Y</w:t>
            </w: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after="0" w:line="247" w:lineRule="exact"/>
              <w:ind w:left="7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w:t>
            </w:r>
          </w:p>
        </w:tc>
        <w:tc>
          <w:tcPr>
            <w:tcW w:w="312"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after="0" w:line="247" w:lineRule="exact"/>
              <w:ind w:left="7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Y</w:t>
            </w: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after="0" w:line="247" w:lineRule="exact"/>
              <w:ind w:left="7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w:t>
            </w:r>
          </w:p>
        </w:tc>
        <w:tc>
          <w:tcPr>
            <w:tcW w:w="312"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after="0" w:line="247" w:lineRule="exact"/>
              <w:ind w:left="7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Y</w:t>
            </w:r>
          </w:p>
        </w:tc>
        <w:tc>
          <w:tcPr>
            <w:tcW w:w="33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after="0" w:line="247" w:lineRule="exact"/>
              <w:ind w:left="7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w:t>
            </w:r>
          </w:p>
        </w:tc>
        <w:tc>
          <w:tcPr>
            <w:tcW w:w="317"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after="0" w:line="247" w:lineRule="exact"/>
              <w:ind w:left="7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Y</w:t>
            </w:r>
          </w:p>
        </w:tc>
        <w:tc>
          <w:tcPr>
            <w:tcW w:w="335"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after="0" w:line="247" w:lineRule="exact"/>
              <w:ind w:left="7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w:t>
            </w:r>
          </w:p>
        </w:tc>
        <w:tc>
          <w:tcPr>
            <w:tcW w:w="317"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after="0" w:line="247" w:lineRule="exact"/>
              <w:ind w:left="7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Y</w:t>
            </w:r>
          </w:p>
        </w:tc>
        <w:tc>
          <w:tcPr>
            <w:tcW w:w="32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after="0" w:line="247" w:lineRule="exact"/>
              <w:ind w:left="7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w:t>
            </w:r>
          </w:p>
        </w:tc>
        <w:tc>
          <w:tcPr>
            <w:tcW w:w="312"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after="0" w:line="247" w:lineRule="exact"/>
              <w:ind w:left="7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Y</w:t>
            </w:r>
          </w:p>
        </w:tc>
        <w:tc>
          <w:tcPr>
            <w:tcW w:w="335"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after="0" w:line="247" w:lineRule="exact"/>
              <w:ind w:left="7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w:t>
            </w:r>
          </w:p>
        </w:tc>
        <w:tc>
          <w:tcPr>
            <w:tcW w:w="32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after="0" w:line="247" w:lineRule="exact"/>
              <w:ind w:left="7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Y</w:t>
            </w:r>
          </w:p>
        </w:tc>
        <w:tc>
          <w:tcPr>
            <w:tcW w:w="33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after="0" w:line="247" w:lineRule="exact"/>
              <w:ind w:left="7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w:t>
            </w:r>
          </w:p>
        </w:tc>
      </w:tr>
      <w:tr w:rsidR="00FF2CD0" w:rsidRPr="00C203F3" w:rsidTr="00FF2CD0">
        <w:trPr>
          <w:trHeight w:hRule="exact" w:val="533"/>
        </w:trPr>
        <w:tc>
          <w:tcPr>
            <w:tcW w:w="1648"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before="46" w:after="0" w:line="220" w:lineRule="exact"/>
              <w:ind w:left="70" w:right="261"/>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Cough for ≥ 2 weeks?</w:t>
            </w:r>
          </w:p>
        </w:tc>
        <w:tc>
          <w:tcPr>
            <w:tcW w:w="33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26"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2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2"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2"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3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7"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35"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7"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2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2"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35"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2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3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r>
      <w:tr w:rsidR="00FF2CD0" w:rsidRPr="00C203F3" w:rsidTr="00FF2CD0">
        <w:trPr>
          <w:trHeight w:hRule="exact" w:val="973"/>
        </w:trPr>
        <w:tc>
          <w:tcPr>
            <w:tcW w:w="1648"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before="46" w:after="0" w:line="220" w:lineRule="exact"/>
              <w:ind w:left="70" w:right="205"/>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sputum (haemoptysis Coughing up bloodstained)?</w:t>
            </w:r>
          </w:p>
        </w:tc>
        <w:tc>
          <w:tcPr>
            <w:tcW w:w="33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26"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2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2"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2"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3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7"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35"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7"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2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2"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35"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2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3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r>
      <w:tr w:rsidR="00FF2CD0" w:rsidRPr="00C203F3" w:rsidTr="00FF2CD0">
        <w:trPr>
          <w:trHeight w:hRule="exact" w:val="533"/>
        </w:trPr>
        <w:tc>
          <w:tcPr>
            <w:tcW w:w="1648"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before="46" w:after="0" w:line="220" w:lineRule="exact"/>
              <w:ind w:left="70" w:right="262"/>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Fevers for ≥ 2 weeks?</w:t>
            </w:r>
          </w:p>
        </w:tc>
        <w:tc>
          <w:tcPr>
            <w:tcW w:w="33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26"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2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2"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2"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3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7"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35"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7"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2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2"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35"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2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3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r>
      <w:tr w:rsidR="00FF2CD0" w:rsidRPr="00C203F3" w:rsidTr="00FF2CD0">
        <w:trPr>
          <w:trHeight w:hRule="exact" w:val="1633"/>
        </w:trPr>
        <w:tc>
          <w:tcPr>
            <w:tcW w:w="1648"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before="46" w:after="0" w:line="220" w:lineRule="exact"/>
              <w:ind w:left="70" w:right="156"/>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Noticeable weight loss for new patients or a 3 kgs weight loss in a month (subsequent visit)?</w:t>
            </w:r>
          </w:p>
        </w:tc>
        <w:tc>
          <w:tcPr>
            <w:tcW w:w="33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26"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2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2"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2"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3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7"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35"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7"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2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2"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35"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2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3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r>
      <w:tr w:rsidR="00FF2CD0" w:rsidRPr="00C203F3" w:rsidTr="00FF2CD0">
        <w:trPr>
          <w:trHeight w:hRule="exact" w:val="973"/>
        </w:trPr>
        <w:tc>
          <w:tcPr>
            <w:tcW w:w="1648"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before="46" w:after="0" w:line="220" w:lineRule="exact"/>
              <w:ind w:left="70" w:right="396"/>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 xml:space="preserve">Excessive sweating at night for </w:t>
            </w:r>
            <w:r w:rsidRPr="00C203F3">
              <w:rPr>
                <w:rFonts w:ascii="Arial Narrow" w:eastAsia="Times New Roman" w:hAnsi="Arial Narrow" w:cs="Times New Roman"/>
                <w:b/>
                <w:bCs/>
                <w:color w:val="231F20"/>
                <w:sz w:val="24"/>
                <w:szCs w:val="24"/>
              </w:rPr>
              <w:t xml:space="preserve">≥ 2 </w:t>
            </w:r>
            <w:r w:rsidRPr="00C203F3">
              <w:rPr>
                <w:rFonts w:ascii="Arial Narrow" w:eastAsia="Times New Roman" w:hAnsi="Arial Narrow" w:cs="Times New Roman"/>
                <w:color w:val="231F20"/>
                <w:sz w:val="24"/>
                <w:szCs w:val="24"/>
              </w:rPr>
              <w:t>weeks?</w:t>
            </w:r>
          </w:p>
        </w:tc>
        <w:tc>
          <w:tcPr>
            <w:tcW w:w="33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26"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2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2"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4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2"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3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7"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35"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7"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2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12"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35"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21"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330"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r>
    </w:tbl>
    <w:p w:rsidR="00FF2CD0" w:rsidRPr="00C203F3" w:rsidRDefault="00FF2CD0" w:rsidP="00FF2CD0">
      <w:pPr>
        <w:spacing w:before="1" w:after="0" w:line="100" w:lineRule="exact"/>
        <w:rPr>
          <w:rFonts w:ascii="Arial Narrow" w:hAnsi="Arial Narrow"/>
          <w:sz w:val="24"/>
          <w:szCs w:val="24"/>
        </w:rPr>
      </w:pPr>
    </w:p>
    <w:p w:rsidR="00FF2CD0" w:rsidRPr="00C203F3" w:rsidRDefault="00FF2CD0" w:rsidP="00FF2CD0">
      <w:pPr>
        <w:spacing w:after="0" w:line="200" w:lineRule="exact"/>
        <w:rPr>
          <w:rFonts w:ascii="Arial Narrow" w:hAnsi="Arial Narrow"/>
          <w:sz w:val="24"/>
          <w:szCs w:val="24"/>
        </w:rPr>
      </w:pPr>
    </w:p>
    <w:p w:rsidR="00FF2CD0" w:rsidRPr="00C203F3" w:rsidRDefault="00FF2CD0" w:rsidP="00FF2CD0">
      <w:pPr>
        <w:spacing w:after="0" w:line="200" w:lineRule="exact"/>
        <w:rPr>
          <w:rFonts w:ascii="Arial Narrow" w:hAnsi="Arial Narrow"/>
          <w:sz w:val="24"/>
          <w:szCs w:val="24"/>
        </w:rPr>
      </w:pPr>
    </w:p>
    <w:p w:rsidR="00FF2CD0" w:rsidRPr="00C203F3" w:rsidRDefault="00FF2CD0" w:rsidP="00FF2CD0">
      <w:pPr>
        <w:spacing w:after="0" w:line="200" w:lineRule="exact"/>
        <w:rPr>
          <w:rFonts w:ascii="Arial Narrow" w:hAnsi="Arial Narrow"/>
          <w:sz w:val="24"/>
          <w:szCs w:val="24"/>
        </w:rPr>
      </w:pPr>
    </w:p>
    <w:p w:rsidR="00FF2CD0" w:rsidRPr="00C203F3" w:rsidRDefault="00FF2CD0" w:rsidP="00FF2CD0">
      <w:pPr>
        <w:spacing w:after="0" w:line="200" w:lineRule="exact"/>
        <w:rPr>
          <w:rFonts w:ascii="Arial Narrow" w:hAnsi="Arial Narrow"/>
          <w:sz w:val="24"/>
          <w:szCs w:val="24"/>
        </w:rPr>
      </w:pPr>
    </w:p>
    <w:p w:rsidR="00FF2CD0" w:rsidRPr="00C203F3" w:rsidRDefault="00FF2CD0" w:rsidP="00FF2CD0">
      <w:pPr>
        <w:spacing w:before="31" w:after="0" w:line="240" w:lineRule="auto"/>
        <w:ind w:left="1340" w:right="-20"/>
        <w:rPr>
          <w:rFonts w:ascii="Arial Narrow" w:eastAsia="Times New Roman" w:hAnsi="Arial Narrow" w:cs="Times New Roman"/>
          <w:sz w:val="24"/>
          <w:szCs w:val="24"/>
        </w:rPr>
      </w:pPr>
      <w:r w:rsidRPr="00C203F3">
        <w:rPr>
          <w:rFonts w:ascii="Arial Narrow" w:eastAsia="Times New Roman" w:hAnsi="Arial Narrow" w:cs="Times New Roman"/>
          <w:color w:val="FFFFFF"/>
          <w:sz w:val="24"/>
          <w:szCs w:val="24"/>
        </w:rPr>
        <w:t>302</w:t>
      </w:r>
    </w:p>
    <w:p w:rsidR="00FF2CD0" w:rsidRPr="00C203F3" w:rsidRDefault="00FF2CD0" w:rsidP="00FF2CD0">
      <w:pPr>
        <w:spacing w:after="0"/>
        <w:rPr>
          <w:rFonts w:ascii="Arial Narrow" w:hAnsi="Arial Narrow"/>
          <w:sz w:val="24"/>
          <w:szCs w:val="24"/>
        </w:rPr>
        <w:sectPr w:rsidR="00FF2CD0" w:rsidRPr="00C203F3">
          <w:headerReference w:type="default" r:id="rId30"/>
          <w:pgSz w:w="9240" w:h="12760"/>
          <w:pgMar w:top="420" w:right="0" w:bottom="280" w:left="0" w:header="0" w:footer="0" w:gutter="0"/>
          <w:cols w:space="720"/>
        </w:sectPr>
      </w:pPr>
    </w:p>
    <w:p w:rsidR="00FF2CD0" w:rsidRPr="00C203F3" w:rsidRDefault="00FF2CD0" w:rsidP="00FF2CD0">
      <w:pPr>
        <w:spacing w:after="0" w:line="160" w:lineRule="exact"/>
        <w:rPr>
          <w:rFonts w:ascii="Arial Narrow" w:hAnsi="Arial Narrow"/>
          <w:sz w:val="24"/>
          <w:szCs w:val="24"/>
        </w:rPr>
      </w:pPr>
    </w:p>
    <w:p w:rsidR="00FF2CD0" w:rsidRPr="00C203F3" w:rsidRDefault="00FF2CD0" w:rsidP="00FF2CD0">
      <w:pPr>
        <w:spacing w:after="0" w:line="200" w:lineRule="exact"/>
        <w:rPr>
          <w:rFonts w:ascii="Arial Narrow" w:hAnsi="Arial Narrow"/>
          <w:sz w:val="24"/>
          <w:szCs w:val="24"/>
        </w:rPr>
      </w:pPr>
    </w:p>
    <w:p w:rsidR="00FF2CD0" w:rsidRPr="00C203F3" w:rsidRDefault="00FF2CD0" w:rsidP="00FF2CD0">
      <w:pPr>
        <w:spacing w:after="0" w:line="200" w:lineRule="exact"/>
        <w:rPr>
          <w:rFonts w:ascii="Arial Narrow" w:hAnsi="Arial Narrow"/>
          <w:sz w:val="24"/>
          <w:szCs w:val="24"/>
        </w:rPr>
      </w:pPr>
    </w:p>
    <w:p w:rsidR="00FF2CD0" w:rsidRPr="00C203F3" w:rsidRDefault="00FF2CD0" w:rsidP="00FF2CD0">
      <w:pPr>
        <w:spacing w:after="0" w:line="200" w:lineRule="exact"/>
        <w:rPr>
          <w:rFonts w:ascii="Arial Narrow" w:hAnsi="Arial Narrow"/>
          <w:sz w:val="24"/>
          <w:szCs w:val="24"/>
        </w:rPr>
      </w:pPr>
    </w:p>
    <w:p w:rsidR="00FF2CD0" w:rsidRPr="00C203F3" w:rsidRDefault="00FF2CD0" w:rsidP="00FF2CD0">
      <w:pPr>
        <w:spacing w:after="0" w:line="200" w:lineRule="exact"/>
        <w:rPr>
          <w:rFonts w:ascii="Arial Narrow" w:hAnsi="Arial Narrow"/>
          <w:sz w:val="24"/>
          <w:szCs w:val="24"/>
        </w:rPr>
      </w:pPr>
    </w:p>
    <w:p w:rsidR="00FF2CD0" w:rsidRPr="00C203F3" w:rsidRDefault="00FF2CD0" w:rsidP="00FF2CD0">
      <w:pPr>
        <w:spacing w:after="0" w:line="200" w:lineRule="exact"/>
        <w:rPr>
          <w:rFonts w:ascii="Arial Narrow" w:hAnsi="Arial Narrow"/>
          <w:sz w:val="24"/>
          <w:szCs w:val="24"/>
        </w:rPr>
      </w:pPr>
    </w:p>
    <w:p w:rsidR="00FF2CD0" w:rsidRPr="00C203F3" w:rsidRDefault="00FF2CD0" w:rsidP="00FF2CD0">
      <w:pPr>
        <w:spacing w:before="74" w:after="0" w:line="189" w:lineRule="auto"/>
        <w:ind w:left="1100" w:right="868"/>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 xml:space="preserve">If ‘YES’to </w:t>
      </w:r>
      <w:r w:rsidRPr="00C203F3">
        <w:rPr>
          <w:rFonts w:ascii="Arial Narrow" w:eastAsia="Times New Roman" w:hAnsi="Arial Narrow" w:cs="Times New Roman"/>
          <w:color w:val="231F20"/>
          <w:sz w:val="24"/>
          <w:szCs w:val="24"/>
          <w:u w:val="single" w:color="231F20"/>
        </w:rPr>
        <w:t>oneormore</w:t>
      </w:r>
      <w:r w:rsidRPr="00C203F3">
        <w:rPr>
          <w:rFonts w:ascii="Arial Narrow" w:eastAsia="Times New Roman" w:hAnsi="Arial Narrow" w:cs="Times New Roman"/>
          <w:color w:val="231F20"/>
          <w:sz w:val="24"/>
          <w:szCs w:val="24"/>
        </w:rPr>
        <w:t xml:space="preserve"> questions enter the code “TB Susp” in theTB status column of the CTC2 form and complete the respective column in the table below:</w:t>
      </w:r>
    </w:p>
    <w:p w:rsidR="00FF2CD0" w:rsidRPr="00C203F3" w:rsidRDefault="00FF2CD0" w:rsidP="00FF2CD0">
      <w:pPr>
        <w:spacing w:before="9" w:after="0" w:line="260" w:lineRule="exact"/>
        <w:rPr>
          <w:rFonts w:ascii="Arial Narrow" w:hAnsi="Arial Narrow"/>
          <w:sz w:val="24"/>
          <w:szCs w:val="24"/>
        </w:rPr>
      </w:pPr>
    </w:p>
    <w:tbl>
      <w:tblPr>
        <w:tblW w:w="0" w:type="auto"/>
        <w:tblInd w:w="1090" w:type="dxa"/>
        <w:tblLayout w:type="fixed"/>
        <w:tblCellMar>
          <w:left w:w="0" w:type="dxa"/>
          <w:right w:w="0" w:type="dxa"/>
        </w:tblCellMar>
        <w:tblLook w:val="01E0" w:firstRow="1" w:lastRow="1" w:firstColumn="1" w:lastColumn="1" w:noHBand="0" w:noVBand="0"/>
      </w:tblPr>
      <w:tblGrid>
        <w:gridCol w:w="2555"/>
        <w:gridCol w:w="1526"/>
        <w:gridCol w:w="1526"/>
        <w:gridCol w:w="1526"/>
      </w:tblGrid>
      <w:tr w:rsidR="00FF2CD0" w:rsidRPr="00C203F3" w:rsidTr="00FF2CD0">
        <w:trPr>
          <w:trHeight w:hRule="exact" w:val="309"/>
        </w:trPr>
        <w:tc>
          <w:tcPr>
            <w:tcW w:w="2555"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before="13" w:after="0" w:line="240" w:lineRule="auto"/>
              <w:ind w:left="70" w:right="-20"/>
              <w:rPr>
                <w:rFonts w:ascii="Arial Narrow" w:eastAsia="Times New Roman" w:hAnsi="Arial Narrow" w:cs="Times New Roman"/>
                <w:sz w:val="24"/>
                <w:szCs w:val="24"/>
              </w:rPr>
            </w:pPr>
            <w:r w:rsidRPr="00C203F3">
              <w:rPr>
                <w:rFonts w:ascii="Arial Narrow" w:eastAsia="Times New Roman" w:hAnsi="Arial Narrow" w:cs="Times New Roman"/>
                <w:b/>
                <w:bCs/>
                <w:color w:val="231F20"/>
                <w:sz w:val="24"/>
                <w:szCs w:val="24"/>
              </w:rPr>
              <w:t>Date</w:t>
            </w:r>
          </w:p>
        </w:tc>
        <w:tc>
          <w:tcPr>
            <w:tcW w:w="1526"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1526"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1526"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r>
      <w:tr w:rsidR="00FF2CD0" w:rsidRPr="00C203F3" w:rsidTr="00FF2CD0">
        <w:trPr>
          <w:trHeight w:hRule="exact" w:val="753"/>
        </w:trPr>
        <w:tc>
          <w:tcPr>
            <w:tcW w:w="2555"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before="46" w:after="0" w:line="220" w:lineRule="exact"/>
              <w:ind w:left="70" w:right="73"/>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Do sputum smear forAFB and enter results (pos / neg)</w:t>
            </w:r>
          </w:p>
        </w:tc>
        <w:tc>
          <w:tcPr>
            <w:tcW w:w="1526"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1526"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1526"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r>
      <w:tr w:rsidR="00FF2CD0" w:rsidRPr="00C203F3" w:rsidTr="00FF2CD0">
        <w:trPr>
          <w:trHeight w:hRule="exact" w:val="973"/>
        </w:trPr>
        <w:tc>
          <w:tcPr>
            <w:tcW w:w="2555"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before="46" w:after="0" w:line="220" w:lineRule="exact"/>
              <w:ind w:left="70" w:right="287"/>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If sputum negative, do chest X-ray and enter result (suggestive or not suggestive)</w:t>
            </w:r>
          </w:p>
        </w:tc>
        <w:tc>
          <w:tcPr>
            <w:tcW w:w="1526"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1526"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1526"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r>
      <w:tr w:rsidR="00FF2CD0" w:rsidRPr="00C203F3" w:rsidTr="00FF2CD0">
        <w:trPr>
          <w:trHeight w:hRule="exact" w:val="589"/>
        </w:trPr>
        <w:tc>
          <w:tcPr>
            <w:tcW w:w="2555"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spacing w:before="17" w:after="0" w:line="240" w:lineRule="auto"/>
              <w:ind w:left="7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Outcome of assessment</w:t>
            </w:r>
          </w:p>
          <w:p w:rsidR="00FF2CD0" w:rsidRPr="00C203F3" w:rsidRDefault="00FF2CD0" w:rsidP="00FF2CD0">
            <w:pPr>
              <w:spacing w:before="23" w:after="0" w:line="240" w:lineRule="auto"/>
              <w:ind w:left="70" w:right="-20"/>
              <w:rPr>
                <w:rFonts w:ascii="Arial Narrow" w:eastAsia="Times New Roman" w:hAnsi="Arial Narrow" w:cs="Times New Roman"/>
                <w:sz w:val="24"/>
                <w:szCs w:val="24"/>
              </w:rPr>
            </w:pPr>
            <w:r w:rsidRPr="00C203F3">
              <w:rPr>
                <w:rFonts w:ascii="Arial Narrow" w:eastAsia="Times New Roman" w:hAnsi="Arial Narrow" w:cs="Times New Roman"/>
                <w:color w:val="231F20"/>
                <w:sz w:val="24"/>
                <w:szCs w:val="24"/>
              </w:rPr>
              <w:t>(TB or NoTB)</w:t>
            </w:r>
          </w:p>
        </w:tc>
        <w:tc>
          <w:tcPr>
            <w:tcW w:w="1526"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1526"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c>
          <w:tcPr>
            <w:tcW w:w="1526" w:type="dxa"/>
            <w:tcBorders>
              <w:top w:val="single" w:sz="8" w:space="0" w:color="231F20"/>
              <w:left w:val="single" w:sz="8" w:space="0" w:color="231F20"/>
              <w:bottom w:val="single" w:sz="8" w:space="0" w:color="231F20"/>
              <w:right w:val="single" w:sz="8" w:space="0" w:color="231F20"/>
            </w:tcBorders>
          </w:tcPr>
          <w:p w:rsidR="00FF2CD0" w:rsidRPr="00C203F3" w:rsidRDefault="00FF2CD0" w:rsidP="00FF2CD0">
            <w:pPr>
              <w:rPr>
                <w:rFonts w:ascii="Arial Narrow" w:hAnsi="Arial Narrow"/>
                <w:sz w:val="24"/>
                <w:szCs w:val="24"/>
              </w:rPr>
            </w:pPr>
          </w:p>
        </w:tc>
      </w:tr>
    </w:tbl>
    <w:p w:rsidR="00FF2CD0" w:rsidRPr="00C203F3" w:rsidRDefault="00FF2CD0" w:rsidP="00FF2CD0">
      <w:pPr>
        <w:spacing w:before="8" w:after="0" w:line="150" w:lineRule="exact"/>
        <w:rPr>
          <w:rFonts w:ascii="Arial Narrow" w:hAnsi="Arial Narrow"/>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r w:rsidRPr="00C203F3">
        <w:rPr>
          <w:rFonts w:ascii="Arial Narrow" w:eastAsia="Times New Roman" w:hAnsi="Arial Narrow" w:cs="Times New Roman"/>
          <w:color w:val="231F20"/>
          <w:sz w:val="24"/>
          <w:szCs w:val="24"/>
        </w:rPr>
        <w:t>If ‘No’</w:t>
      </w:r>
      <w:r w:rsidRPr="00C203F3">
        <w:rPr>
          <w:rFonts w:ascii="Arial Narrow" w:eastAsia="Times New Roman" w:hAnsi="Arial Narrow" w:cs="Times New Roman"/>
          <w:color w:val="231F20"/>
          <w:sz w:val="24"/>
          <w:szCs w:val="24"/>
          <w:u w:val="single" w:color="231F20"/>
        </w:rPr>
        <w:t>toall</w:t>
      </w:r>
      <w:r w:rsidRPr="00C203F3">
        <w:rPr>
          <w:rFonts w:ascii="Arial Narrow" w:eastAsia="Times New Roman" w:hAnsi="Arial Narrow" w:cs="Times New Roman"/>
          <w:color w:val="231F20"/>
          <w:sz w:val="24"/>
          <w:szCs w:val="24"/>
        </w:rPr>
        <w:t xml:space="preserve"> questions: Do not initiateTB investigations and repeat screening at the subsequent visit. Enter the code “NO” in theTB status column of the CTC2 form</w:t>
      </w:r>
      <w:r>
        <w:rPr>
          <w:rFonts w:ascii="Arial Narrow" w:eastAsia="Times New Roman" w:hAnsi="Arial Narrow" w:cs="Times New Roman"/>
          <w:color w:val="231F20"/>
          <w:sz w:val="24"/>
          <w:szCs w:val="24"/>
        </w:rPr>
        <w:t>.</w:t>
      </w: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Default="00FF2CD0" w:rsidP="00FF2CD0">
      <w:pPr>
        <w:spacing w:after="0" w:line="189" w:lineRule="auto"/>
        <w:ind w:left="1100" w:right="1011"/>
        <w:rPr>
          <w:rFonts w:ascii="Arial Narrow" w:eastAsia="Times New Roman" w:hAnsi="Arial Narrow" w:cs="Times New Roman"/>
          <w:color w:val="231F20"/>
          <w:sz w:val="24"/>
          <w:szCs w:val="24"/>
        </w:rPr>
      </w:pPr>
    </w:p>
    <w:p w:rsidR="00FF2CD0" w:rsidRPr="00C203F3" w:rsidRDefault="00FF2CD0" w:rsidP="00FF2CD0">
      <w:pPr>
        <w:spacing w:after="0" w:line="189" w:lineRule="auto"/>
        <w:ind w:left="1100" w:right="1011"/>
        <w:rPr>
          <w:rFonts w:ascii="Arial Narrow" w:eastAsia="Times New Roman" w:hAnsi="Arial Narrow" w:cs="Times New Roman"/>
          <w:sz w:val="24"/>
          <w:szCs w:val="24"/>
        </w:rPr>
      </w:pPr>
    </w:p>
    <w:p w:rsidR="00FF2CD0" w:rsidRPr="00C203F3" w:rsidRDefault="00FF2CD0" w:rsidP="00FF2CD0">
      <w:pPr>
        <w:spacing w:before="4" w:after="0" w:line="170" w:lineRule="exact"/>
        <w:rPr>
          <w:rFonts w:ascii="Arial Narrow" w:hAnsi="Arial Narrow"/>
          <w:sz w:val="24"/>
          <w:szCs w:val="24"/>
        </w:rPr>
      </w:pPr>
    </w:p>
    <w:p w:rsidR="00FF2CD0" w:rsidRPr="00C203F3" w:rsidRDefault="00AA771C" w:rsidP="00FF2CD0">
      <w:pPr>
        <w:spacing w:before="41" w:after="0" w:line="240" w:lineRule="auto"/>
        <w:ind w:left="1205" w:right="-20"/>
        <w:rPr>
          <w:rFonts w:ascii="Arial Narrow" w:eastAsia="Arial" w:hAnsi="Arial Narrow" w:cs="Arial"/>
          <w:sz w:val="24"/>
          <w:szCs w:val="24"/>
        </w:rPr>
      </w:pPr>
      <w:r>
        <w:rPr>
          <w:rFonts w:ascii="Arial Narrow" w:hAnsi="Arial Narrow"/>
          <w:noProof/>
          <w:sz w:val="24"/>
          <w:szCs w:val="24"/>
        </w:rPr>
        <mc:AlternateContent>
          <mc:Choice Requires="wpg">
            <w:drawing>
              <wp:anchor distT="0" distB="0" distL="114300" distR="114300" simplePos="0" relativeHeight="251784192" behindDoc="1" locked="0" layoutInCell="1" allowOverlap="1">
                <wp:simplePos x="0" y="0"/>
                <wp:positionH relativeFrom="page">
                  <wp:posOffset>692150</wp:posOffset>
                </wp:positionH>
                <wp:positionV relativeFrom="paragraph">
                  <wp:posOffset>30480</wp:posOffset>
                </wp:positionV>
                <wp:extent cx="4620260" cy="3479165"/>
                <wp:effectExtent l="0" t="0" r="0" b="0"/>
                <wp:wrapNone/>
                <wp:docPr id="36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260" cy="3479165"/>
                          <a:chOff x="1090" y="810"/>
                          <a:chExt cx="7276" cy="5479"/>
                        </a:xfrm>
                      </wpg:grpSpPr>
                      <wpg:grpSp>
                        <wpg:cNvPr id="364" name="Group 233"/>
                        <wpg:cNvGrpSpPr>
                          <a:grpSpLocks/>
                        </wpg:cNvGrpSpPr>
                        <wpg:grpSpPr bwMode="auto">
                          <a:xfrm>
                            <a:off x="1100" y="4351"/>
                            <a:ext cx="7257" cy="1203"/>
                            <a:chOff x="1100" y="4351"/>
                            <a:chExt cx="7257" cy="1203"/>
                          </a:xfrm>
                        </wpg:grpSpPr>
                        <wps:wsp>
                          <wps:cNvPr id="365" name="Freeform 234"/>
                          <wps:cNvSpPr>
                            <a:spLocks/>
                          </wps:cNvSpPr>
                          <wps:spPr bwMode="auto">
                            <a:xfrm>
                              <a:off x="1100" y="4351"/>
                              <a:ext cx="7257" cy="1203"/>
                            </a:xfrm>
                            <a:custGeom>
                              <a:avLst/>
                              <a:gdLst>
                                <a:gd name="T0" fmla="+- 0 1100 1100"/>
                                <a:gd name="T1" fmla="*/ T0 w 7257"/>
                                <a:gd name="T2" fmla="+- 0 4351 4351"/>
                                <a:gd name="T3" fmla="*/ 4351 h 1203"/>
                                <a:gd name="T4" fmla="+- 0 8357 1100"/>
                                <a:gd name="T5" fmla="*/ T4 w 7257"/>
                                <a:gd name="T6" fmla="+- 0 4351 4351"/>
                                <a:gd name="T7" fmla="*/ 4351 h 1203"/>
                                <a:gd name="T8" fmla="+- 0 8357 1100"/>
                                <a:gd name="T9" fmla="*/ T8 w 7257"/>
                                <a:gd name="T10" fmla="+- 0 5554 4351"/>
                                <a:gd name="T11" fmla="*/ 5554 h 1203"/>
                                <a:gd name="T12" fmla="+- 0 1100 1100"/>
                                <a:gd name="T13" fmla="*/ T12 w 7257"/>
                                <a:gd name="T14" fmla="+- 0 5554 4351"/>
                                <a:gd name="T15" fmla="*/ 5554 h 1203"/>
                                <a:gd name="T16" fmla="+- 0 1100 1100"/>
                                <a:gd name="T17" fmla="*/ T16 w 7257"/>
                                <a:gd name="T18" fmla="+- 0 4351 4351"/>
                                <a:gd name="T19" fmla="*/ 4351 h 1203"/>
                              </a:gdLst>
                              <a:ahLst/>
                              <a:cxnLst>
                                <a:cxn ang="0">
                                  <a:pos x="T1" y="T3"/>
                                </a:cxn>
                                <a:cxn ang="0">
                                  <a:pos x="T5" y="T7"/>
                                </a:cxn>
                                <a:cxn ang="0">
                                  <a:pos x="T9" y="T11"/>
                                </a:cxn>
                                <a:cxn ang="0">
                                  <a:pos x="T13" y="T15"/>
                                </a:cxn>
                                <a:cxn ang="0">
                                  <a:pos x="T17" y="T19"/>
                                </a:cxn>
                              </a:cxnLst>
                              <a:rect l="0" t="0" r="r" b="b"/>
                              <a:pathLst>
                                <a:path w="7257" h="1203">
                                  <a:moveTo>
                                    <a:pt x="0" y="0"/>
                                  </a:moveTo>
                                  <a:lnTo>
                                    <a:pt x="7257" y="0"/>
                                  </a:lnTo>
                                  <a:lnTo>
                                    <a:pt x="7257" y="1203"/>
                                  </a:lnTo>
                                  <a:lnTo>
                                    <a:pt x="0" y="1203"/>
                                  </a:lnTo>
                                  <a:lnTo>
                                    <a:pt x="0" y="0"/>
                                  </a:lnTo>
                                </a:path>
                              </a:pathLst>
                            </a:custGeom>
                            <a:solidFill>
                              <a:srgbClr val="DCF2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231"/>
                        <wpg:cNvGrpSpPr>
                          <a:grpSpLocks/>
                        </wpg:cNvGrpSpPr>
                        <wpg:grpSpPr bwMode="auto">
                          <a:xfrm>
                            <a:off x="1100" y="3316"/>
                            <a:ext cx="7257" cy="1059"/>
                            <a:chOff x="1100" y="3316"/>
                            <a:chExt cx="7257" cy="1059"/>
                          </a:xfrm>
                        </wpg:grpSpPr>
                        <wps:wsp>
                          <wps:cNvPr id="367" name="Freeform 232"/>
                          <wps:cNvSpPr>
                            <a:spLocks/>
                          </wps:cNvSpPr>
                          <wps:spPr bwMode="auto">
                            <a:xfrm>
                              <a:off x="1100" y="3316"/>
                              <a:ext cx="7257" cy="1059"/>
                            </a:xfrm>
                            <a:custGeom>
                              <a:avLst/>
                              <a:gdLst>
                                <a:gd name="T0" fmla="+- 0 1100 1100"/>
                                <a:gd name="T1" fmla="*/ T0 w 7257"/>
                                <a:gd name="T2" fmla="+- 0 3316 3316"/>
                                <a:gd name="T3" fmla="*/ 3316 h 1059"/>
                                <a:gd name="T4" fmla="+- 0 8357 1100"/>
                                <a:gd name="T5" fmla="*/ T4 w 7257"/>
                                <a:gd name="T6" fmla="+- 0 3316 3316"/>
                                <a:gd name="T7" fmla="*/ 3316 h 1059"/>
                                <a:gd name="T8" fmla="+- 0 8357 1100"/>
                                <a:gd name="T9" fmla="*/ T8 w 7257"/>
                                <a:gd name="T10" fmla="+- 0 4375 3316"/>
                                <a:gd name="T11" fmla="*/ 4375 h 1059"/>
                                <a:gd name="T12" fmla="+- 0 1100 1100"/>
                                <a:gd name="T13" fmla="*/ T12 w 7257"/>
                                <a:gd name="T14" fmla="+- 0 4375 3316"/>
                                <a:gd name="T15" fmla="*/ 4375 h 1059"/>
                                <a:gd name="T16" fmla="+- 0 1100 1100"/>
                                <a:gd name="T17" fmla="*/ T16 w 7257"/>
                                <a:gd name="T18" fmla="+- 0 3316 3316"/>
                                <a:gd name="T19" fmla="*/ 3316 h 1059"/>
                              </a:gdLst>
                              <a:ahLst/>
                              <a:cxnLst>
                                <a:cxn ang="0">
                                  <a:pos x="T1" y="T3"/>
                                </a:cxn>
                                <a:cxn ang="0">
                                  <a:pos x="T5" y="T7"/>
                                </a:cxn>
                                <a:cxn ang="0">
                                  <a:pos x="T9" y="T11"/>
                                </a:cxn>
                                <a:cxn ang="0">
                                  <a:pos x="T13" y="T15"/>
                                </a:cxn>
                                <a:cxn ang="0">
                                  <a:pos x="T17" y="T19"/>
                                </a:cxn>
                              </a:cxnLst>
                              <a:rect l="0" t="0" r="r" b="b"/>
                              <a:pathLst>
                                <a:path w="7257" h="1059">
                                  <a:moveTo>
                                    <a:pt x="0" y="0"/>
                                  </a:moveTo>
                                  <a:lnTo>
                                    <a:pt x="7257" y="0"/>
                                  </a:lnTo>
                                  <a:lnTo>
                                    <a:pt x="7257" y="1059"/>
                                  </a:lnTo>
                                  <a:lnTo>
                                    <a:pt x="0" y="1059"/>
                                  </a:lnTo>
                                  <a:lnTo>
                                    <a:pt x="0" y="0"/>
                                  </a:lnTo>
                                </a:path>
                              </a:pathLst>
                            </a:custGeom>
                            <a:solidFill>
                              <a:srgbClr val="A5DF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229"/>
                        <wpg:cNvGrpSpPr>
                          <a:grpSpLocks/>
                        </wpg:cNvGrpSpPr>
                        <wpg:grpSpPr bwMode="auto">
                          <a:xfrm>
                            <a:off x="1100" y="5537"/>
                            <a:ext cx="7257" cy="743"/>
                            <a:chOff x="1100" y="5537"/>
                            <a:chExt cx="7257" cy="743"/>
                          </a:xfrm>
                        </wpg:grpSpPr>
                        <wps:wsp>
                          <wps:cNvPr id="369" name="Freeform 230"/>
                          <wps:cNvSpPr>
                            <a:spLocks/>
                          </wps:cNvSpPr>
                          <wps:spPr bwMode="auto">
                            <a:xfrm>
                              <a:off x="1100" y="5537"/>
                              <a:ext cx="7257" cy="743"/>
                            </a:xfrm>
                            <a:custGeom>
                              <a:avLst/>
                              <a:gdLst>
                                <a:gd name="T0" fmla="+- 0 1100 1100"/>
                                <a:gd name="T1" fmla="*/ T0 w 7257"/>
                                <a:gd name="T2" fmla="+- 0 5537 5537"/>
                                <a:gd name="T3" fmla="*/ 5537 h 743"/>
                                <a:gd name="T4" fmla="+- 0 8357 1100"/>
                                <a:gd name="T5" fmla="*/ T4 w 7257"/>
                                <a:gd name="T6" fmla="+- 0 5537 5537"/>
                                <a:gd name="T7" fmla="*/ 5537 h 743"/>
                                <a:gd name="T8" fmla="+- 0 8357 1100"/>
                                <a:gd name="T9" fmla="*/ T8 w 7257"/>
                                <a:gd name="T10" fmla="+- 0 6280 5537"/>
                                <a:gd name="T11" fmla="*/ 6280 h 743"/>
                                <a:gd name="T12" fmla="+- 0 1100 1100"/>
                                <a:gd name="T13" fmla="*/ T12 w 7257"/>
                                <a:gd name="T14" fmla="+- 0 6280 5537"/>
                                <a:gd name="T15" fmla="*/ 6280 h 743"/>
                                <a:gd name="T16" fmla="+- 0 1100 1100"/>
                                <a:gd name="T17" fmla="*/ T16 w 7257"/>
                                <a:gd name="T18" fmla="+- 0 5537 5537"/>
                                <a:gd name="T19" fmla="*/ 5537 h 743"/>
                              </a:gdLst>
                              <a:ahLst/>
                              <a:cxnLst>
                                <a:cxn ang="0">
                                  <a:pos x="T1" y="T3"/>
                                </a:cxn>
                                <a:cxn ang="0">
                                  <a:pos x="T5" y="T7"/>
                                </a:cxn>
                                <a:cxn ang="0">
                                  <a:pos x="T9" y="T11"/>
                                </a:cxn>
                                <a:cxn ang="0">
                                  <a:pos x="T13" y="T15"/>
                                </a:cxn>
                                <a:cxn ang="0">
                                  <a:pos x="T17" y="T19"/>
                                </a:cxn>
                              </a:cxnLst>
                              <a:rect l="0" t="0" r="r" b="b"/>
                              <a:pathLst>
                                <a:path w="7257" h="743">
                                  <a:moveTo>
                                    <a:pt x="0" y="0"/>
                                  </a:moveTo>
                                  <a:lnTo>
                                    <a:pt x="7257" y="0"/>
                                  </a:lnTo>
                                  <a:lnTo>
                                    <a:pt x="7257" y="743"/>
                                  </a:lnTo>
                                  <a:lnTo>
                                    <a:pt x="0" y="743"/>
                                  </a:lnTo>
                                  <a:lnTo>
                                    <a:pt x="0" y="0"/>
                                  </a:lnTo>
                                </a:path>
                              </a:pathLst>
                            </a:custGeom>
                            <a:solidFill>
                              <a:srgbClr val="A5DF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 name="Group 227"/>
                        <wpg:cNvGrpSpPr>
                          <a:grpSpLocks/>
                        </wpg:cNvGrpSpPr>
                        <wpg:grpSpPr bwMode="auto">
                          <a:xfrm>
                            <a:off x="4014" y="3481"/>
                            <a:ext cx="700" cy="388"/>
                            <a:chOff x="4014" y="3481"/>
                            <a:chExt cx="700" cy="388"/>
                          </a:xfrm>
                        </wpg:grpSpPr>
                        <wps:wsp>
                          <wps:cNvPr id="371" name="Freeform 228"/>
                          <wps:cNvSpPr>
                            <a:spLocks/>
                          </wps:cNvSpPr>
                          <wps:spPr bwMode="auto">
                            <a:xfrm>
                              <a:off x="4014" y="3481"/>
                              <a:ext cx="700" cy="388"/>
                            </a:xfrm>
                            <a:custGeom>
                              <a:avLst/>
                              <a:gdLst>
                                <a:gd name="T0" fmla="+- 0 4014 4014"/>
                                <a:gd name="T1" fmla="*/ T0 w 700"/>
                                <a:gd name="T2" fmla="+- 0 3481 3481"/>
                                <a:gd name="T3" fmla="*/ 3481 h 388"/>
                                <a:gd name="T4" fmla="+- 0 4714 4014"/>
                                <a:gd name="T5" fmla="*/ T4 w 700"/>
                                <a:gd name="T6" fmla="+- 0 3481 3481"/>
                                <a:gd name="T7" fmla="*/ 3481 h 388"/>
                                <a:gd name="T8" fmla="+- 0 4714 4014"/>
                                <a:gd name="T9" fmla="*/ T8 w 700"/>
                                <a:gd name="T10" fmla="+- 0 3869 3481"/>
                                <a:gd name="T11" fmla="*/ 3869 h 388"/>
                                <a:gd name="T12" fmla="+- 0 4014 4014"/>
                                <a:gd name="T13" fmla="*/ T12 w 700"/>
                                <a:gd name="T14" fmla="+- 0 3869 3481"/>
                                <a:gd name="T15" fmla="*/ 3869 h 388"/>
                                <a:gd name="T16" fmla="+- 0 4014 4014"/>
                                <a:gd name="T17" fmla="*/ T16 w 700"/>
                                <a:gd name="T18" fmla="+- 0 3481 3481"/>
                                <a:gd name="T19" fmla="*/ 3481 h 388"/>
                              </a:gdLst>
                              <a:ahLst/>
                              <a:cxnLst>
                                <a:cxn ang="0">
                                  <a:pos x="T1" y="T3"/>
                                </a:cxn>
                                <a:cxn ang="0">
                                  <a:pos x="T5" y="T7"/>
                                </a:cxn>
                                <a:cxn ang="0">
                                  <a:pos x="T9" y="T11"/>
                                </a:cxn>
                                <a:cxn ang="0">
                                  <a:pos x="T13" y="T15"/>
                                </a:cxn>
                                <a:cxn ang="0">
                                  <a:pos x="T17" y="T19"/>
                                </a:cxn>
                              </a:cxnLst>
                              <a:rect l="0" t="0" r="r" b="b"/>
                              <a:pathLst>
                                <a:path w="700" h="388">
                                  <a:moveTo>
                                    <a:pt x="0" y="0"/>
                                  </a:moveTo>
                                  <a:lnTo>
                                    <a:pt x="700" y="0"/>
                                  </a:lnTo>
                                  <a:lnTo>
                                    <a:pt x="700" y="388"/>
                                  </a:lnTo>
                                  <a:lnTo>
                                    <a:pt x="0" y="38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225"/>
                        <wpg:cNvGrpSpPr>
                          <a:grpSpLocks/>
                        </wpg:cNvGrpSpPr>
                        <wpg:grpSpPr bwMode="auto">
                          <a:xfrm>
                            <a:off x="1100" y="2036"/>
                            <a:ext cx="7257" cy="1297"/>
                            <a:chOff x="1100" y="2036"/>
                            <a:chExt cx="7257" cy="1297"/>
                          </a:xfrm>
                        </wpg:grpSpPr>
                        <wps:wsp>
                          <wps:cNvPr id="373" name="Freeform 226"/>
                          <wps:cNvSpPr>
                            <a:spLocks/>
                          </wps:cNvSpPr>
                          <wps:spPr bwMode="auto">
                            <a:xfrm>
                              <a:off x="1100" y="2036"/>
                              <a:ext cx="7257" cy="1297"/>
                            </a:xfrm>
                            <a:custGeom>
                              <a:avLst/>
                              <a:gdLst>
                                <a:gd name="T0" fmla="+- 0 1100 1100"/>
                                <a:gd name="T1" fmla="*/ T0 w 7257"/>
                                <a:gd name="T2" fmla="+- 0 2036 2036"/>
                                <a:gd name="T3" fmla="*/ 2036 h 1297"/>
                                <a:gd name="T4" fmla="+- 0 8357 1100"/>
                                <a:gd name="T5" fmla="*/ T4 w 7257"/>
                                <a:gd name="T6" fmla="+- 0 2036 2036"/>
                                <a:gd name="T7" fmla="*/ 2036 h 1297"/>
                                <a:gd name="T8" fmla="+- 0 8357 1100"/>
                                <a:gd name="T9" fmla="*/ T8 w 7257"/>
                                <a:gd name="T10" fmla="+- 0 3334 2036"/>
                                <a:gd name="T11" fmla="*/ 3334 h 1297"/>
                                <a:gd name="T12" fmla="+- 0 1100 1100"/>
                                <a:gd name="T13" fmla="*/ T12 w 7257"/>
                                <a:gd name="T14" fmla="+- 0 3334 2036"/>
                                <a:gd name="T15" fmla="*/ 3334 h 1297"/>
                                <a:gd name="T16" fmla="+- 0 1100 1100"/>
                                <a:gd name="T17" fmla="*/ T16 w 7257"/>
                                <a:gd name="T18" fmla="+- 0 2036 2036"/>
                                <a:gd name="T19" fmla="*/ 2036 h 1297"/>
                              </a:gdLst>
                              <a:ahLst/>
                              <a:cxnLst>
                                <a:cxn ang="0">
                                  <a:pos x="T1" y="T3"/>
                                </a:cxn>
                                <a:cxn ang="0">
                                  <a:pos x="T5" y="T7"/>
                                </a:cxn>
                                <a:cxn ang="0">
                                  <a:pos x="T9" y="T11"/>
                                </a:cxn>
                                <a:cxn ang="0">
                                  <a:pos x="T13" y="T15"/>
                                </a:cxn>
                                <a:cxn ang="0">
                                  <a:pos x="T17" y="T19"/>
                                </a:cxn>
                              </a:cxnLst>
                              <a:rect l="0" t="0" r="r" b="b"/>
                              <a:pathLst>
                                <a:path w="7257" h="1297">
                                  <a:moveTo>
                                    <a:pt x="0" y="0"/>
                                  </a:moveTo>
                                  <a:lnTo>
                                    <a:pt x="7257" y="0"/>
                                  </a:lnTo>
                                  <a:lnTo>
                                    <a:pt x="7257" y="1298"/>
                                  </a:lnTo>
                                  <a:lnTo>
                                    <a:pt x="0" y="1298"/>
                                  </a:lnTo>
                                  <a:lnTo>
                                    <a:pt x="0" y="0"/>
                                  </a:lnTo>
                                  <a:close/>
                                </a:path>
                              </a:pathLst>
                            </a:custGeom>
                            <a:solidFill>
                              <a:srgbClr val="DCF2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223"/>
                        <wpg:cNvGrpSpPr>
                          <a:grpSpLocks/>
                        </wpg:cNvGrpSpPr>
                        <wpg:grpSpPr bwMode="auto">
                          <a:xfrm>
                            <a:off x="1100" y="820"/>
                            <a:ext cx="7257" cy="1217"/>
                            <a:chOff x="1100" y="820"/>
                            <a:chExt cx="7257" cy="1217"/>
                          </a:xfrm>
                        </wpg:grpSpPr>
                        <wps:wsp>
                          <wps:cNvPr id="375" name="Freeform 224"/>
                          <wps:cNvSpPr>
                            <a:spLocks/>
                          </wps:cNvSpPr>
                          <wps:spPr bwMode="auto">
                            <a:xfrm>
                              <a:off x="1100" y="820"/>
                              <a:ext cx="7257" cy="1217"/>
                            </a:xfrm>
                            <a:custGeom>
                              <a:avLst/>
                              <a:gdLst>
                                <a:gd name="T0" fmla="+- 0 1100 1100"/>
                                <a:gd name="T1" fmla="*/ T0 w 7257"/>
                                <a:gd name="T2" fmla="+- 0 820 820"/>
                                <a:gd name="T3" fmla="*/ 820 h 1217"/>
                                <a:gd name="T4" fmla="+- 0 8357 1100"/>
                                <a:gd name="T5" fmla="*/ T4 w 7257"/>
                                <a:gd name="T6" fmla="+- 0 820 820"/>
                                <a:gd name="T7" fmla="*/ 820 h 1217"/>
                                <a:gd name="T8" fmla="+- 0 8357 1100"/>
                                <a:gd name="T9" fmla="*/ T8 w 7257"/>
                                <a:gd name="T10" fmla="+- 0 2036 820"/>
                                <a:gd name="T11" fmla="*/ 2036 h 1217"/>
                                <a:gd name="T12" fmla="+- 0 1100 1100"/>
                                <a:gd name="T13" fmla="*/ T12 w 7257"/>
                                <a:gd name="T14" fmla="+- 0 2036 820"/>
                                <a:gd name="T15" fmla="*/ 2036 h 1217"/>
                                <a:gd name="T16" fmla="+- 0 1100 1100"/>
                                <a:gd name="T17" fmla="*/ T16 w 7257"/>
                                <a:gd name="T18" fmla="+- 0 820 820"/>
                                <a:gd name="T19" fmla="*/ 820 h 1217"/>
                              </a:gdLst>
                              <a:ahLst/>
                              <a:cxnLst>
                                <a:cxn ang="0">
                                  <a:pos x="T1" y="T3"/>
                                </a:cxn>
                                <a:cxn ang="0">
                                  <a:pos x="T5" y="T7"/>
                                </a:cxn>
                                <a:cxn ang="0">
                                  <a:pos x="T9" y="T11"/>
                                </a:cxn>
                                <a:cxn ang="0">
                                  <a:pos x="T13" y="T15"/>
                                </a:cxn>
                                <a:cxn ang="0">
                                  <a:pos x="T17" y="T19"/>
                                </a:cxn>
                              </a:cxnLst>
                              <a:rect l="0" t="0" r="r" b="b"/>
                              <a:pathLst>
                                <a:path w="7257" h="1217">
                                  <a:moveTo>
                                    <a:pt x="0" y="0"/>
                                  </a:moveTo>
                                  <a:lnTo>
                                    <a:pt x="7257" y="0"/>
                                  </a:lnTo>
                                  <a:lnTo>
                                    <a:pt x="7257" y="1216"/>
                                  </a:lnTo>
                                  <a:lnTo>
                                    <a:pt x="0" y="1216"/>
                                  </a:lnTo>
                                  <a:lnTo>
                                    <a:pt x="0" y="0"/>
                                  </a:lnTo>
                                </a:path>
                              </a:pathLst>
                            </a:custGeom>
                            <a:solidFill>
                              <a:srgbClr val="A5DF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221"/>
                        <wpg:cNvGrpSpPr>
                          <a:grpSpLocks/>
                        </wpg:cNvGrpSpPr>
                        <wpg:grpSpPr bwMode="auto">
                          <a:xfrm>
                            <a:off x="4414" y="1132"/>
                            <a:ext cx="1116" cy="259"/>
                            <a:chOff x="4414" y="1132"/>
                            <a:chExt cx="1116" cy="259"/>
                          </a:xfrm>
                        </wpg:grpSpPr>
                        <wps:wsp>
                          <wps:cNvPr id="377" name="Freeform 222"/>
                          <wps:cNvSpPr>
                            <a:spLocks/>
                          </wps:cNvSpPr>
                          <wps:spPr bwMode="auto">
                            <a:xfrm>
                              <a:off x="4414" y="1132"/>
                              <a:ext cx="1116" cy="259"/>
                            </a:xfrm>
                            <a:custGeom>
                              <a:avLst/>
                              <a:gdLst>
                                <a:gd name="T0" fmla="+- 0 4414 4414"/>
                                <a:gd name="T1" fmla="*/ T0 w 1116"/>
                                <a:gd name="T2" fmla="+- 0 1132 1132"/>
                                <a:gd name="T3" fmla="*/ 1132 h 259"/>
                                <a:gd name="T4" fmla="+- 0 5530 4414"/>
                                <a:gd name="T5" fmla="*/ T4 w 1116"/>
                                <a:gd name="T6" fmla="+- 0 1132 1132"/>
                                <a:gd name="T7" fmla="*/ 1132 h 259"/>
                                <a:gd name="T8" fmla="+- 0 5530 4414"/>
                                <a:gd name="T9" fmla="*/ T8 w 1116"/>
                                <a:gd name="T10" fmla="+- 0 1391 1132"/>
                                <a:gd name="T11" fmla="*/ 1391 h 259"/>
                                <a:gd name="T12" fmla="+- 0 4414 4414"/>
                                <a:gd name="T13" fmla="*/ T12 w 1116"/>
                                <a:gd name="T14" fmla="+- 0 1391 1132"/>
                                <a:gd name="T15" fmla="*/ 1391 h 259"/>
                                <a:gd name="T16" fmla="+- 0 4414 4414"/>
                                <a:gd name="T17" fmla="*/ T16 w 1116"/>
                                <a:gd name="T18" fmla="+- 0 1132 1132"/>
                                <a:gd name="T19" fmla="*/ 1132 h 259"/>
                              </a:gdLst>
                              <a:ahLst/>
                              <a:cxnLst>
                                <a:cxn ang="0">
                                  <a:pos x="T1" y="T3"/>
                                </a:cxn>
                                <a:cxn ang="0">
                                  <a:pos x="T5" y="T7"/>
                                </a:cxn>
                                <a:cxn ang="0">
                                  <a:pos x="T9" y="T11"/>
                                </a:cxn>
                                <a:cxn ang="0">
                                  <a:pos x="T13" y="T15"/>
                                </a:cxn>
                                <a:cxn ang="0">
                                  <a:pos x="T17" y="T19"/>
                                </a:cxn>
                              </a:cxnLst>
                              <a:rect l="0" t="0" r="r" b="b"/>
                              <a:pathLst>
                                <a:path w="1116" h="259">
                                  <a:moveTo>
                                    <a:pt x="0" y="0"/>
                                  </a:moveTo>
                                  <a:lnTo>
                                    <a:pt x="1116" y="0"/>
                                  </a:lnTo>
                                  <a:lnTo>
                                    <a:pt x="1116" y="259"/>
                                  </a:lnTo>
                                  <a:lnTo>
                                    <a:pt x="0" y="25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219"/>
                        <wpg:cNvGrpSpPr>
                          <a:grpSpLocks/>
                        </wpg:cNvGrpSpPr>
                        <wpg:grpSpPr bwMode="auto">
                          <a:xfrm>
                            <a:off x="4404" y="1122"/>
                            <a:ext cx="1141" cy="279"/>
                            <a:chOff x="4404" y="1122"/>
                            <a:chExt cx="1141" cy="279"/>
                          </a:xfrm>
                        </wpg:grpSpPr>
                        <wps:wsp>
                          <wps:cNvPr id="379" name="Freeform 220"/>
                          <wps:cNvSpPr>
                            <a:spLocks/>
                          </wps:cNvSpPr>
                          <wps:spPr bwMode="auto">
                            <a:xfrm>
                              <a:off x="4404" y="1122"/>
                              <a:ext cx="1141" cy="279"/>
                            </a:xfrm>
                            <a:custGeom>
                              <a:avLst/>
                              <a:gdLst>
                                <a:gd name="T0" fmla="+- 0 5545 4404"/>
                                <a:gd name="T1" fmla="*/ T0 w 1141"/>
                                <a:gd name="T2" fmla="+- 0 1401 1122"/>
                                <a:gd name="T3" fmla="*/ 1401 h 279"/>
                                <a:gd name="T4" fmla="+- 0 4404 4404"/>
                                <a:gd name="T5" fmla="*/ T4 w 1141"/>
                                <a:gd name="T6" fmla="+- 0 1401 1122"/>
                                <a:gd name="T7" fmla="*/ 1401 h 279"/>
                                <a:gd name="T8" fmla="+- 0 4404 4404"/>
                                <a:gd name="T9" fmla="*/ T8 w 1141"/>
                                <a:gd name="T10" fmla="+- 0 1122 1122"/>
                                <a:gd name="T11" fmla="*/ 1122 h 279"/>
                                <a:gd name="T12" fmla="+- 0 5545 4404"/>
                                <a:gd name="T13" fmla="*/ T12 w 1141"/>
                                <a:gd name="T14" fmla="+- 0 1122 1122"/>
                                <a:gd name="T15" fmla="*/ 1122 h 279"/>
                                <a:gd name="T16" fmla="+- 0 5545 4404"/>
                                <a:gd name="T17" fmla="*/ T16 w 1141"/>
                                <a:gd name="T18" fmla="+- 0 1141 1122"/>
                                <a:gd name="T19" fmla="*/ 1141 h 279"/>
                                <a:gd name="T20" fmla="+- 0 4424 4404"/>
                                <a:gd name="T21" fmla="*/ T20 w 1141"/>
                                <a:gd name="T22" fmla="+- 0 1141 1122"/>
                                <a:gd name="T23" fmla="*/ 1141 h 279"/>
                                <a:gd name="T24" fmla="+- 0 4424 4404"/>
                                <a:gd name="T25" fmla="*/ T24 w 1141"/>
                                <a:gd name="T26" fmla="+- 0 1381 1122"/>
                                <a:gd name="T27" fmla="*/ 1381 h 279"/>
                                <a:gd name="T28" fmla="+- 0 5545 4404"/>
                                <a:gd name="T29" fmla="*/ T28 w 1141"/>
                                <a:gd name="T30" fmla="+- 0 1381 1122"/>
                                <a:gd name="T31" fmla="*/ 1381 h 279"/>
                                <a:gd name="T32" fmla="+- 0 5545 4404"/>
                                <a:gd name="T33" fmla="*/ T32 w 1141"/>
                                <a:gd name="T34" fmla="+- 0 1401 1122"/>
                                <a:gd name="T35" fmla="*/ 1401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1" h="279">
                                  <a:moveTo>
                                    <a:pt x="1141" y="279"/>
                                  </a:moveTo>
                                  <a:lnTo>
                                    <a:pt x="0" y="279"/>
                                  </a:lnTo>
                                  <a:lnTo>
                                    <a:pt x="0" y="0"/>
                                  </a:lnTo>
                                  <a:lnTo>
                                    <a:pt x="1141" y="0"/>
                                  </a:lnTo>
                                  <a:lnTo>
                                    <a:pt x="1141" y="19"/>
                                  </a:lnTo>
                                  <a:lnTo>
                                    <a:pt x="20" y="19"/>
                                  </a:lnTo>
                                  <a:lnTo>
                                    <a:pt x="20" y="259"/>
                                  </a:lnTo>
                                  <a:lnTo>
                                    <a:pt x="1141" y="259"/>
                                  </a:lnTo>
                                  <a:lnTo>
                                    <a:pt x="1141" y="27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217"/>
                        <wpg:cNvGrpSpPr>
                          <a:grpSpLocks/>
                        </wpg:cNvGrpSpPr>
                        <wpg:grpSpPr bwMode="auto">
                          <a:xfrm>
                            <a:off x="5535" y="1141"/>
                            <a:ext cx="2" cy="240"/>
                            <a:chOff x="5535" y="1141"/>
                            <a:chExt cx="2" cy="240"/>
                          </a:xfrm>
                        </wpg:grpSpPr>
                        <wps:wsp>
                          <wps:cNvPr id="381" name="Freeform 218"/>
                          <wps:cNvSpPr>
                            <a:spLocks/>
                          </wps:cNvSpPr>
                          <wps:spPr bwMode="auto">
                            <a:xfrm>
                              <a:off x="5535" y="1141"/>
                              <a:ext cx="2" cy="240"/>
                            </a:xfrm>
                            <a:custGeom>
                              <a:avLst/>
                              <a:gdLst>
                                <a:gd name="T0" fmla="+- 0 1381 1141"/>
                                <a:gd name="T1" fmla="*/ 1381 h 240"/>
                                <a:gd name="T2" fmla="+- 0 1141 1141"/>
                                <a:gd name="T3" fmla="*/ 1141 h 240"/>
                              </a:gdLst>
                              <a:ahLst/>
                              <a:cxnLst>
                                <a:cxn ang="0">
                                  <a:pos x="0" y="T1"/>
                                </a:cxn>
                                <a:cxn ang="0">
                                  <a:pos x="0" y="T3"/>
                                </a:cxn>
                              </a:cxnLst>
                              <a:rect l="0" t="0" r="r" b="b"/>
                              <a:pathLst>
                                <a:path h="240">
                                  <a:moveTo>
                                    <a:pt x="0" y="240"/>
                                  </a:moveTo>
                                  <a:lnTo>
                                    <a:pt x="0" y="0"/>
                                  </a:lnTo>
                                </a:path>
                              </a:pathLst>
                            </a:custGeom>
                            <a:noFill/>
                            <a:ln w="139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215"/>
                        <wpg:cNvGrpSpPr>
                          <a:grpSpLocks/>
                        </wpg:cNvGrpSpPr>
                        <wpg:grpSpPr bwMode="auto">
                          <a:xfrm>
                            <a:off x="1461" y="2265"/>
                            <a:ext cx="1505" cy="414"/>
                            <a:chOff x="1461" y="2265"/>
                            <a:chExt cx="1505" cy="414"/>
                          </a:xfrm>
                        </wpg:grpSpPr>
                        <wps:wsp>
                          <wps:cNvPr id="383" name="Freeform 216"/>
                          <wps:cNvSpPr>
                            <a:spLocks/>
                          </wps:cNvSpPr>
                          <wps:spPr bwMode="auto">
                            <a:xfrm>
                              <a:off x="1461" y="2265"/>
                              <a:ext cx="1505" cy="414"/>
                            </a:xfrm>
                            <a:custGeom>
                              <a:avLst/>
                              <a:gdLst>
                                <a:gd name="T0" fmla="+- 0 2966 1461"/>
                                <a:gd name="T1" fmla="*/ T0 w 1505"/>
                                <a:gd name="T2" fmla="+- 0 2680 2265"/>
                                <a:gd name="T3" fmla="*/ 2680 h 414"/>
                                <a:gd name="T4" fmla="+- 0 1461 1461"/>
                                <a:gd name="T5" fmla="*/ T4 w 1505"/>
                                <a:gd name="T6" fmla="+- 0 2680 2265"/>
                                <a:gd name="T7" fmla="*/ 2680 h 414"/>
                                <a:gd name="T8" fmla="+- 0 1461 1461"/>
                                <a:gd name="T9" fmla="*/ T8 w 1505"/>
                                <a:gd name="T10" fmla="+- 0 2265 2265"/>
                                <a:gd name="T11" fmla="*/ 2265 h 414"/>
                                <a:gd name="T12" fmla="+- 0 2966 1461"/>
                                <a:gd name="T13" fmla="*/ T12 w 1505"/>
                                <a:gd name="T14" fmla="+- 0 2265 2265"/>
                                <a:gd name="T15" fmla="*/ 2265 h 414"/>
                                <a:gd name="T16" fmla="+- 0 2966 1461"/>
                                <a:gd name="T17" fmla="*/ T16 w 1505"/>
                                <a:gd name="T18" fmla="+- 0 2285 2265"/>
                                <a:gd name="T19" fmla="*/ 2285 h 414"/>
                                <a:gd name="T20" fmla="+- 0 1481 1461"/>
                                <a:gd name="T21" fmla="*/ T20 w 1505"/>
                                <a:gd name="T22" fmla="+- 0 2285 2265"/>
                                <a:gd name="T23" fmla="*/ 2285 h 414"/>
                                <a:gd name="T24" fmla="+- 0 1481 1461"/>
                                <a:gd name="T25" fmla="*/ T24 w 1505"/>
                                <a:gd name="T26" fmla="+- 0 2660 2265"/>
                                <a:gd name="T27" fmla="*/ 2660 h 414"/>
                                <a:gd name="T28" fmla="+- 0 2966 1461"/>
                                <a:gd name="T29" fmla="*/ T28 w 1505"/>
                                <a:gd name="T30" fmla="+- 0 2660 2265"/>
                                <a:gd name="T31" fmla="*/ 2660 h 414"/>
                                <a:gd name="T32" fmla="+- 0 2966 1461"/>
                                <a:gd name="T33" fmla="*/ T32 w 1505"/>
                                <a:gd name="T34" fmla="+- 0 2680 2265"/>
                                <a:gd name="T35" fmla="*/ 2680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05" h="414">
                                  <a:moveTo>
                                    <a:pt x="1505" y="415"/>
                                  </a:moveTo>
                                  <a:lnTo>
                                    <a:pt x="0" y="415"/>
                                  </a:lnTo>
                                  <a:lnTo>
                                    <a:pt x="0" y="0"/>
                                  </a:lnTo>
                                  <a:lnTo>
                                    <a:pt x="1505" y="0"/>
                                  </a:lnTo>
                                  <a:lnTo>
                                    <a:pt x="1505" y="20"/>
                                  </a:lnTo>
                                  <a:lnTo>
                                    <a:pt x="20" y="20"/>
                                  </a:lnTo>
                                  <a:lnTo>
                                    <a:pt x="20" y="395"/>
                                  </a:lnTo>
                                  <a:lnTo>
                                    <a:pt x="1505" y="395"/>
                                  </a:lnTo>
                                  <a:lnTo>
                                    <a:pt x="1505" y="41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213"/>
                        <wpg:cNvGrpSpPr>
                          <a:grpSpLocks/>
                        </wpg:cNvGrpSpPr>
                        <wpg:grpSpPr bwMode="auto">
                          <a:xfrm>
                            <a:off x="6789" y="2098"/>
                            <a:ext cx="1451" cy="370"/>
                            <a:chOff x="6789" y="2098"/>
                            <a:chExt cx="1451" cy="370"/>
                          </a:xfrm>
                        </wpg:grpSpPr>
                        <wps:wsp>
                          <wps:cNvPr id="385" name="Freeform 214"/>
                          <wps:cNvSpPr>
                            <a:spLocks/>
                          </wps:cNvSpPr>
                          <wps:spPr bwMode="auto">
                            <a:xfrm>
                              <a:off x="6789" y="2098"/>
                              <a:ext cx="1451" cy="370"/>
                            </a:xfrm>
                            <a:custGeom>
                              <a:avLst/>
                              <a:gdLst>
                                <a:gd name="T0" fmla="+- 0 6789 6789"/>
                                <a:gd name="T1" fmla="*/ T0 w 1451"/>
                                <a:gd name="T2" fmla="+- 0 2098 2098"/>
                                <a:gd name="T3" fmla="*/ 2098 h 370"/>
                                <a:gd name="T4" fmla="+- 0 8239 6789"/>
                                <a:gd name="T5" fmla="*/ T4 w 1451"/>
                                <a:gd name="T6" fmla="+- 0 2098 2098"/>
                                <a:gd name="T7" fmla="*/ 2098 h 370"/>
                                <a:gd name="T8" fmla="+- 0 8239 6789"/>
                                <a:gd name="T9" fmla="*/ T8 w 1451"/>
                                <a:gd name="T10" fmla="+- 0 2467 2098"/>
                                <a:gd name="T11" fmla="*/ 2467 h 370"/>
                                <a:gd name="T12" fmla="+- 0 6789 6789"/>
                                <a:gd name="T13" fmla="*/ T12 w 1451"/>
                                <a:gd name="T14" fmla="+- 0 2467 2098"/>
                                <a:gd name="T15" fmla="*/ 2467 h 370"/>
                                <a:gd name="T16" fmla="+- 0 6789 6789"/>
                                <a:gd name="T17" fmla="*/ T16 w 1451"/>
                                <a:gd name="T18" fmla="+- 0 2098 2098"/>
                                <a:gd name="T19" fmla="*/ 2098 h 370"/>
                              </a:gdLst>
                              <a:ahLst/>
                              <a:cxnLst>
                                <a:cxn ang="0">
                                  <a:pos x="T1" y="T3"/>
                                </a:cxn>
                                <a:cxn ang="0">
                                  <a:pos x="T5" y="T7"/>
                                </a:cxn>
                                <a:cxn ang="0">
                                  <a:pos x="T9" y="T11"/>
                                </a:cxn>
                                <a:cxn ang="0">
                                  <a:pos x="T13" y="T15"/>
                                </a:cxn>
                                <a:cxn ang="0">
                                  <a:pos x="T17" y="T19"/>
                                </a:cxn>
                              </a:cxnLst>
                              <a:rect l="0" t="0" r="r" b="b"/>
                              <a:pathLst>
                                <a:path w="1451" h="370">
                                  <a:moveTo>
                                    <a:pt x="0" y="0"/>
                                  </a:moveTo>
                                  <a:lnTo>
                                    <a:pt x="1450" y="0"/>
                                  </a:lnTo>
                                  <a:lnTo>
                                    <a:pt x="1450" y="369"/>
                                  </a:lnTo>
                                  <a:lnTo>
                                    <a:pt x="0" y="36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211"/>
                        <wpg:cNvGrpSpPr>
                          <a:grpSpLocks/>
                        </wpg:cNvGrpSpPr>
                        <wpg:grpSpPr bwMode="auto">
                          <a:xfrm>
                            <a:off x="6779" y="2088"/>
                            <a:ext cx="1476" cy="389"/>
                            <a:chOff x="6779" y="2088"/>
                            <a:chExt cx="1476" cy="389"/>
                          </a:xfrm>
                        </wpg:grpSpPr>
                        <wps:wsp>
                          <wps:cNvPr id="387" name="Freeform 212"/>
                          <wps:cNvSpPr>
                            <a:spLocks/>
                          </wps:cNvSpPr>
                          <wps:spPr bwMode="auto">
                            <a:xfrm>
                              <a:off x="6779" y="2088"/>
                              <a:ext cx="1476" cy="389"/>
                            </a:xfrm>
                            <a:custGeom>
                              <a:avLst/>
                              <a:gdLst>
                                <a:gd name="T0" fmla="+- 0 8254 6779"/>
                                <a:gd name="T1" fmla="*/ T0 w 1476"/>
                                <a:gd name="T2" fmla="+- 0 2477 2088"/>
                                <a:gd name="T3" fmla="*/ 2477 h 389"/>
                                <a:gd name="T4" fmla="+- 0 6779 6779"/>
                                <a:gd name="T5" fmla="*/ T4 w 1476"/>
                                <a:gd name="T6" fmla="+- 0 2477 2088"/>
                                <a:gd name="T7" fmla="*/ 2477 h 389"/>
                                <a:gd name="T8" fmla="+- 0 6779 6779"/>
                                <a:gd name="T9" fmla="*/ T8 w 1476"/>
                                <a:gd name="T10" fmla="+- 0 2088 2088"/>
                                <a:gd name="T11" fmla="*/ 2088 h 389"/>
                                <a:gd name="T12" fmla="+- 0 8254 6779"/>
                                <a:gd name="T13" fmla="*/ T12 w 1476"/>
                                <a:gd name="T14" fmla="+- 0 2088 2088"/>
                                <a:gd name="T15" fmla="*/ 2088 h 389"/>
                                <a:gd name="T16" fmla="+- 0 8254 6779"/>
                                <a:gd name="T17" fmla="*/ T16 w 1476"/>
                                <a:gd name="T18" fmla="+- 0 2108 2088"/>
                                <a:gd name="T19" fmla="*/ 2108 h 389"/>
                                <a:gd name="T20" fmla="+- 0 6799 6779"/>
                                <a:gd name="T21" fmla="*/ T20 w 1476"/>
                                <a:gd name="T22" fmla="+- 0 2108 2088"/>
                                <a:gd name="T23" fmla="*/ 2108 h 389"/>
                                <a:gd name="T24" fmla="+- 0 6799 6779"/>
                                <a:gd name="T25" fmla="*/ T24 w 1476"/>
                                <a:gd name="T26" fmla="+- 0 2458 2088"/>
                                <a:gd name="T27" fmla="*/ 2458 h 389"/>
                                <a:gd name="T28" fmla="+- 0 8254 6779"/>
                                <a:gd name="T29" fmla="*/ T28 w 1476"/>
                                <a:gd name="T30" fmla="+- 0 2458 2088"/>
                                <a:gd name="T31" fmla="*/ 2458 h 389"/>
                                <a:gd name="T32" fmla="+- 0 8254 6779"/>
                                <a:gd name="T33" fmla="*/ T32 w 1476"/>
                                <a:gd name="T34" fmla="+- 0 2477 2088"/>
                                <a:gd name="T35" fmla="*/ 2477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76" h="389">
                                  <a:moveTo>
                                    <a:pt x="1475" y="389"/>
                                  </a:moveTo>
                                  <a:lnTo>
                                    <a:pt x="0" y="389"/>
                                  </a:lnTo>
                                  <a:lnTo>
                                    <a:pt x="0" y="0"/>
                                  </a:lnTo>
                                  <a:lnTo>
                                    <a:pt x="1475" y="0"/>
                                  </a:lnTo>
                                  <a:lnTo>
                                    <a:pt x="1475" y="20"/>
                                  </a:lnTo>
                                  <a:lnTo>
                                    <a:pt x="20" y="20"/>
                                  </a:lnTo>
                                  <a:lnTo>
                                    <a:pt x="20" y="370"/>
                                  </a:lnTo>
                                  <a:lnTo>
                                    <a:pt x="1475" y="370"/>
                                  </a:lnTo>
                                  <a:lnTo>
                                    <a:pt x="1475" y="38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209"/>
                        <wpg:cNvGrpSpPr>
                          <a:grpSpLocks/>
                        </wpg:cNvGrpSpPr>
                        <wpg:grpSpPr bwMode="auto">
                          <a:xfrm>
                            <a:off x="8244" y="2108"/>
                            <a:ext cx="2" cy="350"/>
                            <a:chOff x="8244" y="2108"/>
                            <a:chExt cx="2" cy="350"/>
                          </a:xfrm>
                        </wpg:grpSpPr>
                        <wps:wsp>
                          <wps:cNvPr id="389" name="Freeform 210"/>
                          <wps:cNvSpPr>
                            <a:spLocks/>
                          </wps:cNvSpPr>
                          <wps:spPr bwMode="auto">
                            <a:xfrm>
                              <a:off x="8244" y="2108"/>
                              <a:ext cx="2" cy="350"/>
                            </a:xfrm>
                            <a:custGeom>
                              <a:avLst/>
                              <a:gdLst>
                                <a:gd name="T0" fmla="+- 0 2458 2108"/>
                                <a:gd name="T1" fmla="*/ 2458 h 350"/>
                                <a:gd name="T2" fmla="+- 0 2108 2108"/>
                                <a:gd name="T3" fmla="*/ 2108 h 350"/>
                              </a:gdLst>
                              <a:ahLst/>
                              <a:cxnLst>
                                <a:cxn ang="0">
                                  <a:pos x="0" y="T1"/>
                                </a:cxn>
                                <a:cxn ang="0">
                                  <a:pos x="0" y="T3"/>
                                </a:cxn>
                              </a:cxnLst>
                              <a:rect l="0" t="0" r="r" b="b"/>
                              <a:pathLst>
                                <a:path h="350">
                                  <a:moveTo>
                                    <a:pt x="0" y="350"/>
                                  </a:moveTo>
                                  <a:lnTo>
                                    <a:pt x="0" y="0"/>
                                  </a:lnTo>
                                </a:path>
                              </a:pathLst>
                            </a:custGeom>
                            <a:noFill/>
                            <a:ln w="139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207"/>
                        <wpg:cNvGrpSpPr>
                          <a:grpSpLocks/>
                        </wpg:cNvGrpSpPr>
                        <wpg:grpSpPr bwMode="auto">
                          <a:xfrm>
                            <a:off x="2616" y="3487"/>
                            <a:ext cx="1305" cy="680"/>
                            <a:chOff x="2616" y="3487"/>
                            <a:chExt cx="1305" cy="680"/>
                          </a:xfrm>
                        </wpg:grpSpPr>
                        <wps:wsp>
                          <wps:cNvPr id="391" name="Freeform 208"/>
                          <wps:cNvSpPr>
                            <a:spLocks/>
                          </wps:cNvSpPr>
                          <wps:spPr bwMode="auto">
                            <a:xfrm>
                              <a:off x="2616" y="3487"/>
                              <a:ext cx="1305" cy="680"/>
                            </a:xfrm>
                            <a:custGeom>
                              <a:avLst/>
                              <a:gdLst>
                                <a:gd name="T0" fmla="+- 0 2616 2616"/>
                                <a:gd name="T1" fmla="*/ T0 w 1305"/>
                                <a:gd name="T2" fmla="+- 0 3487 3487"/>
                                <a:gd name="T3" fmla="*/ 3487 h 680"/>
                                <a:gd name="T4" fmla="+- 0 3921 2616"/>
                                <a:gd name="T5" fmla="*/ T4 w 1305"/>
                                <a:gd name="T6" fmla="+- 0 3487 3487"/>
                                <a:gd name="T7" fmla="*/ 3487 h 680"/>
                                <a:gd name="T8" fmla="+- 0 3921 2616"/>
                                <a:gd name="T9" fmla="*/ T8 w 1305"/>
                                <a:gd name="T10" fmla="+- 0 4167 3487"/>
                                <a:gd name="T11" fmla="*/ 4167 h 680"/>
                                <a:gd name="T12" fmla="+- 0 2616 2616"/>
                                <a:gd name="T13" fmla="*/ T12 w 1305"/>
                                <a:gd name="T14" fmla="+- 0 4167 3487"/>
                                <a:gd name="T15" fmla="*/ 4167 h 680"/>
                                <a:gd name="T16" fmla="+- 0 2616 2616"/>
                                <a:gd name="T17" fmla="*/ T16 w 1305"/>
                                <a:gd name="T18" fmla="+- 0 3487 3487"/>
                                <a:gd name="T19" fmla="*/ 3487 h 680"/>
                              </a:gdLst>
                              <a:ahLst/>
                              <a:cxnLst>
                                <a:cxn ang="0">
                                  <a:pos x="T1" y="T3"/>
                                </a:cxn>
                                <a:cxn ang="0">
                                  <a:pos x="T5" y="T7"/>
                                </a:cxn>
                                <a:cxn ang="0">
                                  <a:pos x="T9" y="T11"/>
                                </a:cxn>
                                <a:cxn ang="0">
                                  <a:pos x="T13" y="T15"/>
                                </a:cxn>
                                <a:cxn ang="0">
                                  <a:pos x="T17" y="T19"/>
                                </a:cxn>
                              </a:cxnLst>
                              <a:rect l="0" t="0" r="r" b="b"/>
                              <a:pathLst>
                                <a:path w="1305" h="680">
                                  <a:moveTo>
                                    <a:pt x="0" y="0"/>
                                  </a:moveTo>
                                  <a:lnTo>
                                    <a:pt x="1305" y="0"/>
                                  </a:lnTo>
                                  <a:lnTo>
                                    <a:pt x="1305" y="680"/>
                                  </a:lnTo>
                                  <a:lnTo>
                                    <a:pt x="0" y="6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205"/>
                        <wpg:cNvGrpSpPr>
                          <a:grpSpLocks/>
                        </wpg:cNvGrpSpPr>
                        <wpg:grpSpPr bwMode="auto">
                          <a:xfrm>
                            <a:off x="2616" y="3477"/>
                            <a:ext cx="1317" cy="700"/>
                            <a:chOff x="2616" y="3477"/>
                            <a:chExt cx="1317" cy="700"/>
                          </a:xfrm>
                        </wpg:grpSpPr>
                        <wps:wsp>
                          <wps:cNvPr id="393" name="Freeform 206"/>
                          <wps:cNvSpPr>
                            <a:spLocks/>
                          </wps:cNvSpPr>
                          <wps:spPr bwMode="auto">
                            <a:xfrm>
                              <a:off x="2616" y="3477"/>
                              <a:ext cx="1317" cy="700"/>
                            </a:xfrm>
                            <a:custGeom>
                              <a:avLst/>
                              <a:gdLst>
                                <a:gd name="T0" fmla="+- 0 3933 2616"/>
                                <a:gd name="T1" fmla="*/ T0 w 1317"/>
                                <a:gd name="T2" fmla="+- 0 4177 3477"/>
                                <a:gd name="T3" fmla="*/ 4177 h 700"/>
                                <a:gd name="T4" fmla="+- 0 2616 2616"/>
                                <a:gd name="T5" fmla="*/ T4 w 1317"/>
                                <a:gd name="T6" fmla="+- 0 4177 3477"/>
                                <a:gd name="T7" fmla="*/ 4177 h 700"/>
                                <a:gd name="T8" fmla="+- 0 2616 2616"/>
                                <a:gd name="T9" fmla="*/ T8 w 1317"/>
                                <a:gd name="T10" fmla="+- 0 3477 3477"/>
                                <a:gd name="T11" fmla="*/ 3477 h 700"/>
                                <a:gd name="T12" fmla="+- 0 3933 2616"/>
                                <a:gd name="T13" fmla="*/ T12 w 1317"/>
                                <a:gd name="T14" fmla="+- 0 3477 3477"/>
                                <a:gd name="T15" fmla="*/ 3477 h 700"/>
                                <a:gd name="T16" fmla="+- 0 3933 2616"/>
                                <a:gd name="T17" fmla="*/ T16 w 1317"/>
                                <a:gd name="T18" fmla="+- 0 3496 3477"/>
                                <a:gd name="T19" fmla="*/ 3496 h 700"/>
                                <a:gd name="T20" fmla="+- 0 2636 2616"/>
                                <a:gd name="T21" fmla="*/ T20 w 1317"/>
                                <a:gd name="T22" fmla="+- 0 3496 3477"/>
                                <a:gd name="T23" fmla="*/ 3496 h 700"/>
                                <a:gd name="T24" fmla="+- 0 2636 2616"/>
                                <a:gd name="T25" fmla="*/ T24 w 1317"/>
                                <a:gd name="T26" fmla="+- 0 4157 3477"/>
                                <a:gd name="T27" fmla="*/ 4157 h 700"/>
                                <a:gd name="T28" fmla="+- 0 3933 2616"/>
                                <a:gd name="T29" fmla="*/ T28 w 1317"/>
                                <a:gd name="T30" fmla="+- 0 4157 3477"/>
                                <a:gd name="T31" fmla="*/ 4157 h 700"/>
                                <a:gd name="T32" fmla="+- 0 3933 2616"/>
                                <a:gd name="T33" fmla="*/ T32 w 1317"/>
                                <a:gd name="T34" fmla="+- 0 4177 3477"/>
                                <a:gd name="T35" fmla="*/ 4177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7" h="700">
                                  <a:moveTo>
                                    <a:pt x="1317" y="700"/>
                                  </a:moveTo>
                                  <a:lnTo>
                                    <a:pt x="0" y="700"/>
                                  </a:lnTo>
                                  <a:lnTo>
                                    <a:pt x="0" y="0"/>
                                  </a:lnTo>
                                  <a:lnTo>
                                    <a:pt x="1317" y="0"/>
                                  </a:lnTo>
                                  <a:lnTo>
                                    <a:pt x="1317" y="19"/>
                                  </a:lnTo>
                                  <a:lnTo>
                                    <a:pt x="20" y="19"/>
                                  </a:lnTo>
                                  <a:lnTo>
                                    <a:pt x="20" y="680"/>
                                  </a:lnTo>
                                  <a:lnTo>
                                    <a:pt x="1317" y="680"/>
                                  </a:lnTo>
                                  <a:lnTo>
                                    <a:pt x="1317" y="70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203"/>
                        <wpg:cNvGrpSpPr>
                          <a:grpSpLocks/>
                        </wpg:cNvGrpSpPr>
                        <wpg:grpSpPr bwMode="auto">
                          <a:xfrm>
                            <a:off x="3923" y="3496"/>
                            <a:ext cx="2" cy="660"/>
                            <a:chOff x="3923" y="3496"/>
                            <a:chExt cx="2" cy="660"/>
                          </a:xfrm>
                        </wpg:grpSpPr>
                        <wps:wsp>
                          <wps:cNvPr id="395" name="Freeform 204"/>
                          <wps:cNvSpPr>
                            <a:spLocks/>
                          </wps:cNvSpPr>
                          <wps:spPr bwMode="auto">
                            <a:xfrm>
                              <a:off x="3923" y="3496"/>
                              <a:ext cx="2" cy="660"/>
                            </a:xfrm>
                            <a:custGeom>
                              <a:avLst/>
                              <a:gdLst>
                                <a:gd name="T0" fmla="+- 0 4157 3496"/>
                                <a:gd name="T1" fmla="*/ 4157 h 660"/>
                                <a:gd name="T2" fmla="+- 0 3496 3496"/>
                                <a:gd name="T3" fmla="*/ 3496 h 660"/>
                              </a:gdLst>
                              <a:ahLst/>
                              <a:cxnLst>
                                <a:cxn ang="0">
                                  <a:pos x="0" y="T1"/>
                                </a:cxn>
                                <a:cxn ang="0">
                                  <a:pos x="0" y="T3"/>
                                </a:cxn>
                              </a:cxnLst>
                              <a:rect l="0" t="0" r="r" b="b"/>
                              <a:pathLst>
                                <a:path h="660">
                                  <a:moveTo>
                                    <a:pt x="0" y="661"/>
                                  </a:moveTo>
                                  <a:lnTo>
                                    <a:pt x="0" y="0"/>
                                  </a:lnTo>
                                </a:path>
                              </a:pathLst>
                            </a:custGeom>
                            <a:noFill/>
                            <a:ln w="139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201"/>
                        <wpg:cNvGrpSpPr>
                          <a:grpSpLocks/>
                        </wpg:cNvGrpSpPr>
                        <wpg:grpSpPr bwMode="auto">
                          <a:xfrm>
                            <a:off x="1436" y="2797"/>
                            <a:ext cx="1551" cy="414"/>
                            <a:chOff x="1436" y="2797"/>
                            <a:chExt cx="1551" cy="414"/>
                          </a:xfrm>
                        </wpg:grpSpPr>
                        <wps:wsp>
                          <wps:cNvPr id="397" name="Freeform 202"/>
                          <wps:cNvSpPr>
                            <a:spLocks/>
                          </wps:cNvSpPr>
                          <wps:spPr bwMode="auto">
                            <a:xfrm>
                              <a:off x="1436" y="2797"/>
                              <a:ext cx="1551" cy="414"/>
                            </a:xfrm>
                            <a:custGeom>
                              <a:avLst/>
                              <a:gdLst>
                                <a:gd name="T0" fmla="+- 0 2986 1436"/>
                                <a:gd name="T1" fmla="*/ T0 w 1551"/>
                                <a:gd name="T2" fmla="+- 0 3211 2797"/>
                                <a:gd name="T3" fmla="*/ 3211 h 414"/>
                                <a:gd name="T4" fmla="+- 0 1436 1436"/>
                                <a:gd name="T5" fmla="*/ T4 w 1551"/>
                                <a:gd name="T6" fmla="+- 0 3211 2797"/>
                                <a:gd name="T7" fmla="*/ 3211 h 414"/>
                                <a:gd name="T8" fmla="+- 0 1436 1436"/>
                                <a:gd name="T9" fmla="*/ T8 w 1551"/>
                                <a:gd name="T10" fmla="+- 0 2797 2797"/>
                                <a:gd name="T11" fmla="*/ 2797 h 414"/>
                                <a:gd name="T12" fmla="+- 0 2986 1436"/>
                                <a:gd name="T13" fmla="*/ T12 w 1551"/>
                                <a:gd name="T14" fmla="+- 0 2797 2797"/>
                                <a:gd name="T15" fmla="*/ 2797 h 414"/>
                                <a:gd name="T16" fmla="+- 0 2986 1436"/>
                                <a:gd name="T17" fmla="*/ T16 w 1551"/>
                                <a:gd name="T18" fmla="+- 0 2816 2797"/>
                                <a:gd name="T19" fmla="*/ 2816 h 414"/>
                                <a:gd name="T20" fmla="+- 0 1456 1436"/>
                                <a:gd name="T21" fmla="*/ T20 w 1551"/>
                                <a:gd name="T22" fmla="+- 0 2816 2797"/>
                                <a:gd name="T23" fmla="*/ 2816 h 414"/>
                                <a:gd name="T24" fmla="+- 0 1456 1436"/>
                                <a:gd name="T25" fmla="*/ T24 w 1551"/>
                                <a:gd name="T26" fmla="+- 0 3191 2797"/>
                                <a:gd name="T27" fmla="*/ 3191 h 414"/>
                                <a:gd name="T28" fmla="+- 0 2986 1436"/>
                                <a:gd name="T29" fmla="*/ T28 w 1551"/>
                                <a:gd name="T30" fmla="+- 0 3191 2797"/>
                                <a:gd name="T31" fmla="*/ 3191 h 414"/>
                                <a:gd name="T32" fmla="+- 0 2986 1436"/>
                                <a:gd name="T33" fmla="*/ T32 w 1551"/>
                                <a:gd name="T34" fmla="+- 0 3211 2797"/>
                                <a:gd name="T35" fmla="*/ 32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51" h="414">
                                  <a:moveTo>
                                    <a:pt x="1550" y="414"/>
                                  </a:moveTo>
                                  <a:lnTo>
                                    <a:pt x="0" y="414"/>
                                  </a:lnTo>
                                  <a:lnTo>
                                    <a:pt x="0" y="0"/>
                                  </a:lnTo>
                                  <a:lnTo>
                                    <a:pt x="1550" y="0"/>
                                  </a:lnTo>
                                  <a:lnTo>
                                    <a:pt x="1550" y="19"/>
                                  </a:lnTo>
                                  <a:lnTo>
                                    <a:pt x="20" y="19"/>
                                  </a:lnTo>
                                  <a:lnTo>
                                    <a:pt x="20" y="394"/>
                                  </a:lnTo>
                                  <a:lnTo>
                                    <a:pt x="1550" y="394"/>
                                  </a:lnTo>
                                  <a:lnTo>
                                    <a:pt x="1550" y="41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 name="Group 199"/>
                        <wpg:cNvGrpSpPr>
                          <a:grpSpLocks/>
                        </wpg:cNvGrpSpPr>
                        <wpg:grpSpPr bwMode="auto">
                          <a:xfrm>
                            <a:off x="6302" y="3444"/>
                            <a:ext cx="1045" cy="323"/>
                            <a:chOff x="6302" y="3444"/>
                            <a:chExt cx="1045" cy="323"/>
                          </a:xfrm>
                        </wpg:grpSpPr>
                        <wps:wsp>
                          <wps:cNvPr id="399" name="Freeform 200"/>
                          <wps:cNvSpPr>
                            <a:spLocks/>
                          </wps:cNvSpPr>
                          <wps:spPr bwMode="auto">
                            <a:xfrm>
                              <a:off x="6302" y="3444"/>
                              <a:ext cx="1045" cy="323"/>
                            </a:xfrm>
                            <a:custGeom>
                              <a:avLst/>
                              <a:gdLst>
                                <a:gd name="T0" fmla="+- 0 6302 6302"/>
                                <a:gd name="T1" fmla="*/ T0 w 1045"/>
                                <a:gd name="T2" fmla="+- 0 3444 3444"/>
                                <a:gd name="T3" fmla="*/ 3444 h 323"/>
                                <a:gd name="T4" fmla="+- 0 7348 6302"/>
                                <a:gd name="T5" fmla="*/ T4 w 1045"/>
                                <a:gd name="T6" fmla="+- 0 3444 3444"/>
                                <a:gd name="T7" fmla="*/ 3444 h 323"/>
                                <a:gd name="T8" fmla="+- 0 7348 6302"/>
                                <a:gd name="T9" fmla="*/ T8 w 1045"/>
                                <a:gd name="T10" fmla="+- 0 3767 3444"/>
                                <a:gd name="T11" fmla="*/ 3767 h 323"/>
                                <a:gd name="T12" fmla="+- 0 6302 6302"/>
                                <a:gd name="T13" fmla="*/ T12 w 1045"/>
                                <a:gd name="T14" fmla="+- 0 3767 3444"/>
                                <a:gd name="T15" fmla="*/ 3767 h 323"/>
                                <a:gd name="T16" fmla="+- 0 6302 6302"/>
                                <a:gd name="T17" fmla="*/ T16 w 1045"/>
                                <a:gd name="T18" fmla="+- 0 3444 3444"/>
                                <a:gd name="T19" fmla="*/ 3444 h 323"/>
                              </a:gdLst>
                              <a:ahLst/>
                              <a:cxnLst>
                                <a:cxn ang="0">
                                  <a:pos x="T1" y="T3"/>
                                </a:cxn>
                                <a:cxn ang="0">
                                  <a:pos x="T5" y="T7"/>
                                </a:cxn>
                                <a:cxn ang="0">
                                  <a:pos x="T9" y="T11"/>
                                </a:cxn>
                                <a:cxn ang="0">
                                  <a:pos x="T13" y="T15"/>
                                </a:cxn>
                                <a:cxn ang="0">
                                  <a:pos x="T17" y="T19"/>
                                </a:cxn>
                              </a:cxnLst>
                              <a:rect l="0" t="0" r="r" b="b"/>
                              <a:pathLst>
                                <a:path w="1045" h="323">
                                  <a:moveTo>
                                    <a:pt x="0" y="0"/>
                                  </a:moveTo>
                                  <a:lnTo>
                                    <a:pt x="1046" y="0"/>
                                  </a:lnTo>
                                  <a:lnTo>
                                    <a:pt x="1046" y="323"/>
                                  </a:lnTo>
                                  <a:lnTo>
                                    <a:pt x="0" y="32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197"/>
                        <wpg:cNvGrpSpPr>
                          <a:grpSpLocks/>
                        </wpg:cNvGrpSpPr>
                        <wpg:grpSpPr bwMode="auto">
                          <a:xfrm>
                            <a:off x="7396" y="3430"/>
                            <a:ext cx="844" cy="323"/>
                            <a:chOff x="7396" y="3430"/>
                            <a:chExt cx="844" cy="323"/>
                          </a:xfrm>
                        </wpg:grpSpPr>
                        <wps:wsp>
                          <wps:cNvPr id="401" name="Freeform 198"/>
                          <wps:cNvSpPr>
                            <a:spLocks/>
                          </wps:cNvSpPr>
                          <wps:spPr bwMode="auto">
                            <a:xfrm>
                              <a:off x="7396" y="3430"/>
                              <a:ext cx="844" cy="323"/>
                            </a:xfrm>
                            <a:custGeom>
                              <a:avLst/>
                              <a:gdLst>
                                <a:gd name="T0" fmla="+- 0 7396 7396"/>
                                <a:gd name="T1" fmla="*/ T0 w 844"/>
                                <a:gd name="T2" fmla="+- 0 3430 3430"/>
                                <a:gd name="T3" fmla="*/ 3430 h 323"/>
                                <a:gd name="T4" fmla="+- 0 8239 7396"/>
                                <a:gd name="T5" fmla="*/ T4 w 844"/>
                                <a:gd name="T6" fmla="+- 0 3430 3430"/>
                                <a:gd name="T7" fmla="*/ 3430 h 323"/>
                                <a:gd name="T8" fmla="+- 0 8239 7396"/>
                                <a:gd name="T9" fmla="*/ T8 w 844"/>
                                <a:gd name="T10" fmla="+- 0 3753 3430"/>
                                <a:gd name="T11" fmla="*/ 3753 h 323"/>
                                <a:gd name="T12" fmla="+- 0 7396 7396"/>
                                <a:gd name="T13" fmla="*/ T12 w 844"/>
                                <a:gd name="T14" fmla="+- 0 3753 3430"/>
                                <a:gd name="T15" fmla="*/ 3753 h 323"/>
                                <a:gd name="T16" fmla="+- 0 7396 7396"/>
                                <a:gd name="T17" fmla="*/ T16 w 844"/>
                                <a:gd name="T18" fmla="+- 0 3430 3430"/>
                                <a:gd name="T19" fmla="*/ 3430 h 323"/>
                              </a:gdLst>
                              <a:ahLst/>
                              <a:cxnLst>
                                <a:cxn ang="0">
                                  <a:pos x="T1" y="T3"/>
                                </a:cxn>
                                <a:cxn ang="0">
                                  <a:pos x="T5" y="T7"/>
                                </a:cxn>
                                <a:cxn ang="0">
                                  <a:pos x="T9" y="T11"/>
                                </a:cxn>
                                <a:cxn ang="0">
                                  <a:pos x="T13" y="T15"/>
                                </a:cxn>
                                <a:cxn ang="0">
                                  <a:pos x="T17" y="T19"/>
                                </a:cxn>
                              </a:cxnLst>
                              <a:rect l="0" t="0" r="r" b="b"/>
                              <a:pathLst>
                                <a:path w="844" h="323">
                                  <a:moveTo>
                                    <a:pt x="0" y="0"/>
                                  </a:moveTo>
                                  <a:lnTo>
                                    <a:pt x="843" y="0"/>
                                  </a:lnTo>
                                  <a:lnTo>
                                    <a:pt x="843" y="323"/>
                                  </a:lnTo>
                                  <a:lnTo>
                                    <a:pt x="0" y="32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195"/>
                        <wpg:cNvGrpSpPr>
                          <a:grpSpLocks/>
                        </wpg:cNvGrpSpPr>
                        <wpg:grpSpPr bwMode="auto">
                          <a:xfrm>
                            <a:off x="2549" y="5737"/>
                            <a:ext cx="1858" cy="442"/>
                            <a:chOff x="2549" y="5737"/>
                            <a:chExt cx="1858" cy="442"/>
                          </a:xfrm>
                        </wpg:grpSpPr>
                        <wps:wsp>
                          <wps:cNvPr id="403" name="Freeform 196"/>
                          <wps:cNvSpPr>
                            <a:spLocks/>
                          </wps:cNvSpPr>
                          <wps:spPr bwMode="auto">
                            <a:xfrm>
                              <a:off x="2549" y="5737"/>
                              <a:ext cx="1858" cy="442"/>
                            </a:xfrm>
                            <a:custGeom>
                              <a:avLst/>
                              <a:gdLst>
                                <a:gd name="T0" fmla="+- 0 2549 2549"/>
                                <a:gd name="T1" fmla="*/ T0 w 1858"/>
                                <a:gd name="T2" fmla="+- 0 5737 5737"/>
                                <a:gd name="T3" fmla="*/ 5737 h 442"/>
                                <a:gd name="T4" fmla="+- 0 4408 2549"/>
                                <a:gd name="T5" fmla="*/ T4 w 1858"/>
                                <a:gd name="T6" fmla="+- 0 5737 5737"/>
                                <a:gd name="T7" fmla="*/ 5737 h 442"/>
                                <a:gd name="T8" fmla="+- 0 4408 2549"/>
                                <a:gd name="T9" fmla="*/ T8 w 1858"/>
                                <a:gd name="T10" fmla="+- 0 6179 5737"/>
                                <a:gd name="T11" fmla="*/ 6179 h 442"/>
                                <a:gd name="T12" fmla="+- 0 2549 2549"/>
                                <a:gd name="T13" fmla="*/ T12 w 1858"/>
                                <a:gd name="T14" fmla="+- 0 6179 5737"/>
                                <a:gd name="T15" fmla="*/ 6179 h 442"/>
                                <a:gd name="T16" fmla="+- 0 2549 2549"/>
                                <a:gd name="T17" fmla="*/ T16 w 1858"/>
                                <a:gd name="T18" fmla="+- 0 5737 5737"/>
                                <a:gd name="T19" fmla="*/ 5737 h 442"/>
                              </a:gdLst>
                              <a:ahLst/>
                              <a:cxnLst>
                                <a:cxn ang="0">
                                  <a:pos x="T1" y="T3"/>
                                </a:cxn>
                                <a:cxn ang="0">
                                  <a:pos x="T5" y="T7"/>
                                </a:cxn>
                                <a:cxn ang="0">
                                  <a:pos x="T9" y="T11"/>
                                </a:cxn>
                                <a:cxn ang="0">
                                  <a:pos x="T13" y="T15"/>
                                </a:cxn>
                                <a:cxn ang="0">
                                  <a:pos x="T17" y="T19"/>
                                </a:cxn>
                              </a:cxnLst>
                              <a:rect l="0" t="0" r="r" b="b"/>
                              <a:pathLst>
                                <a:path w="1858" h="442">
                                  <a:moveTo>
                                    <a:pt x="0" y="0"/>
                                  </a:moveTo>
                                  <a:lnTo>
                                    <a:pt x="1859" y="0"/>
                                  </a:lnTo>
                                  <a:lnTo>
                                    <a:pt x="1859" y="442"/>
                                  </a:lnTo>
                                  <a:lnTo>
                                    <a:pt x="0" y="442"/>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193"/>
                        <wpg:cNvGrpSpPr>
                          <a:grpSpLocks/>
                        </wpg:cNvGrpSpPr>
                        <wpg:grpSpPr bwMode="auto">
                          <a:xfrm>
                            <a:off x="2539" y="5727"/>
                            <a:ext cx="1878" cy="462"/>
                            <a:chOff x="2539" y="5727"/>
                            <a:chExt cx="1878" cy="462"/>
                          </a:xfrm>
                        </wpg:grpSpPr>
                        <wps:wsp>
                          <wps:cNvPr id="405" name="Freeform 194"/>
                          <wps:cNvSpPr>
                            <a:spLocks/>
                          </wps:cNvSpPr>
                          <wps:spPr bwMode="auto">
                            <a:xfrm>
                              <a:off x="2539" y="5727"/>
                              <a:ext cx="1878" cy="462"/>
                            </a:xfrm>
                            <a:custGeom>
                              <a:avLst/>
                              <a:gdLst>
                                <a:gd name="T0" fmla="+- 0 4418 2539"/>
                                <a:gd name="T1" fmla="*/ T0 w 1878"/>
                                <a:gd name="T2" fmla="+- 0 6189 5727"/>
                                <a:gd name="T3" fmla="*/ 6189 h 462"/>
                                <a:gd name="T4" fmla="+- 0 2539 2539"/>
                                <a:gd name="T5" fmla="*/ T4 w 1878"/>
                                <a:gd name="T6" fmla="+- 0 6189 5727"/>
                                <a:gd name="T7" fmla="*/ 6189 h 462"/>
                                <a:gd name="T8" fmla="+- 0 2539 2539"/>
                                <a:gd name="T9" fmla="*/ T8 w 1878"/>
                                <a:gd name="T10" fmla="+- 0 5727 5727"/>
                                <a:gd name="T11" fmla="*/ 5727 h 462"/>
                                <a:gd name="T12" fmla="+- 0 4418 2539"/>
                                <a:gd name="T13" fmla="*/ T12 w 1878"/>
                                <a:gd name="T14" fmla="+- 0 5727 5727"/>
                                <a:gd name="T15" fmla="*/ 5727 h 462"/>
                                <a:gd name="T16" fmla="+- 0 4418 2539"/>
                                <a:gd name="T17" fmla="*/ T16 w 1878"/>
                                <a:gd name="T18" fmla="+- 0 5747 5727"/>
                                <a:gd name="T19" fmla="*/ 5747 h 462"/>
                                <a:gd name="T20" fmla="+- 0 2559 2539"/>
                                <a:gd name="T21" fmla="*/ T20 w 1878"/>
                                <a:gd name="T22" fmla="+- 0 5747 5727"/>
                                <a:gd name="T23" fmla="*/ 5747 h 462"/>
                                <a:gd name="T24" fmla="+- 0 2559 2539"/>
                                <a:gd name="T25" fmla="*/ T24 w 1878"/>
                                <a:gd name="T26" fmla="+- 0 6169 5727"/>
                                <a:gd name="T27" fmla="*/ 6169 h 462"/>
                                <a:gd name="T28" fmla="+- 0 4418 2539"/>
                                <a:gd name="T29" fmla="*/ T28 w 1878"/>
                                <a:gd name="T30" fmla="+- 0 6169 5727"/>
                                <a:gd name="T31" fmla="*/ 6169 h 462"/>
                                <a:gd name="T32" fmla="+- 0 4418 2539"/>
                                <a:gd name="T33" fmla="*/ T32 w 1878"/>
                                <a:gd name="T34" fmla="+- 0 6189 5727"/>
                                <a:gd name="T35" fmla="*/ 6189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78" h="462">
                                  <a:moveTo>
                                    <a:pt x="1879" y="462"/>
                                  </a:moveTo>
                                  <a:lnTo>
                                    <a:pt x="0" y="462"/>
                                  </a:lnTo>
                                  <a:lnTo>
                                    <a:pt x="0" y="0"/>
                                  </a:lnTo>
                                  <a:lnTo>
                                    <a:pt x="1879" y="0"/>
                                  </a:lnTo>
                                  <a:lnTo>
                                    <a:pt x="1879" y="20"/>
                                  </a:lnTo>
                                  <a:lnTo>
                                    <a:pt x="20" y="20"/>
                                  </a:lnTo>
                                  <a:lnTo>
                                    <a:pt x="20" y="442"/>
                                  </a:lnTo>
                                  <a:lnTo>
                                    <a:pt x="1879" y="442"/>
                                  </a:lnTo>
                                  <a:lnTo>
                                    <a:pt x="1879" y="46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191"/>
                        <wpg:cNvGrpSpPr>
                          <a:grpSpLocks/>
                        </wpg:cNvGrpSpPr>
                        <wpg:grpSpPr bwMode="auto">
                          <a:xfrm>
                            <a:off x="4408" y="5747"/>
                            <a:ext cx="2" cy="423"/>
                            <a:chOff x="4408" y="5747"/>
                            <a:chExt cx="2" cy="423"/>
                          </a:xfrm>
                        </wpg:grpSpPr>
                        <wps:wsp>
                          <wps:cNvPr id="407" name="Freeform 192"/>
                          <wps:cNvSpPr>
                            <a:spLocks/>
                          </wps:cNvSpPr>
                          <wps:spPr bwMode="auto">
                            <a:xfrm>
                              <a:off x="4408" y="5747"/>
                              <a:ext cx="2" cy="423"/>
                            </a:xfrm>
                            <a:custGeom>
                              <a:avLst/>
                              <a:gdLst>
                                <a:gd name="T0" fmla="+- 0 6169 5747"/>
                                <a:gd name="T1" fmla="*/ 6169 h 423"/>
                                <a:gd name="T2" fmla="+- 0 5747 5747"/>
                                <a:gd name="T3" fmla="*/ 5747 h 423"/>
                              </a:gdLst>
                              <a:ahLst/>
                              <a:cxnLst>
                                <a:cxn ang="0">
                                  <a:pos x="0" y="T1"/>
                                </a:cxn>
                                <a:cxn ang="0">
                                  <a:pos x="0" y="T3"/>
                                </a:cxn>
                              </a:cxnLst>
                              <a:rect l="0" t="0" r="r" b="b"/>
                              <a:pathLst>
                                <a:path h="423">
                                  <a:moveTo>
                                    <a:pt x="0" y="422"/>
                                  </a:moveTo>
                                  <a:lnTo>
                                    <a:pt x="0" y="0"/>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189"/>
                        <wpg:cNvGrpSpPr>
                          <a:grpSpLocks/>
                        </wpg:cNvGrpSpPr>
                        <wpg:grpSpPr bwMode="auto">
                          <a:xfrm>
                            <a:off x="1373" y="3601"/>
                            <a:ext cx="1097" cy="554"/>
                            <a:chOff x="1373" y="3601"/>
                            <a:chExt cx="1097" cy="554"/>
                          </a:xfrm>
                        </wpg:grpSpPr>
                        <wps:wsp>
                          <wps:cNvPr id="409" name="Freeform 190"/>
                          <wps:cNvSpPr>
                            <a:spLocks/>
                          </wps:cNvSpPr>
                          <wps:spPr bwMode="auto">
                            <a:xfrm>
                              <a:off x="1373" y="3601"/>
                              <a:ext cx="1097" cy="554"/>
                            </a:xfrm>
                            <a:custGeom>
                              <a:avLst/>
                              <a:gdLst>
                                <a:gd name="T0" fmla="+- 0 1373 1373"/>
                                <a:gd name="T1" fmla="*/ T0 w 1097"/>
                                <a:gd name="T2" fmla="+- 0 3601 3601"/>
                                <a:gd name="T3" fmla="*/ 3601 h 554"/>
                                <a:gd name="T4" fmla="+- 0 2470 1373"/>
                                <a:gd name="T5" fmla="*/ T4 w 1097"/>
                                <a:gd name="T6" fmla="+- 0 3601 3601"/>
                                <a:gd name="T7" fmla="*/ 3601 h 554"/>
                                <a:gd name="T8" fmla="+- 0 2470 1373"/>
                                <a:gd name="T9" fmla="*/ T8 w 1097"/>
                                <a:gd name="T10" fmla="+- 0 4155 3601"/>
                                <a:gd name="T11" fmla="*/ 4155 h 554"/>
                                <a:gd name="T12" fmla="+- 0 1373 1373"/>
                                <a:gd name="T13" fmla="*/ T12 w 1097"/>
                                <a:gd name="T14" fmla="+- 0 4155 3601"/>
                                <a:gd name="T15" fmla="*/ 4155 h 554"/>
                                <a:gd name="T16" fmla="+- 0 1373 1373"/>
                                <a:gd name="T17" fmla="*/ T16 w 1097"/>
                                <a:gd name="T18" fmla="+- 0 3601 3601"/>
                                <a:gd name="T19" fmla="*/ 3601 h 554"/>
                              </a:gdLst>
                              <a:ahLst/>
                              <a:cxnLst>
                                <a:cxn ang="0">
                                  <a:pos x="T1" y="T3"/>
                                </a:cxn>
                                <a:cxn ang="0">
                                  <a:pos x="T5" y="T7"/>
                                </a:cxn>
                                <a:cxn ang="0">
                                  <a:pos x="T9" y="T11"/>
                                </a:cxn>
                                <a:cxn ang="0">
                                  <a:pos x="T13" y="T15"/>
                                </a:cxn>
                                <a:cxn ang="0">
                                  <a:pos x="T17" y="T19"/>
                                </a:cxn>
                              </a:cxnLst>
                              <a:rect l="0" t="0" r="r" b="b"/>
                              <a:pathLst>
                                <a:path w="1097" h="554">
                                  <a:moveTo>
                                    <a:pt x="0" y="0"/>
                                  </a:moveTo>
                                  <a:lnTo>
                                    <a:pt x="1097" y="0"/>
                                  </a:lnTo>
                                  <a:lnTo>
                                    <a:pt x="1097" y="554"/>
                                  </a:lnTo>
                                  <a:lnTo>
                                    <a:pt x="0" y="55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187"/>
                        <wpg:cNvGrpSpPr>
                          <a:grpSpLocks/>
                        </wpg:cNvGrpSpPr>
                        <wpg:grpSpPr bwMode="auto">
                          <a:xfrm>
                            <a:off x="1363" y="3591"/>
                            <a:ext cx="1127" cy="574"/>
                            <a:chOff x="1363" y="3591"/>
                            <a:chExt cx="1127" cy="574"/>
                          </a:xfrm>
                        </wpg:grpSpPr>
                        <wps:wsp>
                          <wps:cNvPr id="411" name="Freeform 188"/>
                          <wps:cNvSpPr>
                            <a:spLocks/>
                          </wps:cNvSpPr>
                          <wps:spPr bwMode="auto">
                            <a:xfrm>
                              <a:off x="1363" y="3591"/>
                              <a:ext cx="1127" cy="574"/>
                            </a:xfrm>
                            <a:custGeom>
                              <a:avLst/>
                              <a:gdLst>
                                <a:gd name="T0" fmla="+- 0 2490 1363"/>
                                <a:gd name="T1" fmla="*/ T0 w 1127"/>
                                <a:gd name="T2" fmla="+- 0 4165 3591"/>
                                <a:gd name="T3" fmla="*/ 4165 h 574"/>
                                <a:gd name="T4" fmla="+- 0 1363 1363"/>
                                <a:gd name="T5" fmla="*/ T4 w 1127"/>
                                <a:gd name="T6" fmla="+- 0 4165 3591"/>
                                <a:gd name="T7" fmla="*/ 4165 h 574"/>
                                <a:gd name="T8" fmla="+- 0 1363 1363"/>
                                <a:gd name="T9" fmla="*/ T8 w 1127"/>
                                <a:gd name="T10" fmla="+- 0 3591 3591"/>
                                <a:gd name="T11" fmla="*/ 3591 h 574"/>
                                <a:gd name="T12" fmla="+- 0 2490 1363"/>
                                <a:gd name="T13" fmla="*/ T12 w 1127"/>
                                <a:gd name="T14" fmla="+- 0 3591 3591"/>
                                <a:gd name="T15" fmla="*/ 3591 h 574"/>
                                <a:gd name="T16" fmla="+- 0 2490 1363"/>
                                <a:gd name="T17" fmla="*/ T16 w 1127"/>
                                <a:gd name="T18" fmla="+- 0 3611 3591"/>
                                <a:gd name="T19" fmla="*/ 3611 h 574"/>
                                <a:gd name="T20" fmla="+- 0 1383 1363"/>
                                <a:gd name="T21" fmla="*/ T20 w 1127"/>
                                <a:gd name="T22" fmla="+- 0 3611 3591"/>
                                <a:gd name="T23" fmla="*/ 3611 h 574"/>
                                <a:gd name="T24" fmla="+- 0 1383 1363"/>
                                <a:gd name="T25" fmla="*/ T24 w 1127"/>
                                <a:gd name="T26" fmla="+- 0 4145 3591"/>
                                <a:gd name="T27" fmla="*/ 4145 h 574"/>
                                <a:gd name="T28" fmla="+- 0 2490 1363"/>
                                <a:gd name="T29" fmla="*/ T28 w 1127"/>
                                <a:gd name="T30" fmla="+- 0 4145 3591"/>
                                <a:gd name="T31" fmla="*/ 4145 h 574"/>
                                <a:gd name="T32" fmla="+- 0 2490 1363"/>
                                <a:gd name="T33" fmla="*/ T32 w 1127"/>
                                <a:gd name="T34" fmla="+- 0 4165 3591"/>
                                <a:gd name="T35" fmla="*/ 4165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7" h="574">
                                  <a:moveTo>
                                    <a:pt x="1127" y="574"/>
                                  </a:moveTo>
                                  <a:lnTo>
                                    <a:pt x="0" y="574"/>
                                  </a:lnTo>
                                  <a:lnTo>
                                    <a:pt x="0" y="0"/>
                                  </a:lnTo>
                                  <a:lnTo>
                                    <a:pt x="1127" y="0"/>
                                  </a:lnTo>
                                  <a:lnTo>
                                    <a:pt x="1127" y="20"/>
                                  </a:lnTo>
                                  <a:lnTo>
                                    <a:pt x="20" y="20"/>
                                  </a:lnTo>
                                  <a:lnTo>
                                    <a:pt x="20" y="554"/>
                                  </a:lnTo>
                                  <a:lnTo>
                                    <a:pt x="1127" y="554"/>
                                  </a:lnTo>
                                  <a:lnTo>
                                    <a:pt x="1127" y="57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185"/>
                        <wpg:cNvGrpSpPr>
                          <a:grpSpLocks/>
                        </wpg:cNvGrpSpPr>
                        <wpg:grpSpPr bwMode="auto">
                          <a:xfrm>
                            <a:off x="2480" y="3611"/>
                            <a:ext cx="2" cy="534"/>
                            <a:chOff x="2480" y="3611"/>
                            <a:chExt cx="2" cy="534"/>
                          </a:xfrm>
                        </wpg:grpSpPr>
                        <wps:wsp>
                          <wps:cNvPr id="413" name="Freeform 186"/>
                          <wps:cNvSpPr>
                            <a:spLocks/>
                          </wps:cNvSpPr>
                          <wps:spPr bwMode="auto">
                            <a:xfrm>
                              <a:off x="2480" y="3611"/>
                              <a:ext cx="2" cy="534"/>
                            </a:xfrm>
                            <a:custGeom>
                              <a:avLst/>
                              <a:gdLst>
                                <a:gd name="T0" fmla="+- 0 4145 3611"/>
                                <a:gd name="T1" fmla="*/ 4145 h 534"/>
                                <a:gd name="T2" fmla="+- 0 3611 3611"/>
                                <a:gd name="T3" fmla="*/ 3611 h 534"/>
                              </a:gdLst>
                              <a:ahLst/>
                              <a:cxnLst>
                                <a:cxn ang="0">
                                  <a:pos x="0" y="T1"/>
                                </a:cxn>
                                <a:cxn ang="0">
                                  <a:pos x="0" y="T3"/>
                                </a:cxn>
                              </a:cxnLst>
                              <a:rect l="0" t="0" r="r" b="b"/>
                              <a:pathLst>
                                <a:path h="534">
                                  <a:moveTo>
                                    <a:pt x="0" y="534"/>
                                  </a:moveTo>
                                  <a:lnTo>
                                    <a:pt x="0" y="0"/>
                                  </a:lnTo>
                                </a:path>
                              </a:pathLst>
                            </a:custGeom>
                            <a:noFill/>
                            <a:ln w="139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183"/>
                        <wpg:cNvGrpSpPr>
                          <a:grpSpLocks/>
                        </wpg:cNvGrpSpPr>
                        <wpg:grpSpPr bwMode="auto">
                          <a:xfrm>
                            <a:off x="4524" y="5730"/>
                            <a:ext cx="1162" cy="442"/>
                            <a:chOff x="4524" y="5730"/>
                            <a:chExt cx="1162" cy="442"/>
                          </a:xfrm>
                        </wpg:grpSpPr>
                        <wps:wsp>
                          <wps:cNvPr id="415" name="Freeform 184"/>
                          <wps:cNvSpPr>
                            <a:spLocks/>
                          </wps:cNvSpPr>
                          <wps:spPr bwMode="auto">
                            <a:xfrm>
                              <a:off x="4524" y="5730"/>
                              <a:ext cx="1162" cy="442"/>
                            </a:xfrm>
                            <a:custGeom>
                              <a:avLst/>
                              <a:gdLst>
                                <a:gd name="T0" fmla="+- 0 4524 4524"/>
                                <a:gd name="T1" fmla="*/ T0 w 1162"/>
                                <a:gd name="T2" fmla="+- 0 5730 5730"/>
                                <a:gd name="T3" fmla="*/ 5730 h 442"/>
                                <a:gd name="T4" fmla="+- 0 5685 4524"/>
                                <a:gd name="T5" fmla="*/ T4 w 1162"/>
                                <a:gd name="T6" fmla="+- 0 5730 5730"/>
                                <a:gd name="T7" fmla="*/ 5730 h 442"/>
                                <a:gd name="T8" fmla="+- 0 5685 4524"/>
                                <a:gd name="T9" fmla="*/ T8 w 1162"/>
                                <a:gd name="T10" fmla="+- 0 6172 5730"/>
                                <a:gd name="T11" fmla="*/ 6172 h 442"/>
                                <a:gd name="T12" fmla="+- 0 4524 4524"/>
                                <a:gd name="T13" fmla="*/ T12 w 1162"/>
                                <a:gd name="T14" fmla="+- 0 6172 5730"/>
                                <a:gd name="T15" fmla="*/ 6172 h 442"/>
                                <a:gd name="T16" fmla="+- 0 4524 4524"/>
                                <a:gd name="T17" fmla="*/ T16 w 1162"/>
                                <a:gd name="T18" fmla="+- 0 5730 5730"/>
                                <a:gd name="T19" fmla="*/ 5730 h 442"/>
                              </a:gdLst>
                              <a:ahLst/>
                              <a:cxnLst>
                                <a:cxn ang="0">
                                  <a:pos x="T1" y="T3"/>
                                </a:cxn>
                                <a:cxn ang="0">
                                  <a:pos x="T5" y="T7"/>
                                </a:cxn>
                                <a:cxn ang="0">
                                  <a:pos x="T9" y="T11"/>
                                </a:cxn>
                                <a:cxn ang="0">
                                  <a:pos x="T13" y="T15"/>
                                </a:cxn>
                                <a:cxn ang="0">
                                  <a:pos x="T17" y="T19"/>
                                </a:cxn>
                              </a:cxnLst>
                              <a:rect l="0" t="0" r="r" b="b"/>
                              <a:pathLst>
                                <a:path w="1162" h="442">
                                  <a:moveTo>
                                    <a:pt x="0" y="0"/>
                                  </a:moveTo>
                                  <a:lnTo>
                                    <a:pt x="1161" y="0"/>
                                  </a:lnTo>
                                  <a:lnTo>
                                    <a:pt x="1161" y="442"/>
                                  </a:lnTo>
                                  <a:lnTo>
                                    <a:pt x="0" y="442"/>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181"/>
                        <wpg:cNvGrpSpPr>
                          <a:grpSpLocks/>
                        </wpg:cNvGrpSpPr>
                        <wpg:grpSpPr bwMode="auto">
                          <a:xfrm>
                            <a:off x="4514" y="5720"/>
                            <a:ext cx="1182" cy="462"/>
                            <a:chOff x="4514" y="5720"/>
                            <a:chExt cx="1182" cy="462"/>
                          </a:xfrm>
                        </wpg:grpSpPr>
                        <wps:wsp>
                          <wps:cNvPr id="417" name="Freeform 182"/>
                          <wps:cNvSpPr>
                            <a:spLocks/>
                          </wps:cNvSpPr>
                          <wps:spPr bwMode="auto">
                            <a:xfrm>
                              <a:off x="4514" y="5720"/>
                              <a:ext cx="1182" cy="462"/>
                            </a:xfrm>
                            <a:custGeom>
                              <a:avLst/>
                              <a:gdLst>
                                <a:gd name="T0" fmla="+- 0 5695 4514"/>
                                <a:gd name="T1" fmla="*/ T0 w 1182"/>
                                <a:gd name="T2" fmla="+- 0 6182 5720"/>
                                <a:gd name="T3" fmla="*/ 6182 h 462"/>
                                <a:gd name="T4" fmla="+- 0 4514 4514"/>
                                <a:gd name="T5" fmla="*/ T4 w 1182"/>
                                <a:gd name="T6" fmla="+- 0 6182 5720"/>
                                <a:gd name="T7" fmla="*/ 6182 h 462"/>
                                <a:gd name="T8" fmla="+- 0 4514 4514"/>
                                <a:gd name="T9" fmla="*/ T8 w 1182"/>
                                <a:gd name="T10" fmla="+- 0 5720 5720"/>
                                <a:gd name="T11" fmla="*/ 5720 h 462"/>
                                <a:gd name="T12" fmla="+- 0 5695 4514"/>
                                <a:gd name="T13" fmla="*/ T12 w 1182"/>
                                <a:gd name="T14" fmla="+- 0 5720 5720"/>
                                <a:gd name="T15" fmla="*/ 5720 h 462"/>
                                <a:gd name="T16" fmla="+- 0 5695 4514"/>
                                <a:gd name="T17" fmla="*/ T16 w 1182"/>
                                <a:gd name="T18" fmla="+- 0 5740 5720"/>
                                <a:gd name="T19" fmla="*/ 5740 h 462"/>
                                <a:gd name="T20" fmla="+- 0 4534 4514"/>
                                <a:gd name="T21" fmla="*/ T20 w 1182"/>
                                <a:gd name="T22" fmla="+- 0 5740 5720"/>
                                <a:gd name="T23" fmla="*/ 5740 h 462"/>
                                <a:gd name="T24" fmla="+- 0 4534 4514"/>
                                <a:gd name="T25" fmla="*/ T24 w 1182"/>
                                <a:gd name="T26" fmla="+- 0 6162 5720"/>
                                <a:gd name="T27" fmla="*/ 6162 h 462"/>
                                <a:gd name="T28" fmla="+- 0 5695 4514"/>
                                <a:gd name="T29" fmla="*/ T28 w 1182"/>
                                <a:gd name="T30" fmla="+- 0 6162 5720"/>
                                <a:gd name="T31" fmla="*/ 6162 h 462"/>
                                <a:gd name="T32" fmla="+- 0 5695 4514"/>
                                <a:gd name="T33" fmla="*/ T32 w 1182"/>
                                <a:gd name="T34" fmla="+- 0 6182 5720"/>
                                <a:gd name="T35" fmla="*/ 6182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82" h="462">
                                  <a:moveTo>
                                    <a:pt x="1181" y="462"/>
                                  </a:moveTo>
                                  <a:lnTo>
                                    <a:pt x="0" y="462"/>
                                  </a:lnTo>
                                  <a:lnTo>
                                    <a:pt x="0" y="0"/>
                                  </a:lnTo>
                                  <a:lnTo>
                                    <a:pt x="1181" y="0"/>
                                  </a:lnTo>
                                  <a:lnTo>
                                    <a:pt x="1181" y="20"/>
                                  </a:lnTo>
                                  <a:lnTo>
                                    <a:pt x="20" y="20"/>
                                  </a:lnTo>
                                  <a:lnTo>
                                    <a:pt x="20" y="442"/>
                                  </a:lnTo>
                                  <a:lnTo>
                                    <a:pt x="1181" y="442"/>
                                  </a:lnTo>
                                  <a:lnTo>
                                    <a:pt x="1181" y="46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179"/>
                        <wpg:cNvGrpSpPr>
                          <a:grpSpLocks/>
                        </wpg:cNvGrpSpPr>
                        <wpg:grpSpPr bwMode="auto">
                          <a:xfrm>
                            <a:off x="5685" y="5740"/>
                            <a:ext cx="2" cy="423"/>
                            <a:chOff x="5685" y="5740"/>
                            <a:chExt cx="2" cy="423"/>
                          </a:xfrm>
                        </wpg:grpSpPr>
                        <wps:wsp>
                          <wps:cNvPr id="419" name="Freeform 180"/>
                          <wps:cNvSpPr>
                            <a:spLocks/>
                          </wps:cNvSpPr>
                          <wps:spPr bwMode="auto">
                            <a:xfrm>
                              <a:off x="5685" y="5740"/>
                              <a:ext cx="2" cy="423"/>
                            </a:xfrm>
                            <a:custGeom>
                              <a:avLst/>
                              <a:gdLst>
                                <a:gd name="T0" fmla="+- 0 6162 5740"/>
                                <a:gd name="T1" fmla="*/ 6162 h 423"/>
                                <a:gd name="T2" fmla="+- 0 5740 5740"/>
                                <a:gd name="T3" fmla="*/ 5740 h 423"/>
                              </a:gdLst>
                              <a:ahLst/>
                              <a:cxnLst>
                                <a:cxn ang="0">
                                  <a:pos x="0" y="T1"/>
                                </a:cxn>
                                <a:cxn ang="0">
                                  <a:pos x="0" y="T3"/>
                                </a:cxn>
                              </a:cxnLst>
                              <a:rect l="0" t="0" r="r" b="b"/>
                              <a:pathLst>
                                <a:path h="423">
                                  <a:moveTo>
                                    <a:pt x="0" y="422"/>
                                  </a:moveTo>
                                  <a:lnTo>
                                    <a:pt x="0" y="0"/>
                                  </a:lnTo>
                                </a:path>
                              </a:pathLst>
                            </a:custGeom>
                            <a:noFill/>
                            <a:ln w="139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177"/>
                        <wpg:cNvGrpSpPr>
                          <a:grpSpLocks/>
                        </wpg:cNvGrpSpPr>
                        <wpg:grpSpPr bwMode="auto">
                          <a:xfrm>
                            <a:off x="5019" y="1405"/>
                            <a:ext cx="2" cy="107"/>
                            <a:chOff x="5019" y="1405"/>
                            <a:chExt cx="2" cy="107"/>
                          </a:xfrm>
                        </wpg:grpSpPr>
                        <wps:wsp>
                          <wps:cNvPr id="421" name="Freeform 178"/>
                          <wps:cNvSpPr>
                            <a:spLocks/>
                          </wps:cNvSpPr>
                          <wps:spPr bwMode="auto">
                            <a:xfrm>
                              <a:off x="5019" y="1405"/>
                              <a:ext cx="2" cy="107"/>
                            </a:xfrm>
                            <a:custGeom>
                              <a:avLst/>
                              <a:gdLst>
                                <a:gd name="T0" fmla="+- 0 1512 1405"/>
                                <a:gd name="T1" fmla="*/ 1512 h 107"/>
                                <a:gd name="T2" fmla="+- 0 1405 1405"/>
                                <a:gd name="T3" fmla="*/ 1405 h 107"/>
                              </a:gdLst>
                              <a:ahLst/>
                              <a:cxnLst>
                                <a:cxn ang="0">
                                  <a:pos x="0" y="T1"/>
                                </a:cxn>
                                <a:cxn ang="0">
                                  <a:pos x="0" y="T3"/>
                                </a:cxn>
                              </a:cxnLst>
                              <a:rect l="0" t="0" r="r" b="b"/>
                              <a:pathLst>
                                <a:path h="107">
                                  <a:moveTo>
                                    <a:pt x="0" y="107"/>
                                  </a:moveTo>
                                  <a:lnTo>
                                    <a:pt x="0" y="0"/>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175"/>
                        <wpg:cNvGrpSpPr>
                          <a:grpSpLocks/>
                        </wpg:cNvGrpSpPr>
                        <wpg:grpSpPr bwMode="auto">
                          <a:xfrm>
                            <a:off x="4990" y="1483"/>
                            <a:ext cx="58" cy="57"/>
                            <a:chOff x="4990" y="1483"/>
                            <a:chExt cx="58" cy="57"/>
                          </a:xfrm>
                        </wpg:grpSpPr>
                        <wps:wsp>
                          <wps:cNvPr id="423" name="Freeform 176"/>
                          <wps:cNvSpPr>
                            <a:spLocks/>
                          </wps:cNvSpPr>
                          <wps:spPr bwMode="auto">
                            <a:xfrm>
                              <a:off x="4990" y="1483"/>
                              <a:ext cx="58" cy="57"/>
                            </a:xfrm>
                            <a:custGeom>
                              <a:avLst/>
                              <a:gdLst>
                                <a:gd name="T0" fmla="+- 0 5019 4990"/>
                                <a:gd name="T1" fmla="*/ T0 w 58"/>
                                <a:gd name="T2" fmla="+- 0 1540 1483"/>
                                <a:gd name="T3" fmla="*/ 1540 h 57"/>
                                <a:gd name="T4" fmla="+- 0 4990 4990"/>
                                <a:gd name="T5" fmla="*/ T4 w 58"/>
                                <a:gd name="T6" fmla="+- 0 1483 1483"/>
                                <a:gd name="T7" fmla="*/ 1483 h 57"/>
                                <a:gd name="T8" fmla="+- 0 5048 4990"/>
                                <a:gd name="T9" fmla="*/ T8 w 58"/>
                                <a:gd name="T10" fmla="+- 0 1483 1483"/>
                                <a:gd name="T11" fmla="*/ 1483 h 57"/>
                                <a:gd name="T12" fmla="+- 0 5019 4990"/>
                                <a:gd name="T13" fmla="*/ T12 w 58"/>
                                <a:gd name="T14" fmla="+- 0 1540 1483"/>
                                <a:gd name="T15" fmla="*/ 1540 h 57"/>
                              </a:gdLst>
                              <a:ahLst/>
                              <a:cxnLst>
                                <a:cxn ang="0">
                                  <a:pos x="T1" y="T3"/>
                                </a:cxn>
                                <a:cxn ang="0">
                                  <a:pos x="T5" y="T7"/>
                                </a:cxn>
                                <a:cxn ang="0">
                                  <a:pos x="T9" y="T11"/>
                                </a:cxn>
                                <a:cxn ang="0">
                                  <a:pos x="T13" y="T15"/>
                                </a:cxn>
                              </a:cxnLst>
                              <a:rect l="0" t="0" r="r" b="b"/>
                              <a:pathLst>
                                <a:path w="58" h="57">
                                  <a:moveTo>
                                    <a:pt x="29" y="57"/>
                                  </a:moveTo>
                                  <a:lnTo>
                                    <a:pt x="0" y="0"/>
                                  </a:lnTo>
                                  <a:lnTo>
                                    <a:pt x="58" y="0"/>
                                  </a:lnTo>
                                  <a:lnTo>
                                    <a:pt x="29"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173"/>
                        <wpg:cNvGrpSpPr>
                          <a:grpSpLocks/>
                        </wpg:cNvGrpSpPr>
                        <wpg:grpSpPr bwMode="auto">
                          <a:xfrm>
                            <a:off x="7369" y="2459"/>
                            <a:ext cx="2" cy="114"/>
                            <a:chOff x="7369" y="2459"/>
                            <a:chExt cx="2" cy="114"/>
                          </a:xfrm>
                        </wpg:grpSpPr>
                        <wps:wsp>
                          <wps:cNvPr id="425" name="Freeform 174"/>
                          <wps:cNvSpPr>
                            <a:spLocks/>
                          </wps:cNvSpPr>
                          <wps:spPr bwMode="auto">
                            <a:xfrm>
                              <a:off x="7369" y="2459"/>
                              <a:ext cx="2" cy="114"/>
                            </a:xfrm>
                            <a:custGeom>
                              <a:avLst/>
                              <a:gdLst>
                                <a:gd name="T0" fmla="+- 0 2573 2459"/>
                                <a:gd name="T1" fmla="*/ 2573 h 114"/>
                                <a:gd name="T2" fmla="+- 0 2459 2459"/>
                                <a:gd name="T3" fmla="*/ 2459 h 114"/>
                              </a:gdLst>
                              <a:ahLst/>
                              <a:cxnLst>
                                <a:cxn ang="0">
                                  <a:pos x="0" y="T1"/>
                                </a:cxn>
                                <a:cxn ang="0">
                                  <a:pos x="0" y="T3"/>
                                </a:cxn>
                              </a:cxnLst>
                              <a:rect l="0" t="0" r="r" b="b"/>
                              <a:pathLst>
                                <a:path h="114">
                                  <a:moveTo>
                                    <a:pt x="0" y="114"/>
                                  </a:moveTo>
                                  <a:lnTo>
                                    <a:pt x="0" y="0"/>
                                  </a:lnTo>
                                </a:path>
                              </a:pathLst>
                            </a:custGeom>
                            <a:noFill/>
                            <a:ln w="139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171"/>
                        <wpg:cNvGrpSpPr>
                          <a:grpSpLocks/>
                        </wpg:cNvGrpSpPr>
                        <wpg:grpSpPr bwMode="auto">
                          <a:xfrm>
                            <a:off x="7340" y="2516"/>
                            <a:ext cx="58" cy="57"/>
                            <a:chOff x="7340" y="2516"/>
                            <a:chExt cx="58" cy="57"/>
                          </a:xfrm>
                        </wpg:grpSpPr>
                        <wps:wsp>
                          <wps:cNvPr id="427" name="Freeform 172"/>
                          <wps:cNvSpPr>
                            <a:spLocks/>
                          </wps:cNvSpPr>
                          <wps:spPr bwMode="auto">
                            <a:xfrm>
                              <a:off x="7340" y="2516"/>
                              <a:ext cx="58" cy="57"/>
                            </a:xfrm>
                            <a:custGeom>
                              <a:avLst/>
                              <a:gdLst>
                                <a:gd name="T0" fmla="+- 0 7369 7340"/>
                                <a:gd name="T1" fmla="*/ T0 w 58"/>
                                <a:gd name="T2" fmla="+- 0 2573 2516"/>
                                <a:gd name="T3" fmla="*/ 2573 h 57"/>
                                <a:gd name="T4" fmla="+- 0 7340 7340"/>
                                <a:gd name="T5" fmla="*/ T4 w 58"/>
                                <a:gd name="T6" fmla="+- 0 2516 2516"/>
                                <a:gd name="T7" fmla="*/ 2516 h 57"/>
                                <a:gd name="T8" fmla="+- 0 7398 7340"/>
                                <a:gd name="T9" fmla="*/ T8 w 58"/>
                                <a:gd name="T10" fmla="+- 0 2516 2516"/>
                                <a:gd name="T11" fmla="*/ 2516 h 57"/>
                                <a:gd name="T12" fmla="+- 0 7369 7340"/>
                                <a:gd name="T13" fmla="*/ T12 w 58"/>
                                <a:gd name="T14" fmla="+- 0 2573 2516"/>
                                <a:gd name="T15" fmla="*/ 2573 h 57"/>
                              </a:gdLst>
                              <a:ahLst/>
                              <a:cxnLst>
                                <a:cxn ang="0">
                                  <a:pos x="T1" y="T3"/>
                                </a:cxn>
                                <a:cxn ang="0">
                                  <a:pos x="T5" y="T7"/>
                                </a:cxn>
                                <a:cxn ang="0">
                                  <a:pos x="T9" y="T11"/>
                                </a:cxn>
                                <a:cxn ang="0">
                                  <a:pos x="T13" y="T15"/>
                                </a:cxn>
                              </a:cxnLst>
                              <a:rect l="0" t="0" r="r" b="b"/>
                              <a:pathLst>
                                <a:path w="58" h="57">
                                  <a:moveTo>
                                    <a:pt x="29" y="57"/>
                                  </a:moveTo>
                                  <a:lnTo>
                                    <a:pt x="0" y="0"/>
                                  </a:lnTo>
                                  <a:lnTo>
                                    <a:pt x="58" y="0"/>
                                  </a:lnTo>
                                  <a:lnTo>
                                    <a:pt x="29"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8" name="Group 169"/>
                        <wpg:cNvGrpSpPr>
                          <a:grpSpLocks/>
                        </wpg:cNvGrpSpPr>
                        <wpg:grpSpPr bwMode="auto">
                          <a:xfrm>
                            <a:off x="4466" y="3212"/>
                            <a:ext cx="2" cy="230"/>
                            <a:chOff x="4466" y="3212"/>
                            <a:chExt cx="2" cy="230"/>
                          </a:xfrm>
                        </wpg:grpSpPr>
                        <wps:wsp>
                          <wps:cNvPr id="429" name="Freeform 170"/>
                          <wps:cNvSpPr>
                            <a:spLocks/>
                          </wps:cNvSpPr>
                          <wps:spPr bwMode="auto">
                            <a:xfrm>
                              <a:off x="4466" y="3212"/>
                              <a:ext cx="2" cy="230"/>
                            </a:xfrm>
                            <a:custGeom>
                              <a:avLst/>
                              <a:gdLst>
                                <a:gd name="T0" fmla="+- 0 3442 3212"/>
                                <a:gd name="T1" fmla="*/ 3442 h 230"/>
                                <a:gd name="T2" fmla="+- 0 3212 3212"/>
                                <a:gd name="T3" fmla="*/ 3212 h 230"/>
                              </a:gdLst>
                              <a:ahLst/>
                              <a:cxnLst>
                                <a:cxn ang="0">
                                  <a:pos x="0" y="T1"/>
                                </a:cxn>
                                <a:cxn ang="0">
                                  <a:pos x="0" y="T3"/>
                                </a:cxn>
                              </a:cxnLst>
                              <a:rect l="0" t="0" r="r" b="b"/>
                              <a:pathLst>
                                <a:path h="230">
                                  <a:moveTo>
                                    <a:pt x="0" y="230"/>
                                  </a:moveTo>
                                  <a:lnTo>
                                    <a:pt x="0" y="0"/>
                                  </a:lnTo>
                                </a:path>
                              </a:pathLst>
                            </a:custGeom>
                            <a:noFill/>
                            <a:ln w="139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167"/>
                        <wpg:cNvGrpSpPr>
                          <a:grpSpLocks/>
                        </wpg:cNvGrpSpPr>
                        <wpg:grpSpPr bwMode="auto">
                          <a:xfrm>
                            <a:off x="4437" y="3420"/>
                            <a:ext cx="58" cy="57"/>
                            <a:chOff x="4437" y="3420"/>
                            <a:chExt cx="58" cy="57"/>
                          </a:xfrm>
                        </wpg:grpSpPr>
                        <wps:wsp>
                          <wps:cNvPr id="431" name="Freeform 168"/>
                          <wps:cNvSpPr>
                            <a:spLocks/>
                          </wps:cNvSpPr>
                          <wps:spPr bwMode="auto">
                            <a:xfrm>
                              <a:off x="4437" y="3420"/>
                              <a:ext cx="58" cy="57"/>
                            </a:xfrm>
                            <a:custGeom>
                              <a:avLst/>
                              <a:gdLst>
                                <a:gd name="T0" fmla="+- 0 4466 4437"/>
                                <a:gd name="T1" fmla="*/ T0 w 58"/>
                                <a:gd name="T2" fmla="+- 0 3477 3420"/>
                                <a:gd name="T3" fmla="*/ 3477 h 57"/>
                                <a:gd name="T4" fmla="+- 0 4437 4437"/>
                                <a:gd name="T5" fmla="*/ T4 w 58"/>
                                <a:gd name="T6" fmla="+- 0 3420 3420"/>
                                <a:gd name="T7" fmla="*/ 3420 h 57"/>
                                <a:gd name="T8" fmla="+- 0 4495 4437"/>
                                <a:gd name="T9" fmla="*/ T8 w 58"/>
                                <a:gd name="T10" fmla="+- 0 3420 3420"/>
                                <a:gd name="T11" fmla="*/ 3420 h 57"/>
                                <a:gd name="T12" fmla="+- 0 4466 4437"/>
                                <a:gd name="T13" fmla="*/ T12 w 58"/>
                                <a:gd name="T14" fmla="+- 0 3477 3420"/>
                                <a:gd name="T15" fmla="*/ 3477 h 57"/>
                              </a:gdLst>
                              <a:ahLst/>
                              <a:cxnLst>
                                <a:cxn ang="0">
                                  <a:pos x="T1" y="T3"/>
                                </a:cxn>
                                <a:cxn ang="0">
                                  <a:pos x="T5" y="T7"/>
                                </a:cxn>
                                <a:cxn ang="0">
                                  <a:pos x="T9" y="T11"/>
                                </a:cxn>
                                <a:cxn ang="0">
                                  <a:pos x="T13" y="T15"/>
                                </a:cxn>
                              </a:cxnLst>
                              <a:rect l="0" t="0" r="r" b="b"/>
                              <a:pathLst>
                                <a:path w="58" h="57">
                                  <a:moveTo>
                                    <a:pt x="29" y="57"/>
                                  </a:moveTo>
                                  <a:lnTo>
                                    <a:pt x="0" y="0"/>
                                  </a:lnTo>
                                  <a:lnTo>
                                    <a:pt x="58" y="0"/>
                                  </a:lnTo>
                                  <a:lnTo>
                                    <a:pt x="29"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165"/>
                        <wpg:cNvGrpSpPr>
                          <a:grpSpLocks/>
                        </wpg:cNvGrpSpPr>
                        <wpg:grpSpPr bwMode="auto">
                          <a:xfrm>
                            <a:off x="3478" y="3212"/>
                            <a:ext cx="2" cy="275"/>
                            <a:chOff x="3478" y="3212"/>
                            <a:chExt cx="2" cy="275"/>
                          </a:xfrm>
                        </wpg:grpSpPr>
                        <wps:wsp>
                          <wps:cNvPr id="433" name="Freeform 166"/>
                          <wps:cNvSpPr>
                            <a:spLocks/>
                          </wps:cNvSpPr>
                          <wps:spPr bwMode="auto">
                            <a:xfrm>
                              <a:off x="3478" y="3212"/>
                              <a:ext cx="2" cy="275"/>
                            </a:xfrm>
                            <a:custGeom>
                              <a:avLst/>
                              <a:gdLst>
                                <a:gd name="T0" fmla="+- 0 3487 3212"/>
                                <a:gd name="T1" fmla="*/ 3487 h 275"/>
                                <a:gd name="T2" fmla="+- 0 3212 3212"/>
                                <a:gd name="T3" fmla="*/ 3212 h 275"/>
                              </a:gdLst>
                              <a:ahLst/>
                              <a:cxnLst>
                                <a:cxn ang="0">
                                  <a:pos x="0" y="T1"/>
                                </a:cxn>
                                <a:cxn ang="0">
                                  <a:pos x="0" y="T3"/>
                                </a:cxn>
                              </a:cxnLst>
                              <a:rect l="0" t="0" r="r" b="b"/>
                              <a:pathLst>
                                <a:path h="275">
                                  <a:moveTo>
                                    <a:pt x="0" y="275"/>
                                  </a:moveTo>
                                  <a:lnTo>
                                    <a:pt x="0" y="0"/>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163"/>
                        <wpg:cNvGrpSpPr>
                          <a:grpSpLocks/>
                        </wpg:cNvGrpSpPr>
                        <wpg:grpSpPr bwMode="auto">
                          <a:xfrm>
                            <a:off x="3449" y="3449"/>
                            <a:ext cx="58" cy="57"/>
                            <a:chOff x="3449" y="3449"/>
                            <a:chExt cx="58" cy="57"/>
                          </a:xfrm>
                        </wpg:grpSpPr>
                        <wps:wsp>
                          <wps:cNvPr id="435" name="Freeform 164"/>
                          <wps:cNvSpPr>
                            <a:spLocks/>
                          </wps:cNvSpPr>
                          <wps:spPr bwMode="auto">
                            <a:xfrm>
                              <a:off x="3449" y="3449"/>
                              <a:ext cx="58" cy="57"/>
                            </a:xfrm>
                            <a:custGeom>
                              <a:avLst/>
                              <a:gdLst>
                                <a:gd name="T0" fmla="+- 0 3478 3449"/>
                                <a:gd name="T1" fmla="*/ T0 w 58"/>
                                <a:gd name="T2" fmla="+- 0 3506 3449"/>
                                <a:gd name="T3" fmla="*/ 3506 h 57"/>
                                <a:gd name="T4" fmla="+- 0 3449 3449"/>
                                <a:gd name="T5" fmla="*/ T4 w 58"/>
                                <a:gd name="T6" fmla="+- 0 3449 3449"/>
                                <a:gd name="T7" fmla="*/ 3449 h 57"/>
                                <a:gd name="T8" fmla="+- 0 3507 3449"/>
                                <a:gd name="T9" fmla="*/ T8 w 58"/>
                                <a:gd name="T10" fmla="+- 0 3449 3449"/>
                                <a:gd name="T11" fmla="*/ 3449 h 57"/>
                                <a:gd name="T12" fmla="+- 0 3478 3449"/>
                                <a:gd name="T13" fmla="*/ T12 w 58"/>
                                <a:gd name="T14" fmla="+- 0 3506 3449"/>
                                <a:gd name="T15" fmla="*/ 3506 h 57"/>
                              </a:gdLst>
                              <a:ahLst/>
                              <a:cxnLst>
                                <a:cxn ang="0">
                                  <a:pos x="T1" y="T3"/>
                                </a:cxn>
                                <a:cxn ang="0">
                                  <a:pos x="T5" y="T7"/>
                                </a:cxn>
                                <a:cxn ang="0">
                                  <a:pos x="T9" y="T11"/>
                                </a:cxn>
                                <a:cxn ang="0">
                                  <a:pos x="T13" y="T15"/>
                                </a:cxn>
                              </a:cxnLst>
                              <a:rect l="0" t="0" r="r" b="b"/>
                              <a:pathLst>
                                <a:path w="58" h="57">
                                  <a:moveTo>
                                    <a:pt x="29" y="57"/>
                                  </a:moveTo>
                                  <a:lnTo>
                                    <a:pt x="0" y="0"/>
                                  </a:lnTo>
                                  <a:lnTo>
                                    <a:pt x="58" y="0"/>
                                  </a:lnTo>
                                  <a:lnTo>
                                    <a:pt x="29"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161"/>
                        <wpg:cNvGrpSpPr>
                          <a:grpSpLocks/>
                        </wpg:cNvGrpSpPr>
                        <wpg:grpSpPr bwMode="auto">
                          <a:xfrm>
                            <a:off x="7137" y="3287"/>
                            <a:ext cx="2" cy="143"/>
                            <a:chOff x="7137" y="3287"/>
                            <a:chExt cx="2" cy="143"/>
                          </a:xfrm>
                        </wpg:grpSpPr>
                        <wps:wsp>
                          <wps:cNvPr id="437" name="Freeform 162"/>
                          <wps:cNvSpPr>
                            <a:spLocks/>
                          </wps:cNvSpPr>
                          <wps:spPr bwMode="auto">
                            <a:xfrm>
                              <a:off x="7137" y="3287"/>
                              <a:ext cx="2" cy="143"/>
                            </a:xfrm>
                            <a:custGeom>
                              <a:avLst/>
                              <a:gdLst>
                                <a:gd name="T0" fmla="+- 0 3430 3287"/>
                                <a:gd name="T1" fmla="*/ 3430 h 143"/>
                                <a:gd name="T2" fmla="+- 0 3287 3287"/>
                                <a:gd name="T3" fmla="*/ 3287 h 143"/>
                              </a:gdLst>
                              <a:ahLst/>
                              <a:cxnLst>
                                <a:cxn ang="0">
                                  <a:pos x="0" y="T1"/>
                                </a:cxn>
                                <a:cxn ang="0">
                                  <a:pos x="0" y="T3"/>
                                </a:cxn>
                              </a:cxnLst>
                              <a:rect l="0" t="0" r="r" b="b"/>
                              <a:pathLst>
                                <a:path h="143">
                                  <a:moveTo>
                                    <a:pt x="0" y="143"/>
                                  </a:moveTo>
                                  <a:lnTo>
                                    <a:pt x="0" y="0"/>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159"/>
                        <wpg:cNvGrpSpPr>
                          <a:grpSpLocks/>
                        </wpg:cNvGrpSpPr>
                        <wpg:grpSpPr bwMode="auto">
                          <a:xfrm>
                            <a:off x="7108" y="3391"/>
                            <a:ext cx="58" cy="57"/>
                            <a:chOff x="7108" y="3391"/>
                            <a:chExt cx="58" cy="57"/>
                          </a:xfrm>
                        </wpg:grpSpPr>
                        <wps:wsp>
                          <wps:cNvPr id="439" name="Freeform 160"/>
                          <wps:cNvSpPr>
                            <a:spLocks/>
                          </wps:cNvSpPr>
                          <wps:spPr bwMode="auto">
                            <a:xfrm>
                              <a:off x="7108" y="3391"/>
                              <a:ext cx="58" cy="57"/>
                            </a:xfrm>
                            <a:custGeom>
                              <a:avLst/>
                              <a:gdLst>
                                <a:gd name="T0" fmla="+- 0 7137 7108"/>
                                <a:gd name="T1" fmla="*/ T0 w 58"/>
                                <a:gd name="T2" fmla="+- 0 3449 3391"/>
                                <a:gd name="T3" fmla="*/ 3449 h 57"/>
                                <a:gd name="T4" fmla="+- 0 7108 7108"/>
                                <a:gd name="T5" fmla="*/ T4 w 58"/>
                                <a:gd name="T6" fmla="+- 0 3391 3391"/>
                                <a:gd name="T7" fmla="*/ 3391 h 57"/>
                                <a:gd name="T8" fmla="+- 0 7166 7108"/>
                                <a:gd name="T9" fmla="*/ T8 w 58"/>
                                <a:gd name="T10" fmla="+- 0 3391 3391"/>
                                <a:gd name="T11" fmla="*/ 3391 h 57"/>
                                <a:gd name="T12" fmla="+- 0 7137 7108"/>
                                <a:gd name="T13" fmla="*/ T12 w 58"/>
                                <a:gd name="T14" fmla="+- 0 3449 3391"/>
                                <a:gd name="T15" fmla="*/ 3449 h 57"/>
                              </a:gdLst>
                              <a:ahLst/>
                              <a:cxnLst>
                                <a:cxn ang="0">
                                  <a:pos x="T1" y="T3"/>
                                </a:cxn>
                                <a:cxn ang="0">
                                  <a:pos x="T5" y="T7"/>
                                </a:cxn>
                                <a:cxn ang="0">
                                  <a:pos x="T9" y="T11"/>
                                </a:cxn>
                                <a:cxn ang="0">
                                  <a:pos x="T13" y="T15"/>
                                </a:cxn>
                              </a:cxnLst>
                              <a:rect l="0" t="0" r="r" b="b"/>
                              <a:pathLst>
                                <a:path w="58" h="57">
                                  <a:moveTo>
                                    <a:pt x="29" y="58"/>
                                  </a:moveTo>
                                  <a:lnTo>
                                    <a:pt x="0" y="0"/>
                                  </a:lnTo>
                                  <a:lnTo>
                                    <a:pt x="58" y="0"/>
                                  </a:lnTo>
                                  <a:lnTo>
                                    <a:pt x="29" y="5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 name="Group 157"/>
                        <wpg:cNvGrpSpPr>
                          <a:grpSpLocks/>
                        </wpg:cNvGrpSpPr>
                        <wpg:grpSpPr bwMode="auto">
                          <a:xfrm>
                            <a:off x="7718" y="3287"/>
                            <a:ext cx="2" cy="127"/>
                            <a:chOff x="7718" y="3287"/>
                            <a:chExt cx="2" cy="127"/>
                          </a:xfrm>
                        </wpg:grpSpPr>
                        <wps:wsp>
                          <wps:cNvPr id="441" name="Freeform 158"/>
                          <wps:cNvSpPr>
                            <a:spLocks/>
                          </wps:cNvSpPr>
                          <wps:spPr bwMode="auto">
                            <a:xfrm>
                              <a:off x="7718" y="3287"/>
                              <a:ext cx="2" cy="127"/>
                            </a:xfrm>
                            <a:custGeom>
                              <a:avLst/>
                              <a:gdLst>
                                <a:gd name="T0" fmla="+- 0 3414 3287"/>
                                <a:gd name="T1" fmla="*/ 3414 h 127"/>
                                <a:gd name="T2" fmla="+- 0 3287 3287"/>
                                <a:gd name="T3" fmla="*/ 3287 h 127"/>
                              </a:gdLst>
                              <a:ahLst/>
                              <a:cxnLst>
                                <a:cxn ang="0">
                                  <a:pos x="0" y="T1"/>
                                </a:cxn>
                                <a:cxn ang="0">
                                  <a:pos x="0" y="T3"/>
                                </a:cxn>
                              </a:cxnLst>
                              <a:rect l="0" t="0" r="r" b="b"/>
                              <a:pathLst>
                                <a:path h="127">
                                  <a:moveTo>
                                    <a:pt x="0" y="127"/>
                                  </a:moveTo>
                                  <a:lnTo>
                                    <a:pt x="0" y="0"/>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155"/>
                        <wpg:cNvGrpSpPr>
                          <a:grpSpLocks/>
                        </wpg:cNvGrpSpPr>
                        <wpg:grpSpPr bwMode="auto">
                          <a:xfrm>
                            <a:off x="7689" y="3376"/>
                            <a:ext cx="58" cy="57"/>
                            <a:chOff x="7689" y="3376"/>
                            <a:chExt cx="58" cy="57"/>
                          </a:xfrm>
                        </wpg:grpSpPr>
                        <wps:wsp>
                          <wps:cNvPr id="443" name="Freeform 156"/>
                          <wps:cNvSpPr>
                            <a:spLocks/>
                          </wps:cNvSpPr>
                          <wps:spPr bwMode="auto">
                            <a:xfrm>
                              <a:off x="7689" y="3376"/>
                              <a:ext cx="58" cy="57"/>
                            </a:xfrm>
                            <a:custGeom>
                              <a:avLst/>
                              <a:gdLst>
                                <a:gd name="T0" fmla="+- 0 7718 7689"/>
                                <a:gd name="T1" fmla="*/ T0 w 58"/>
                                <a:gd name="T2" fmla="+- 0 3433 3376"/>
                                <a:gd name="T3" fmla="*/ 3433 h 57"/>
                                <a:gd name="T4" fmla="+- 0 7689 7689"/>
                                <a:gd name="T5" fmla="*/ T4 w 58"/>
                                <a:gd name="T6" fmla="+- 0 3376 3376"/>
                                <a:gd name="T7" fmla="*/ 3376 h 57"/>
                                <a:gd name="T8" fmla="+- 0 7747 7689"/>
                                <a:gd name="T9" fmla="*/ T8 w 58"/>
                                <a:gd name="T10" fmla="+- 0 3376 3376"/>
                                <a:gd name="T11" fmla="*/ 3376 h 57"/>
                                <a:gd name="T12" fmla="+- 0 7718 7689"/>
                                <a:gd name="T13" fmla="*/ T12 w 58"/>
                                <a:gd name="T14" fmla="+- 0 3433 3376"/>
                                <a:gd name="T15" fmla="*/ 3433 h 57"/>
                              </a:gdLst>
                              <a:ahLst/>
                              <a:cxnLst>
                                <a:cxn ang="0">
                                  <a:pos x="T1" y="T3"/>
                                </a:cxn>
                                <a:cxn ang="0">
                                  <a:pos x="T5" y="T7"/>
                                </a:cxn>
                                <a:cxn ang="0">
                                  <a:pos x="T9" y="T11"/>
                                </a:cxn>
                                <a:cxn ang="0">
                                  <a:pos x="T13" y="T15"/>
                                </a:cxn>
                              </a:cxnLst>
                              <a:rect l="0" t="0" r="r" b="b"/>
                              <a:pathLst>
                                <a:path w="58" h="57">
                                  <a:moveTo>
                                    <a:pt x="29" y="57"/>
                                  </a:moveTo>
                                  <a:lnTo>
                                    <a:pt x="0" y="0"/>
                                  </a:lnTo>
                                  <a:lnTo>
                                    <a:pt x="58" y="0"/>
                                  </a:lnTo>
                                  <a:lnTo>
                                    <a:pt x="29"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 name="Group 153"/>
                        <wpg:cNvGrpSpPr>
                          <a:grpSpLocks/>
                        </wpg:cNvGrpSpPr>
                        <wpg:grpSpPr bwMode="auto">
                          <a:xfrm>
                            <a:off x="2512" y="3829"/>
                            <a:ext cx="109" cy="2"/>
                            <a:chOff x="2512" y="3829"/>
                            <a:chExt cx="109" cy="2"/>
                          </a:xfrm>
                        </wpg:grpSpPr>
                        <wps:wsp>
                          <wps:cNvPr id="445" name="Freeform 154"/>
                          <wps:cNvSpPr>
                            <a:spLocks/>
                          </wps:cNvSpPr>
                          <wps:spPr bwMode="auto">
                            <a:xfrm>
                              <a:off x="2512" y="3829"/>
                              <a:ext cx="109" cy="2"/>
                            </a:xfrm>
                            <a:custGeom>
                              <a:avLst/>
                              <a:gdLst>
                                <a:gd name="T0" fmla="+- 0 2512 2512"/>
                                <a:gd name="T1" fmla="*/ T0 w 109"/>
                                <a:gd name="T2" fmla="+- 0 2621 2512"/>
                                <a:gd name="T3" fmla="*/ T2 w 109"/>
                              </a:gdLst>
                              <a:ahLst/>
                              <a:cxnLst>
                                <a:cxn ang="0">
                                  <a:pos x="T1" y="0"/>
                                </a:cxn>
                                <a:cxn ang="0">
                                  <a:pos x="T3" y="0"/>
                                </a:cxn>
                              </a:cxnLst>
                              <a:rect l="0" t="0" r="r" b="b"/>
                              <a:pathLst>
                                <a:path w="109">
                                  <a:moveTo>
                                    <a:pt x="0" y="0"/>
                                  </a:moveTo>
                                  <a:lnTo>
                                    <a:pt x="109" y="0"/>
                                  </a:lnTo>
                                </a:path>
                              </a:pathLst>
                            </a:custGeom>
                            <a:noFill/>
                            <a:ln w="137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151"/>
                        <wpg:cNvGrpSpPr>
                          <a:grpSpLocks/>
                        </wpg:cNvGrpSpPr>
                        <wpg:grpSpPr bwMode="auto">
                          <a:xfrm>
                            <a:off x="2493" y="3801"/>
                            <a:ext cx="58" cy="57"/>
                            <a:chOff x="2493" y="3801"/>
                            <a:chExt cx="58" cy="57"/>
                          </a:xfrm>
                        </wpg:grpSpPr>
                        <wps:wsp>
                          <wps:cNvPr id="447" name="Freeform 152"/>
                          <wps:cNvSpPr>
                            <a:spLocks/>
                          </wps:cNvSpPr>
                          <wps:spPr bwMode="auto">
                            <a:xfrm>
                              <a:off x="2493" y="3801"/>
                              <a:ext cx="58" cy="57"/>
                            </a:xfrm>
                            <a:custGeom>
                              <a:avLst/>
                              <a:gdLst>
                                <a:gd name="T0" fmla="+- 0 2551 2493"/>
                                <a:gd name="T1" fmla="*/ T0 w 58"/>
                                <a:gd name="T2" fmla="+- 0 3858 3801"/>
                                <a:gd name="T3" fmla="*/ 3858 h 57"/>
                                <a:gd name="T4" fmla="+- 0 2493 2493"/>
                                <a:gd name="T5" fmla="*/ T4 w 58"/>
                                <a:gd name="T6" fmla="+- 0 3829 3801"/>
                                <a:gd name="T7" fmla="*/ 3829 h 57"/>
                                <a:gd name="T8" fmla="+- 0 2551 2493"/>
                                <a:gd name="T9" fmla="*/ T8 w 58"/>
                                <a:gd name="T10" fmla="+- 0 3801 3801"/>
                                <a:gd name="T11" fmla="*/ 3801 h 57"/>
                                <a:gd name="T12" fmla="+- 0 2551 2493"/>
                                <a:gd name="T13" fmla="*/ T12 w 58"/>
                                <a:gd name="T14" fmla="+- 0 3858 3801"/>
                                <a:gd name="T15" fmla="*/ 3858 h 57"/>
                              </a:gdLst>
                              <a:ahLst/>
                              <a:cxnLst>
                                <a:cxn ang="0">
                                  <a:pos x="T1" y="T3"/>
                                </a:cxn>
                                <a:cxn ang="0">
                                  <a:pos x="T5" y="T7"/>
                                </a:cxn>
                                <a:cxn ang="0">
                                  <a:pos x="T9" y="T11"/>
                                </a:cxn>
                                <a:cxn ang="0">
                                  <a:pos x="T13" y="T15"/>
                                </a:cxn>
                              </a:cxnLst>
                              <a:rect l="0" t="0" r="r" b="b"/>
                              <a:pathLst>
                                <a:path w="58" h="57">
                                  <a:moveTo>
                                    <a:pt x="58" y="57"/>
                                  </a:moveTo>
                                  <a:lnTo>
                                    <a:pt x="0" y="28"/>
                                  </a:lnTo>
                                  <a:lnTo>
                                    <a:pt x="58" y="0"/>
                                  </a:lnTo>
                                  <a:lnTo>
                                    <a:pt x="58"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149"/>
                        <wpg:cNvGrpSpPr>
                          <a:grpSpLocks/>
                        </wpg:cNvGrpSpPr>
                        <wpg:grpSpPr bwMode="auto">
                          <a:xfrm>
                            <a:off x="2079" y="1765"/>
                            <a:ext cx="1432" cy="468"/>
                            <a:chOff x="2079" y="1765"/>
                            <a:chExt cx="1432" cy="468"/>
                          </a:xfrm>
                        </wpg:grpSpPr>
                        <wps:wsp>
                          <wps:cNvPr id="449" name="Freeform 150"/>
                          <wps:cNvSpPr>
                            <a:spLocks/>
                          </wps:cNvSpPr>
                          <wps:spPr bwMode="auto">
                            <a:xfrm>
                              <a:off x="2079" y="1765"/>
                              <a:ext cx="1432" cy="468"/>
                            </a:xfrm>
                            <a:custGeom>
                              <a:avLst/>
                              <a:gdLst>
                                <a:gd name="T0" fmla="+- 0 2099 2079"/>
                                <a:gd name="T1" fmla="*/ T0 w 1432"/>
                                <a:gd name="T2" fmla="+- 0 2233 1765"/>
                                <a:gd name="T3" fmla="*/ 2233 h 468"/>
                                <a:gd name="T4" fmla="+- 0 2079 2079"/>
                                <a:gd name="T5" fmla="*/ T4 w 1432"/>
                                <a:gd name="T6" fmla="+- 0 2233 1765"/>
                                <a:gd name="T7" fmla="*/ 2233 h 468"/>
                                <a:gd name="T8" fmla="+- 0 2079 2079"/>
                                <a:gd name="T9" fmla="*/ T8 w 1432"/>
                                <a:gd name="T10" fmla="+- 0 1769 1765"/>
                                <a:gd name="T11" fmla="*/ 1769 h 468"/>
                                <a:gd name="T12" fmla="+- 0 2083 2079"/>
                                <a:gd name="T13" fmla="*/ T12 w 1432"/>
                                <a:gd name="T14" fmla="+- 0 1765 1765"/>
                                <a:gd name="T15" fmla="*/ 1765 h 468"/>
                                <a:gd name="T16" fmla="+- 0 3511 2079"/>
                                <a:gd name="T17" fmla="*/ T16 w 1432"/>
                                <a:gd name="T18" fmla="+- 0 1765 1765"/>
                                <a:gd name="T19" fmla="*/ 1765 h 468"/>
                                <a:gd name="T20" fmla="+- 0 3511 2079"/>
                                <a:gd name="T21" fmla="*/ T20 w 1432"/>
                                <a:gd name="T22" fmla="+- 0 1782 1765"/>
                                <a:gd name="T23" fmla="*/ 1782 h 468"/>
                                <a:gd name="T24" fmla="+- 0 2099 2079"/>
                                <a:gd name="T25" fmla="*/ T24 w 1432"/>
                                <a:gd name="T26" fmla="+- 0 1782 1765"/>
                                <a:gd name="T27" fmla="*/ 1782 h 468"/>
                                <a:gd name="T28" fmla="+- 0 2099 2079"/>
                                <a:gd name="T29" fmla="*/ T28 w 1432"/>
                                <a:gd name="T30" fmla="+- 0 2233 1765"/>
                                <a:gd name="T31" fmla="*/ 2233 h 4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2" h="468">
                                  <a:moveTo>
                                    <a:pt x="20" y="468"/>
                                  </a:moveTo>
                                  <a:lnTo>
                                    <a:pt x="0" y="468"/>
                                  </a:lnTo>
                                  <a:lnTo>
                                    <a:pt x="0" y="4"/>
                                  </a:lnTo>
                                  <a:lnTo>
                                    <a:pt x="4" y="0"/>
                                  </a:lnTo>
                                  <a:lnTo>
                                    <a:pt x="1432" y="0"/>
                                  </a:lnTo>
                                  <a:lnTo>
                                    <a:pt x="1432" y="17"/>
                                  </a:lnTo>
                                  <a:lnTo>
                                    <a:pt x="20" y="17"/>
                                  </a:lnTo>
                                  <a:lnTo>
                                    <a:pt x="20" y="46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147"/>
                        <wpg:cNvGrpSpPr>
                          <a:grpSpLocks/>
                        </wpg:cNvGrpSpPr>
                        <wpg:grpSpPr bwMode="auto">
                          <a:xfrm>
                            <a:off x="2055" y="2217"/>
                            <a:ext cx="58" cy="57"/>
                            <a:chOff x="2055" y="2217"/>
                            <a:chExt cx="58" cy="57"/>
                          </a:xfrm>
                        </wpg:grpSpPr>
                        <wps:wsp>
                          <wps:cNvPr id="451" name="Freeform 148"/>
                          <wps:cNvSpPr>
                            <a:spLocks/>
                          </wps:cNvSpPr>
                          <wps:spPr bwMode="auto">
                            <a:xfrm>
                              <a:off x="2055" y="2217"/>
                              <a:ext cx="58" cy="57"/>
                            </a:xfrm>
                            <a:custGeom>
                              <a:avLst/>
                              <a:gdLst>
                                <a:gd name="T0" fmla="+- 0 2084 2055"/>
                                <a:gd name="T1" fmla="*/ T0 w 58"/>
                                <a:gd name="T2" fmla="+- 0 2274 2217"/>
                                <a:gd name="T3" fmla="*/ 2274 h 57"/>
                                <a:gd name="T4" fmla="+- 0 2055 2055"/>
                                <a:gd name="T5" fmla="*/ T4 w 58"/>
                                <a:gd name="T6" fmla="+- 0 2217 2217"/>
                                <a:gd name="T7" fmla="*/ 2217 h 57"/>
                                <a:gd name="T8" fmla="+- 0 2114 2055"/>
                                <a:gd name="T9" fmla="*/ T8 w 58"/>
                                <a:gd name="T10" fmla="+- 0 2217 2217"/>
                                <a:gd name="T11" fmla="*/ 2217 h 57"/>
                                <a:gd name="T12" fmla="+- 0 2084 2055"/>
                                <a:gd name="T13" fmla="*/ T12 w 58"/>
                                <a:gd name="T14" fmla="+- 0 2274 2217"/>
                                <a:gd name="T15" fmla="*/ 2274 h 57"/>
                              </a:gdLst>
                              <a:ahLst/>
                              <a:cxnLst>
                                <a:cxn ang="0">
                                  <a:pos x="T1" y="T3"/>
                                </a:cxn>
                                <a:cxn ang="0">
                                  <a:pos x="T5" y="T7"/>
                                </a:cxn>
                                <a:cxn ang="0">
                                  <a:pos x="T9" y="T11"/>
                                </a:cxn>
                                <a:cxn ang="0">
                                  <a:pos x="T13" y="T15"/>
                                </a:cxn>
                              </a:cxnLst>
                              <a:rect l="0" t="0" r="r" b="b"/>
                              <a:pathLst>
                                <a:path w="58" h="57">
                                  <a:moveTo>
                                    <a:pt x="29" y="57"/>
                                  </a:moveTo>
                                  <a:lnTo>
                                    <a:pt x="0" y="0"/>
                                  </a:lnTo>
                                  <a:lnTo>
                                    <a:pt x="59" y="0"/>
                                  </a:lnTo>
                                  <a:lnTo>
                                    <a:pt x="29"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145"/>
                        <wpg:cNvGrpSpPr>
                          <a:grpSpLocks/>
                        </wpg:cNvGrpSpPr>
                        <wpg:grpSpPr bwMode="auto">
                          <a:xfrm>
                            <a:off x="7359" y="1935"/>
                            <a:ext cx="23" cy="161"/>
                            <a:chOff x="7359" y="1935"/>
                            <a:chExt cx="23" cy="161"/>
                          </a:xfrm>
                        </wpg:grpSpPr>
                        <wps:wsp>
                          <wps:cNvPr id="453" name="Freeform 146"/>
                          <wps:cNvSpPr>
                            <a:spLocks/>
                          </wps:cNvSpPr>
                          <wps:spPr bwMode="auto">
                            <a:xfrm>
                              <a:off x="7359" y="1935"/>
                              <a:ext cx="23" cy="161"/>
                            </a:xfrm>
                            <a:custGeom>
                              <a:avLst/>
                              <a:gdLst>
                                <a:gd name="T0" fmla="+- 0 7379 7359"/>
                                <a:gd name="T1" fmla="*/ T0 w 23"/>
                                <a:gd name="T2" fmla="+- 0 2096 1935"/>
                                <a:gd name="T3" fmla="*/ 2096 h 161"/>
                                <a:gd name="T4" fmla="+- 0 7359 7359"/>
                                <a:gd name="T5" fmla="*/ T4 w 23"/>
                                <a:gd name="T6" fmla="+- 0 2095 1935"/>
                                <a:gd name="T7" fmla="*/ 2095 h 161"/>
                                <a:gd name="T8" fmla="+- 0 7362 7359"/>
                                <a:gd name="T9" fmla="*/ T8 w 23"/>
                                <a:gd name="T10" fmla="+- 0 1935 1935"/>
                                <a:gd name="T11" fmla="*/ 1935 h 161"/>
                                <a:gd name="T12" fmla="+- 0 7382 7359"/>
                                <a:gd name="T13" fmla="*/ T12 w 23"/>
                                <a:gd name="T14" fmla="+- 0 1935 1935"/>
                                <a:gd name="T15" fmla="*/ 1935 h 161"/>
                                <a:gd name="T16" fmla="+- 0 7379 7359"/>
                                <a:gd name="T17" fmla="*/ T16 w 23"/>
                                <a:gd name="T18" fmla="+- 0 2096 1935"/>
                                <a:gd name="T19" fmla="*/ 2096 h 161"/>
                              </a:gdLst>
                              <a:ahLst/>
                              <a:cxnLst>
                                <a:cxn ang="0">
                                  <a:pos x="T1" y="T3"/>
                                </a:cxn>
                                <a:cxn ang="0">
                                  <a:pos x="T5" y="T7"/>
                                </a:cxn>
                                <a:cxn ang="0">
                                  <a:pos x="T9" y="T11"/>
                                </a:cxn>
                                <a:cxn ang="0">
                                  <a:pos x="T13" y="T15"/>
                                </a:cxn>
                                <a:cxn ang="0">
                                  <a:pos x="T17" y="T19"/>
                                </a:cxn>
                              </a:cxnLst>
                              <a:rect l="0" t="0" r="r" b="b"/>
                              <a:pathLst>
                                <a:path w="23" h="161">
                                  <a:moveTo>
                                    <a:pt x="20" y="161"/>
                                  </a:moveTo>
                                  <a:lnTo>
                                    <a:pt x="0" y="160"/>
                                  </a:lnTo>
                                  <a:lnTo>
                                    <a:pt x="3" y="0"/>
                                  </a:lnTo>
                                  <a:lnTo>
                                    <a:pt x="23" y="0"/>
                                  </a:lnTo>
                                  <a:lnTo>
                                    <a:pt x="20" y="16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143"/>
                        <wpg:cNvGrpSpPr>
                          <a:grpSpLocks/>
                        </wpg:cNvGrpSpPr>
                        <wpg:grpSpPr bwMode="auto">
                          <a:xfrm>
                            <a:off x="7340" y="2057"/>
                            <a:ext cx="58" cy="57"/>
                            <a:chOff x="7340" y="2057"/>
                            <a:chExt cx="58" cy="57"/>
                          </a:xfrm>
                        </wpg:grpSpPr>
                        <wps:wsp>
                          <wps:cNvPr id="455" name="Freeform 144"/>
                          <wps:cNvSpPr>
                            <a:spLocks/>
                          </wps:cNvSpPr>
                          <wps:spPr bwMode="auto">
                            <a:xfrm>
                              <a:off x="7340" y="2057"/>
                              <a:ext cx="58" cy="57"/>
                            </a:xfrm>
                            <a:custGeom>
                              <a:avLst/>
                              <a:gdLst>
                                <a:gd name="T0" fmla="+- 0 7369 7340"/>
                                <a:gd name="T1" fmla="*/ T0 w 58"/>
                                <a:gd name="T2" fmla="+- 0 2115 2057"/>
                                <a:gd name="T3" fmla="*/ 2115 h 57"/>
                                <a:gd name="T4" fmla="+- 0 7340 7340"/>
                                <a:gd name="T5" fmla="*/ T4 w 58"/>
                                <a:gd name="T6" fmla="+- 0 2057 2057"/>
                                <a:gd name="T7" fmla="*/ 2057 h 57"/>
                                <a:gd name="T8" fmla="+- 0 7398 7340"/>
                                <a:gd name="T9" fmla="*/ T8 w 58"/>
                                <a:gd name="T10" fmla="+- 0 2057 2057"/>
                                <a:gd name="T11" fmla="*/ 2057 h 57"/>
                                <a:gd name="T12" fmla="+- 0 7369 7340"/>
                                <a:gd name="T13" fmla="*/ T12 w 58"/>
                                <a:gd name="T14" fmla="+- 0 2115 2057"/>
                                <a:gd name="T15" fmla="*/ 2115 h 57"/>
                              </a:gdLst>
                              <a:ahLst/>
                              <a:cxnLst>
                                <a:cxn ang="0">
                                  <a:pos x="T1" y="T3"/>
                                </a:cxn>
                                <a:cxn ang="0">
                                  <a:pos x="T5" y="T7"/>
                                </a:cxn>
                                <a:cxn ang="0">
                                  <a:pos x="T9" y="T11"/>
                                </a:cxn>
                                <a:cxn ang="0">
                                  <a:pos x="T13" y="T15"/>
                                </a:cxn>
                              </a:cxnLst>
                              <a:rect l="0" t="0" r="r" b="b"/>
                              <a:pathLst>
                                <a:path w="58" h="57">
                                  <a:moveTo>
                                    <a:pt x="29" y="58"/>
                                  </a:moveTo>
                                  <a:lnTo>
                                    <a:pt x="0" y="0"/>
                                  </a:lnTo>
                                  <a:lnTo>
                                    <a:pt x="58" y="0"/>
                                  </a:lnTo>
                                  <a:lnTo>
                                    <a:pt x="29" y="5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141"/>
                        <wpg:cNvGrpSpPr>
                          <a:grpSpLocks/>
                        </wpg:cNvGrpSpPr>
                        <wpg:grpSpPr bwMode="auto">
                          <a:xfrm>
                            <a:off x="4165" y="2278"/>
                            <a:ext cx="2621" cy="124"/>
                            <a:chOff x="4165" y="2278"/>
                            <a:chExt cx="2621" cy="124"/>
                          </a:xfrm>
                        </wpg:grpSpPr>
                        <wps:wsp>
                          <wps:cNvPr id="457" name="Freeform 142"/>
                          <wps:cNvSpPr>
                            <a:spLocks/>
                          </wps:cNvSpPr>
                          <wps:spPr bwMode="auto">
                            <a:xfrm>
                              <a:off x="4165" y="2278"/>
                              <a:ext cx="2621" cy="124"/>
                            </a:xfrm>
                            <a:custGeom>
                              <a:avLst/>
                              <a:gdLst>
                                <a:gd name="T0" fmla="+- 0 4185 4165"/>
                                <a:gd name="T1" fmla="*/ T0 w 2621"/>
                                <a:gd name="T2" fmla="+- 0 2402 2278"/>
                                <a:gd name="T3" fmla="*/ 2402 h 124"/>
                                <a:gd name="T4" fmla="+- 0 4165 4165"/>
                                <a:gd name="T5" fmla="*/ T4 w 2621"/>
                                <a:gd name="T6" fmla="+- 0 2402 2278"/>
                                <a:gd name="T7" fmla="*/ 2402 h 124"/>
                                <a:gd name="T8" fmla="+- 0 4165 4165"/>
                                <a:gd name="T9" fmla="*/ T8 w 2621"/>
                                <a:gd name="T10" fmla="+- 0 2283 2278"/>
                                <a:gd name="T11" fmla="*/ 2283 h 124"/>
                                <a:gd name="T12" fmla="+- 0 4170 4165"/>
                                <a:gd name="T13" fmla="*/ T12 w 2621"/>
                                <a:gd name="T14" fmla="+- 0 2278 2278"/>
                                <a:gd name="T15" fmla="*/ 2278 h 124"/>
                                <a:gd name="T16" fmla="+- 0 6786 4165"/>
                                <a:gd name="T17" fmla="*/ T16 w 2621"/>
                                <a:gd name="T18" fmla="+- 0 2278 2278"/>
                                <a:gd name="T19" fmla="*/ 2278 h 124"/>
                                <a:gd name="T20" fmla="+- 0 6786 4165"/>
                                <a:gd name="T21" fmla="*/ T20 w 2621"/>
                                <a:gd name="T22" fmla="+- 0 2298 2278"/>
                                <a:gd name="T23" fmla="*/ 2298 h 124"/>
                                <a:gd name="T24" fmla="+- 0 4185 4165"/>
                                <a:gd name="T25" fmla="*/ T24 w 2621"/>
                                <a:gd name="T26" fmla="+- 0 2298 2278"/>
                                <a:gd name="T27" fmla="*/ 2298 h 124"/>
                                <a:gd name="T28" fmla="+- 0 4185 4165"/>
                                <a:gd name="T29" fmla="*/ T28 w 2621"/>
                                <a:gd name="T30" fmla="+- 0 2402 2278"/>
                                <a:gd name="T31" fmla="*/ 2402 h 1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21" h="124">
                                  <a:moveTo>
                                    <a:pt x="20" y="124"/>
                                  </a:moveTo>
                                  <a:lnTo>
                                    <a:pt x="0" y="124"/>
                                  </a:lnTo>
                                  <a:lnTo>
                                    <a:pt x="0" y="5"/>
                                  </a:lnTo>
                                  <a:lnTo>
                                    <a:pt x="5" y="0"/>
                                  </a:lnTo>
                                  <a:lnTo>
                                    <a:pt x="2621" y="0"/>
                                  </a:lnTo>
                                  <a:lnTo>
                                    <a:pt x="2621" y="20"/>
                                  </a:lnTo>
                                  <a:lnTo>
                                    <a:pt x="20" y="20"/>
                                  </a:lnTo>
                                  <a:lnTo>
                                    <a:pt x="20" y="12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139"/>
                        <wpg:cNvGrpSpPr>
                          <a:grpSpLocks/>
                        </wpg:cNvGrpSpPr>
                        <wpg:grpSpPr bwMode="auto">
                          <a:xfrm>
                            <a:off x="4146" y="2364"/>
                            <a:ext cx="58" cy="57"/>
                            <a:chOff x="4146" y="2364"/>
                            <a:chExt cx="58" cy="57"/>
                          </a:xfrm>
                        </wpg:grpSpPr>
                        <wps:wsp>
                          <wps:cNvPr id="459" name="Freeform 140"/>
                          <wps:cNvSpPr>
                            <a:spLocks/>
                          </wps:cNvSpPr>
                          <wps:spPr bwMode="auto">
                            <a:xfrm>
                              <a:off x="4146" y="2364"/>
                              <a:ext cx="58" cy="57"/>
                            </a:xfrm>
                            <a:custGeom>
                              <a:avLst/>
                              <a:gdLst>
                                <a:gd name="T0" fmla="+- 0 4175 4146"/>
                                <a:gd name="T1" fmla="*/ T0 w 58"/>
                                <a:gd name="T2" fmla="+- 0 2421 2364"/>
                                <a:gd name="T3" fmla="*/ 2421 h 57"/>
                                <a:gd name="T4" fmla="+- 0 4146 4146"/>
                                <a:gd name="T5" fmla="*/ T4 w 58"/>
                                <a:gd name="T6" fmla="+- 0 2364 2364"/>
                                <a:gd name="T7" fmla="*/ 2364 h 57"/>
                                <a:gd name="T8" fmla="+- 0 4204 4146"/>
                                <a:gd name="T9" fmla="*/ T8 w 58"/>
                                <a:gd name="T10" fmla="+- 0 2364 2364"/>
                                <a:gd name="T11" fmla="*/ 2364 h 57"/>
                                <a:gd name="T12" fmla="+- 0 4175 4146"/>
                                <a:gd name="T13" fmla="*/ T12 w 58"/>
                                <a:gd name="T14" fmla="+- 0 2421 2364"/>
                                <a:gd name="T15" fmla="*/ 2421 h 57"/>
                              </a:gdLst>
                              <a:ahLst/>
                              <a:cxnLst>
                                <a:cxn ang="0">
                                  <a:pos x="T1" y="T3"/>
                                </a:cxn>
                                <a:cxn ang="0">
                                  <a:pos x="T5" y="T7"/>
                                </a:cxn>
                                <a:cxn ang="0">
                                  <a:pos x="T9" y="T11"/>
                                </a:cxn>
                                <a:cxn ang="0">
                                  <a:pos x="T13" y="T15"/>
                                </a:cxn>
                              </a:cxnLst>
                              <a:rect l="0" t="0" r="r" b="b"/>
                              <a:pathLst>
                                <a:path w="58" h="57">
                                  <a:moveTo>
                                    <a:pt x="29" y="57"/>
                                  </a:moveTo>
                                  <a:lnTo>
                                    <a:pt x="0" y="0"/>
                                  </a:lnTo>
                                  <a:lnTo>
                                    <a:pt x="58" y="0"/>
                                  </a:lnTo>
                                  <a:lnTo>
                                    <a:pt x="29"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137"/>
                        <wpg:cNvGrpSpPr>
                          <a:grpSpLocks/>
                        </wpg:cNvGrpSpPr>
                        <wpg:grpSpPr bwMode="auto">
                          <a:xfrm>
                            <a:off x="3943" y="5433"/>
                            <a:ext cx="2" cy="250"/>
                            <a:chOff x="3943" y="5433"/>
                            <a:chExt cx="2" cy="250"/>
                          </a:xfrm>
                        </wpg:grpSpPr>
                        <wps:wsp>
                          <wps:cNvPr id="461" name="Freeform 138"/>
                          <wps:cNvSpPr>
                            <a:spLocks/>
                          </wps:cNvSpPr>
                          <wps:spPr bwMode="auto">
                            <a:xfrm>
                              <a:off x="3943" y="5433"/>
                              <a:ext cx="2" cy="250"/>
                            </a:xfrm>
                            <a:custGeom>
                              <a:avLst/>
                              <a:gdLst>
                                <a:gd name="T0" fmla="+- 0 5683 5433"/>
                                <a:gd name="T1" fmla="*/ 5683 h 250"/>
                                <a:gd name="T2" fmla="+- 0 5433 5433"/>
                                <a:gd name="T3" fmla="*/ 5433 h 250"/>
                              </a:gdLst>
                              <a:ahLst/>
                              <a:cxnLst>
                                <a:cxn ang="0">
                                  <a:pos x="0" y="T1"/>
                                </a:cxn>
                                <a:cxn ang="0">
                                  <a:pos x="0" y="T3"/>
                                </a:cxn>
                              </a:cxnLst>
                              <a:rect l="0" t="0" r="r" b="b"/>
                              <a:pathLst>
                                <a:path h="250">
                                  <a:moveTo>
                                    <a:pt x="0" y="250"/>
                                  </a:moveTo>
                                  <a:lnTo>
                                    <a:pt x="0" y="0"/>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135"/>
                        <wpg:cNvGrpSpPr>
                          <a:grpSpLocks/>
                        </wpg:cNvGrpSpPr>
                        <wpg:grpSpPr bwMode="auto">
                          <a:xfrm>
                            <a:off x="3914" y="5663"/>
                            <a:ext cx="58" cy="57"/>
                            <a:chOff x="3914" y="5663"/>
                            <a:chExt cx="58" cy="57"/>
                          </a:xfrm>
                        </wpg:grpSpPr>
                        <wps:wsp>
                          <wps:cNvPr id="463" name="Freeform 136"/>
                          <wps:cNvSpPr>
                            <a:spLocks/>
                          </wps:cNvSpPr>
                          <wps:spPr bwMode="auto">
                            <a:xfrm>
                              <a:off x="3914" y="5663"/>
                              <a:ext cx="58" cy="57"/>
                            </a:xfrm>
                            <a:custGeom>
                              <a:avLst/>
                              <a:gdLst>
                                <a:gd name="T0" fmla="+- 0 3943 3914"/>
                                <a:gd name="T1" fmla="*/ T0 w 58"/>
                                <a:gd name="T2" fmla="+- 0 5720 5663"/>
                                <a:gd name="T3" fmla="*/ 5720 h 57"/>
                                <a:gd name="T4" fmla="+- 0 3914 3914"/>
                                <a:gd name="T5" fmla="*/ T4 w 58"/>
                                <a:gd name="T6" fmla="+- 0 5663 5663"/>
                                <a:gd name="T7" fmla="*/ 5663 h 57"/>
                                <a:gd name="T8" fmla="+- 0 3972 3914"/>
                                <a:gd name="T9" fmla="*/ T8 w 58"/>
                                <a:gd name="T10" fmla="+- 0 5663 5663"/>
                                <a:gd name="T11" fmla="*/ 5663 h 57"/>
                                <a:gd name="T12" fmla="+- 0 3943 3914"/>
                                <a:gd name="T13" fmla="*/ T12 w 58"/>
                                <a:gd name="T14" fmla="+- 0 5720 5663"/>
                                <a:gd name="T15" fmla="*/ 5720 h 57"/>
                              </a:gdLst>
                              <a:ahLst/>
                              <a:cxnLst>
                                <a:cxn ang="0">
                                  <a:pos x="T1" y="T3"/>
                                </a:cxn>
                                <a:cxn ang="0">
                                  <a:pos x="T5" y="T7"/>
                                </a:cxn>
                                <a:cxn ang="0">
                                  <a:pos x="T9" y="T11"/>
                                </a:cxn>
                                <a:cxn ang="0">
                                  <a:pos x="T13" y="T15"/>
                                </a:cxn>
                              </a:cxnLst>
                              <a:rect l="0" t="0" r="r" b="b"/>
                              <a:pathLst>
                                <a:path w="58" h="57">
                                  <a:moveTo>
                                    <a:pt x="29" y="57"/>
                                  </a:moveTo>
                                  <a:lnTo>
                                    <a:pt x="0" y="0"/>
                                  </a:lnTo>
                                  <a:lnTo>
                                    <a:pt x="58" y="0"/>
                                  </a:lnTo>
                                  <a:lnTo>
                                    <a:pt x="29"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133"/>
                        <wpg:cNvGrpSpPr>
                          <a:grpSpLocks/>
                        </wpg:cNvGrpSpPr>
                        <wpg:grpSpPr bwMode="auto">
                          <a:xfrm>
                            <a:off x="5163" y="5433"/>
                            <a:ext cx="2" cy="249"/>
                            <a:chOff x="5163" y="5433"/>
                            <a:chExt cx="2" cy="249"/>
                          </a:xfrm>
                        </wpg:grpSpPr>
                        <wps:wsp>
                          <wps:cNvPr id="465" name="Freeform 134"/>
                          <wps:cNvSpPr>
                            <a:spLocks/>
                          </wps:cNvSpPr>
                          <wps:spPr bwMode="auto">
                            <a:xfrm>
                              <a:off x="5163" y="5433"/>
                              <a:ext cx="2" cy="249"/>
                            </a:xfrm>
                            <a:custGeom>
                              <a:avLst/>
                              <a:gdLst>
                                <a:gd name="T0" fmla="+- 0 5682 5433"/>
                                <a:gd name="T1" fmla="*/ 5682 h 249"/>
                                <a:gd name="T2" fmla="+- 0 5433 5433"/>
                                <a:gd name="T3" fmla="*/ 5433 h 249"/>
                              </a:gdLst>
                              <a:ahLst/>
                              <a:cxnLst>
                                <a:cxn ang="0">
                                  <a:pos x="0" y="T1"/>
                                </a:cxn>
                                <a:cxn ang="0">
                                  <a:pos x="0" y="T3"/>
                                </a:cxn>
                              </a:cxnLst>
                              <a:rect l="0" t="0" r="r" b="b"/>
                              <a:pathLst>
                                <a:path h="249">
                                  <a:moveTo>
                                    <a:pt x="0" y="249"/>
                                  </a:moveTo>
                                  <a:lnTo>
                                    <a:pt x="0" y="0"/>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131"/>
                        <wpg:cNvGrpSpPr>
                          <a:grpSpLocks/>
                        </wpg:cNvGrpSpPr>
                        <wpg:grpSpPr bwMode="auto">
                          <a:xfrm>
                            <a:off x="5133" y="5655"/>
                            <a:ext cx="58" cy="57"/>
                            <a:chOff x="5133" y="5655"/>
                            <a:chExt cx="58" cy="57"/>
                          </a:xfrm>
                        </wpg:grpSpPr>
                        <wps:wsp>
                          <wps:cNvPr id="467" name="Freeform 132"/>
                          <wps:cNvSpPr>
                            <a:spLocks/>
                          </wps:cNvSpPr>
                          <wps:spPr bwMode="auto">
                            <a:xfrm>
                              <a:off x="5133" y="5655"/>
                              <a:ext cx="58" cy="57"/>
                            </a:xfrm>
                            <a:custGeom>
                              <a:avLst/>
                              <a:gdLst>
                                <a:gd name="T0" fmla="+- 0 5163 5133"/>
                                <a:gd name="T1" fmla="*/ T0 w 58"/>
                                <a:gd name="T2" fmla="+- 0 5712 5655"/>
                                <a:gd name="T3" fmla="*/ 5712 h 57"/>
                                <a:gd name="T4" fmla="+- 0 5133 5133"/>
                                <a:gd name="T5" fmla="*/ T4 w 58"/>
                                <a:gd name="T6" fmla="+- 0 5655 5655"/>
                                <a:gd name="T7" fmla="*/ 5655 h 57"/>
                                <a:gd name="T8" fmla="+- 0 5192 5133"/>
                                <a:gd name="T9" fmla="*/ T8 w 58"/>
                                <a:gd name="T10" fmla="+- 0 5655 5655"/>
                                <a:gd name="T11" fmla="*/ 5655 h 57"/>
                                <a:gd name="T12" fmla="+- 0 5163 5133"/>
                                <a:gd name="T13" fmla="*/ T12 w 58"/>
                                <a:gd name="T14" fmla="+- 0 5712 5655"/>
                                <a:gd name="T15" fmla="*/ 5712 h 57"/>
                              </a:gdLst>
                              <a:ahLst/>
                              <a:cxnLst>
                                <a:cxn ang="0">
                                  <a:pos x="T1" y="T3"/>
                                </a:cxn>
                                <a:cxn ang="0">
                                  <a:pos x="T5" y="T7"/>
                                </a:cxn>
                                <a:cxn ang="0">
                                  <a:pos x="T9" y="T11"/>
                                </a:cxn>
                                <a:cxn ang="0">
                                  <a:pos x="T13" y="T15"/>
                                </a:cxn>
                              </a:cxnLst>
                              <a:rect l="0" t="0" r="r" b="b"/>
                              <a:pathLst>
                                <a:path w="58" h="57">
                                  <a:moveTo>
                                    <a:pt x="30" y="57"/>
                                  </a:moveTo>
                                  <a:lnTo>
                                    <a:pt x="0" y="0"/>
                                  </a:lnTo>
                                  <a:lnTo>
                                    <a:pt x="59" y="0"/>
                                  </a:lnTo>
                                  <a:lnTo>
                                    <a:pt x="30"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 name="Group 129"/>
                        <wpg:cNvGrpSpPr>
                          <a:grpSpLocks/>
                        </wpg:cNvGrpSpPr>
                        <wpg:grpSpPr bwMode="auto">
                          <a:xfrm>
                            <a:off x="4698" y="3772"/>
                            <a:ext cx="140" cy="2"/>
                            <a:chOff x="4698" y="3772"/>
                            <a:chExt cx="140" cy="2"/>
                          </a:xfrm>
                        </wpg:grpSpPr>
                        <wps:wsp>
                          <wps:cNvPr id="469" name="Freeform 130"/>
                          <wps:cNvSpPr>
                            <a:spLocks/>
                          </wps:cNvSpPr>
                          <wps:spPr bwMode="auto">
                            <a:xfrm>
                              <a:off x="4698" y="3772"/>
                              <a:ext cx="140" cy="2"/>
                            </a:xfrm>
                            <a:custGeom>
                              <a:avLst/>
                              <a:gdLst>
                                <a:gd name="T0" fmla="+- 0 4698 4698"/>
                                <a:gd name="T1" fmla="*/ T0 w 140"/>
                                <a:gd name="T2" fmla="+- 0 4838 4698"/>
                                <a:gd name="T3" fmla="*/ T2 w 140"/>
                              </a:gdLst>
                              <a:ahLst/>
                              <a:cxnLst>
                                <a:cxn ang="0">
                                  <a:pos x="T1" y="0"/>
                                </a:cxn>
                                <a:cxn ang="0">
                                  <a:pos x="T3" y="0"/>
                                </a:cxn>
                              </a:cxnLst>
                              <a:rect l="0" t="0" r="r" b="b"/>
                              <a:pathLst>
                                <a:path w="140">
                                  <a:moveTo>
                                    <a:pt x="0" y="0"/>
                                  </a:moveTo>
                                  <a:lnTo>
                                    <a:pt x="140" y="0"/>
                                  </a:lnTo>
                                </a:path>
                              </a:pathLst>
                            </a:custGeom>
                            <a:noFill/>
                            <a:ln w="137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127"/>
                        <wpg:cNvGrpSpPr>
                          <a:grpSpLocks/>
                        </wpg:cNvGrpSpPr>
                        <wpg:grpSpPr bwMode="auto">
                          <a:xfrm>
                            <a:off x="4807" y="3743"/>
                            <a:ext cx="58" cy="57"/>
                            <a:chOff x="4807" y="3743"/>
                            <a:chExt cx="58" cy="57"/>
                          </a:xfrm>
                        </wpg:grpSpPr>
                        <wps:wsp>
                          <wps:cNvPr id="471" name="Freeform 128"/>
                          <wps:cNvSpPr>
                            <a:spLocks/>
                          </wps:cNvSpPr>
                          <wps:spPr bwMode="auto">
                            <a:xfrm>
                              <a:off x="4807" y="3743"/>
                              <a:ext cx="58" cy="57"/>
                            </a:xfrm>
                            <a:custGeom>
                              <a:avLst/>
                              <a:gdLst>
                                <a:gd name="T0" fmla="+- 0 4807 4807"/>
                                <a:gd name="T1" fmla="*/ T0 w 58"/>
                                <a:gd name="T2" fmla="+- 0 3801 3743"/>
                                <a:gd name="T3" fmla="*/ 3801 h 57"/>
                                <a:gd name="T4" fmla="+- 0 4807 4807"/>
                                <a:gd name="T5" fmla="*/ T4 w 58"/>
                                <a:gd name="T6" fmla="+- 0 3743 3743"/>
                                <a:gd name="T7" fmla="*/ 3743 h 57"/>
                                <a:gd name="T8" fmla="+- 0 4865 4807"/>
                                <a:gd name="T9" fmla="*/ T8 w 58"/>
                                <a:gd name="T10" fmla="+- 0 3772 3743"/>
                                <a:gd name="T11" fmla="*/ 3772 h 57"/>
                                <a:gd name="T12" fmla="+- 0 4807 4807"/>
                                <a:gd name="T13" fmla="*/ T12 w 58"/>
                                <a:gd name="T14" fmla="+- 0 3801 3743"/>
                                <a:gd name="T15" fmla="*/ 3801 h 57"/>
                              </a:gdLst>
                              <a:ahLst/>
                              <a:cxnLst>
                                <a:cxn ang="0">
                                  <a:pos x="T1" y="T3"/>
                                </a:cxn>
                                <a:cxn ang="0">
                                  <a:pos x="T5" y="T7"/>
                                </a:cxn>
                                <a:cxn ang="0">
                                  <a:pos x="T9" y="T11"/>
                                </a:cxn>
                                <a:cxn ang="0">
                                  <a:pos x="T13" y="T15"/>
                                </a:cxn>
                              </a:cxnLst>
                              <a:rect l="0" t="0" r="r" b="b"/>
                              <a:pathLst>
                                <a:path w="58" h="57">
                                  <a:moveTo>
                                    <a:pt x="0" y="58"/>
                                  </a:moveTo>
                                  <a:lnTo>
                                    <a:pt x="0" y="0"/>
                                  </a:lnTo>
                                  <a:lnTo>
                                    <a:pt x="58" y="29"/>
                                  </a:lnTo>
                                  <a:lnTo>
                                    <a:pt x="0" y="5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125"/>
                        <wpg:cNvGrpSpPr>
                          <a:grpSpLocks/>
                        </wpg:cNvGrpSpPr>
                        <wpg:grpSpPr bwMode="auto">
                          <a:xfrm>
                            <a:off x="3511" y="5055"/>
                            <a:ext cx="2434" cy="378"/>
                            <a:chOff x="3511" y="5055"/>
                            <a:chExt cx="2434" cy="378"/>
                          </a:xfrm>
                        </wpg:grpSpPr>
                        <wps:wsp>
                          <wps:cNvPr id="473" name="Freeform 126"/>
                          <wps:cNvSpPr>
                            <a:spLocks/>
                          </wps:cNvSpPr>
                          <wps:spPr bwMode="auto">
                            <a:xfrm>
                              <a:off x="3511" y="5055"/>
                              <a:ext cx="2434" cy="378"/>
                            </a:xfrm>
                            <a:custGeom>
                              <a:avLst/>
                              <a:gdLst>
                                <a:gd name="T0" fmla="+- 0 3511 3511"/>
                                <a:gd name="T1" fmla="*/ T0 w 2434"/>
                                <a:gd name="T2" fmla="+- 0 5055 5055"/>
                                <a:gd name="T3" fmla="*/ 5055 h 378"/>
                                <a:gd name="T4" fmla="+- 0 5944 3511"/>
                                <a:gd name="T5" fmla="*/ T4 w 2434"/>
                                <a:gd name="T6" fmla="+- 0 5055 5055"/>
                                <a:gd name="T7" fmla="*/ 5055 h 378"/>
                                <a:gd name="T8" fmla="+- 0 5944 3511"/>
                                <a:gd name="T9" fmla="*/ T8 w 2434"/>
                                <a:gd name="T10" fmla="+- 0 5433 5055"/>
                                <a:gd name="T11" fmla="*/ 5433 h 378"/>
                                <a:gd name="T12" fmla="+- 0 3511 3511"/>
                                <a:gd name="T13" fmla="*/ T12 w 2434"/>
                                <a:gd name="T14" fmla="+- 0 5433 5055"/>
                                <a:gd name="T15" fmla="*/ 5433 h 378"/>
                                <a:gd name="T16" fmla="+- 0 3511 3511"/>
                                <a:gd name="T17" fmla="*/ T16 w 2434"/>
                                <a:gd name="T18" fmla="+- 0 5055 5055"/>
                                <a:gd name="T19" fmla="*/ 5055 h 378"/>
                              </a:gdLst>
                              <a:ahLst/>
                              <a:cxnLst>
                                <a:cxn ang="0">
                                  <a:pos x="T1" y="T3"/>
                                </a:cxn>
                                <a:cxn ang="0">
                                  <a:pos x="T5" y="T7"/>
                                </a:cxn>
                                <a:cxn ang="0">
                                  <a:pos x="T9" y="T11"/>
                                </a:cxn>
                                <a:cxn ang="0">
                                  <a:pos x="T13" y="T15"/>
                                </a:cxn>
                                <a:cxn ang="0">
                                  <a:pos x="T17" y="T19"/>
                                </a:cxn>
                              </a:cxnLst>
                              <a:rect l="0" t="0" r="r" b="b"/>
                              <a:pathLst>
                                <a:path w="2434" h="378">
                                  <a:moveTo>
                                    <a:pt x="0" y="0"/>
                                  </a:moveTo>
                                  <a:lnTo>
                                    <a:pt x="2433" y="0"/>
                                  </a:lnTo>
                                  <a:lnTo>
                                    <a:pt x="2433" y="378"/>
                                  </a:lnTo>
                                  <a:lnTo>
                                    <a:pt x="0" y="37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123"/>
                        <wpg:cNvGrpSpPr>
                          <a:grpSpLocks/>
                        </wpg:cNvGrpSpPr>
                        <wpg:grpSpPr bwMode="auto">
                          <a:xfrm>
                            <a:off x="3501" y="5035"/>
                            <a:ext cx="2467" cy="398"/>
                            <a:chOff x="3501" y="5035"/>
                            <a:chExt cx="2467" cy="398"/>
                          </a:xfrm>
                        </wpg:grpSpPr>
                        <wps:wsp>
                          <wps:cNvPr id="475" name="Freeform 124"/>
                          <wps:cNvSpPr>
                            <a:spLocks/>
                          </wps:cNvSpPr>
                          <wps:spPr bwMode="auto">
                            <a:xfrm>
                              <a:off x="3501" y="5035"/>
                              <a:ext cx="2467" cy="398"/>
                            </a:xfrm>
                            <a:custGeom>
                              <a:avLst/>
                              <a:gdLst>
                                <a:gd name="T0" fmla="+- 0 5968 3501"/>
                                <a:gd name="T1" fmla="*/ T0 w 2467"/>
                                <a:gd name="T2" fmla="+- 0 5433 5035"/>
                                <a:gd name="T3" fmla="*/ 5433 h 398"/>
                                <a:gd name="T4" fmla="+- 0 3501 3501"/>
                                <a:gd name="T5" fmla="*/ T4 w 2467"/>
                                <a:gd name="T6" fmla="+- 0 5433 5035"/>
                                <a:gd name="T7" fmla="*/ 5433 h 398"/>
                                <a:gd name="T8" fmla="+- 0 3501 3501"/>
                                <a:gd name="T9" fmla="*/ T8 w 2467"/>
                                <a:gd name="T10" fmla="+- 0 5035 5035"/>
                                <a:gd name="T11" fmla="*/ 5035 h 398"/>
                                <a:gd name="T12" fmla="+- 0 5968 3501"/>
                                <a:gd name="T13" fmla="*/ T12 w 2467"/>
                                <a:gd name="T14" fmla="+- 0 5035 5035"/>
                                <a:gd name="T15" fmla="*/ 5035 h 398"/>
                                <a:gd name="T16" fmla="+- 0 5968 3501"/>
                                <a:gd name="T17" fmla="*/ T16 w 2467"/>
                                <a:gd name="T18" fmla="+- 0 5055 5035"/>
                                <a:gd name="T19" fmla="*/ 5055 h 398"/>
                                <a:gd name="T20" fmla="+- 0 3521 3501"/>
                                <a:gd name="T21" fmla="*/ T20 w 2467"/>
                                <a:gd name="T22" fmla="+- 0 5055 5035"/>
                                <a:gd name="T23" fmla="*/ 5055 h 398"/>
                                <a:gd name="T24" fmla="+- 0 3521 3501"/>
                                <a:gd name="T25" fmla="*/ T24 w 2467"/>
                                <a:gd name="T26" fmla="+- 0 5413 5035"/>
                                <a:gd name="T27" fmla="*/ 5413 h 398"/>
                                <a:gd name="T28" fmla="+- 0 5968 3501"/>
                                <a:gd name="T29" fmla="*/ T28 w 2467"/>
                                <a:gd name="T30" fmla="+- 0 5413 5035"/>
                                <a:gd name="T31" fmla="*/ 5413 h 398"/>
                                <a:gd name="T32" fmla="+- 0 5968 3501"/>
                                <a:gd name="T33" fmla="*/ T32 w 2467"/>
                                <a:gd name="T34" fmla="+- 0 5433 5035"/>
                                <a:gd name="T35" fmla="*/ 5433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67" h="398">
                                  <a:moveTo>
                                    <a:pt x="2467" y="398"/>
                                  </a:moveTo>
                                  <a:lnTo>
                                    <a:pt x="0" y="398"/>
                                  </a:lnTo>
                                  <a:lnTo>
                                    <a:pt x="0" y="0"/>
                                  </a:lnTo>
                                  <a:lnTo>
                                    <a:pt x="2467" y="0"/>
                                  </a:lnTo>
                                  <a:lnTo>
                                    <a:pt x="2467" y="20"/>
                                  </a:lnTo>
                                  <a:lnTo>
                                    <a:pt x="20" y="20"/>
                                  </a:lnTo>
                                  <a:lnTo>
                                    <a:pt x="20" y="378"/>
                                  </a:lnTo>
                                  <a:lnTo>
                                    <a:pt x="2467" y="378"/>
                                  </a:lnTo>
                                  <a:lnTo>
                                    <a:pt x="2467" y="39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121"/>
                        <wpg:cNvGrpSpPr>
                          <a:grpSpLocks/>
                        </wpg:cNvGrpSpPr>
                        <wpg:grpSpPr bwMode="auto">
                          <a:xfrm>
                            <a:off x="5958" y="5055"/>
                            <a:ext cx="2" cy="358"/>
                            <a:chOff x="5958" y="5055"/>
                            <a:chExt cx="2" cy="358"/>
                          </a:xfrm>
                        </wpg:grpSpPr>
                        <wps:wsp>
                          <wps:cNvPr id="477" name="Freeform 122"/>
                          <wps:cNvSpPr>
                            <a:spLocks/>
                          </wps:cNvSpPr>
                          <wps:spPr bwMode="auto">
                            <a:xfrm>
                              <a:off x="5958" y="5055"/>
                              <a:ext cx="2" cy="358"/>
                            </a:xfrm>
                            <a:custGeom>
                              <a:avLst/>
                              <a:gdLst>
                                <a:gd name="T0" fmla="+- 0 5413 5055"/>
                                <a:gd name="T1" fmla="*/ 5413 h 358"/>
                                <a:gd name="T2" fmla="+- 0 5055 5055"/>
                                <a:gd name="T3" fmla="*/ 5055 h 358"/>
                              </a:gdLst>
                              <a:ahLst/>
                              <a:cxnLst>
                                <a:cxn ang="0">
                                  <a:pos x="0" y="T1"/>
                                </a:cxn>
                                <a:cxn ang="0">
                                  <a:pos x="0" y="T3"/>
                                </a:cxn>
                              </a:cxnLst>
                              <a:rect l="0" t="0" r="r" b="b"/>
                              <a:pathLst>
                                <a:path h="358">
                                  <a:moveTo>
                                    <a:pt x="0" y="358"/>
                                  </a:moveTo>
                                  <a:lnTo>
                                    <a:pt x="0" y="0"/>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119"/>
                        <wpg:cNvGrpSpPr>
                          <a:grpSpLocks/>
                        </wpg:cNvGrpSpPr>
                        <wpg:grpSpPr bwMode="auto">
                          <a:xfrm>
                            <a:off x="3562" y="4487"/>
                            <a:ext cx="966" cy="395"/>
                            <a:chOff x="3562" y="4487"/>
                            <a:chExt cx="966" cy="395"/>
                          </a:xfrm>
                        </wpg:grpSpPr>
                        <wps:wsp>
                          <wps:cNvPr id="479" name="Freeform 120"/>
                          <wps:cNvSpPr>
                            <a:spLocks/>
                          </wps:cNvSpPr>
                          <wps:spPr bwMode="auto">
                            <a:xfrm>
                              <a:off x="3562" y="4487"/>
                              <a:ext cx="966" cy="395"/>
                            </a:xfrm>
                            <a:custGeom>
                              <a:avLst/>
                              <a:gdLst>
                                <a:gd name="T0" fmla="+- 0 3562 3562"/>
                                <a:gd name="T1" fmla="*/ T0 w 966"/>
                                <a:gd name="T2" fmla="+- 0 4487 4487"/>
                                <a:gd name="T3" fmla="*/ 4487 h 395"/>
                                <a:gd name="T4" fmla="+- 0 4528 3562"/>
                                <a:gd name="T5" fmla="*/ T4 w 966"/>
                                <a:gd name="T6" fmla="+- 0 4487 4487"/>
                                <a:gd name="T7" fmla="*/ 4487 h 395"/>
                                <a:gd name="T8" fmla="+- 0 4528 3562"/>
                                <a:gd name="T9" fmla="*/ T8 w 966"/>
                                <a:gd name="T10" fmla="+- 0 4882 4487"/>
                                <a:gd name="T11" fmla="*/ 4882 h 395"/>
                                <a:gd name="T12" fmla="+- 0 3562 3562"/>
                                <a:gd name="T13" fmla="*/ T12 w 966"/>
                                <a:gd name="T14" fmla="+- 0 4882 4487"/>
                                <a:gd name="T15" fmla="*/ 4882 h 395"/>
                                <a:gd name="T16" fmla="+- 0 3562 3562"/>
                                <a:gd name="T17" fmla="*/ T16 w 966"/>
                                <a:gd name="T18" fmla="+- 0 4487 4487"/>
                                <a:gd name="T19" fmla="*/ 4487 h 395"/>
                              </a:gdLst>
                              <a:ahLst/>
                              <a:cxnLst>
                                <a:cxn ang="0">
                                  <a:pos x="T1" y="T3"/>
                                </a:cxn>
                                <a:cxn ang="0">
                                  <a:pos x="T5" y="T7"/>
                                </a:cxn>
                                <a:cxn ang="0">
                                  <a:pos x="T9" y="T11"/>
                                </a:cxn>
                                <a:cxn ang="0">
                                  <a:pos x="T13" y="T15"/>
                                </a:cxn>
                                <a:cxn ang="0">
                                  <a:pos x="T17" y="T19"/>
                                </a:cxn>
                              </a:cxnLst>
                              <a:rect l="0" t="0" r="r" b="b"/>
                              <a:pathLst>
                                <a:path w="966" h="395">
                                  <a:moveTo>
                                    <a:pt x="0" y="0"/>
                                  </a:moveTo>
                                  <a:lnTo>
                                    <a:pt x="966" y="0"/>
                                  </a:lnTo>
                                  <a:lnTo>
                                    <a:pt x="966" y="395"/>
                                  </a:lnTo>
                                  <a:lnTo>
                                    <a:pt x="0" y="39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117"/>
                        <wpg:cNvGrpSpPr>
                          <a:grpSpLocks/>
                        </wpg:cNvGrpSpPr>
                        <wpg:grpSpPr bwMode="auto">
                          <a:xfrm>
                            <a:off x="4756" y="4495"/>
                            <a:ext cx="1290" cy="283"/>
                            <a:chOff x="4756" y="4495"/>
                            <a:chExt cx="1290" cy="283"/>
                          </a:xfrm>
                        </wpg:grpSpPr>
                        <wps:wsp>
                          <wps:cNvPr id="481" name="Freeform 118"/>
                          <wps:cNvSpPr>
                            <a:spLocks/>
                          </wps:cNvSpPr>
                          <wps:spPr bwMode="auto">
                            <a:xfrm>
                              <a:off x="4756" y="4495"/>
                              <a:ext cx="1290" cy="283"/>
                            </a:xfrm>
                            <a:custGeom>
                              <a:avLst/>
                              <a:gdLst>
                                <a:gd name="T0" fmla="+- 0 4756 4756"/>
                                <a:gd name="T1" fmla="*/ T0 w 1290"/>
                                <a:gd name="T2" fmla="+- 0 4495 4495"/>
                                <a:gd name="T3" fmla="*/ 4495 h 283"/>
                                <a:gd name="T4" fmla="+- 0 6046 4756"/>
                                <a:gd name="T5" fmla="*/ T4 w 1290"/>
                                <a:gd name="T6" fmla="+- 0 4495 4495"/>
                                <a:gd name="T7" fmla="*/ 4495 h 283"/>
                                <a:gd name="T8" fmla="+- 0 6046 4756"/>
                                <a:gd name="T9" fmla="*/ T8 w 1290"/>
                                <a:gd name="T10" fmla="+- 0 4778 4495"/>
                                <a:gd name="T11" fmla="*/ 4778 h 283"/>
                                <a:gd name="T12" fmla="+- 0 4756 4756"/>
                                <a:gd name="T13" fmla="*/ T12 w 1290"/>
                                <a:gd name="T14" fmla="+- 0 4778 4495"/>
                                <a:gd name="T15" fmla="*/ 4778 h 283"/>
                                <a:gd name="T16" fmla="+- 0 4756 4756"/>
                                <a:gd name="T17" fmla="*/ T16 w 1290"/>
                                <a:gd name="T18" fmla="+- 0 4495 4495"/>
                                <a:gd name="T19" fmla="*/ 4495 h 283"/>
                              </a:gdLst>
                              <a:ahLst/>
                              <a:cxnLst>
                                <a:cxn ang="0">
                                  <a:pos x="T1" y="T3"/>
                                </a:cxn>
                                <a:cxn ang="0">
                                  <a:pos x="T5" y="T7"/>
                                </a:cxn>
                                <a:cxn ang="0">
                                  <a:pos x="T9" y="T11"/>
                                </a:cxn>
                                <a:cxn ang="0">
                                  <a:pos x="T13" y="T15"/>
                                </a:cxn>
                                <a:cxn ang="0">
                                  <a:pos x="T17" y="T19"/>
                                </a:cxn>
                              </a:cxnLst>
                              <a:rect l="0" t="0" r="r" b="b"/>
                              <a:pathLst>
                                <a:path w="1290" h="283">
                                  <a:moveTo>
                                    <a:pt x="0" y="0"/>
                                  </a:moveTo>
                                  <a:lnTo>
                                    <a:pt x="1290" y="0"/>
                                  </a:lnTo>
                                  <a:lnTo>
                                    <a:pt x="1290" y="283"/>
                                  </a:lnTo>
                                  <a:lnTo>
                                    <a:pt x="0" y="28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115"/>
                        <wpg:cNvGrpSpPr>
                          <a:grpSpLocks/>
                        </wpg:cNvGrpSpPr>
                        <wpg:grpSpPr bwMode="auto">
                          <a:xfrm>
                            <a:off x="3130" y="1549"/>
                            <a:ext cx="4336" cy="380"/>
                            <a:chOff x="3130" y="1549"/>
                            <a:chExt cx="4336" cy="380"/>
                          </a:xfrm>
                        </wpg:grpSpPr>
                        <wps:wsp>
                          <wps:cNvPr id="483" name="Freeform 116"/>
                          <wps:cNvSpPr>
                            <a:spLocks/>
                          </wps:cNvSpPr>
                          <wps:spPr bwMode="auto">
                            <a:xfrm>
                              <a:off x="3130" y="1549"/>
                              <a:ext cx="4336" cy="380"/>
                            </a:xfrm>
                            <a:custGeom>
                              <a:avLst/>
                              <a:gdLst>
                                <a:gd name="T0" fmla="+- 0 3130 3130"/>
                                <a:gd name="T1" fmla="*/ T0 w 4336"/>
                                <a:gd name="T2" fmla="+- 0 1549 1549"/>
                                <a:gd name="T3" fmla="*/ 1549 h 380"/>
                                <a:gd name="T4" fmla="+- 0 7466 3130"/>
                                <a:gd name="T5" fmla="*/ T4 w 4336"/>
                                <a:gd name="T6" fmla="+- 0 1549 1549"/>
                                <a:gd name="T7" fmla="*/ 1549 h 380"/>
                                <a:gd name="T8" fmla="+- 0 7466 3130"/>
                                <a:gd name="T9" fmla="*/ T8 w 4336"/>
                                <a:gd name="T10" fmla="+- 0 1929 1549"/>
                                <a:gd name="T11" fmla="*/ 1929 h 380"/>
                                <a:gd name="T12" fmla="+- 0 3130 3130"/>
                                <a:gd name="T13" fmla="*/ T12 w 4336"/>
                                <a:gd name="T14" fmla="+- 0 1929 1549"/>
                                <a:gd name="T15" fmla="*/ 1929 h 380"/>
                                <a:gd name="T16" fmla="+- 0 3130 3130"/>
                                <a:gd name="T17" fmla="*/ T16 w 4336"/>
                                <a:gd name="T18" fmla="+- 0 1549 1549"/>
                                <a:gd name="T19" fmla="*/ 1549 h 380"/>
                              </a:gdLst>
                              <a:ahLst/>
                              <a:cxnLst>
                                <a:cxn ang="0">
                                  <a:pos x="T1" y="T3"/>
                                </a:cxn>
                                <a:cxn ang="0">
                                  <a:pos x="T5" y="T7"/>
                                </a:cxn>
                                <a:cxn ang="0">
                                  <a:pos x="T9" y="T11"/>
                                </a:cxn>
                                <a:cxn ang="0">
                                  <a:pos x="T13" y="T15"/>
                                </a:cxn>
                                <a:cxn ang="0">
                                  <a:pos x="T17" y="T19"/>
                                </a:cxn>
                              </a:cxnLst>
                              <a:rect l="0" t="0" r="r" b="b"/>
                              <a:pathLst>
                                <a:path w="4336" h="380">
                                  <a:moveTo>
                                    <a:pt x="0" y="0"/>
                                  </a:moveTo>
                                  <a:lnTo>
                                    <a:pt x="4336" y="0"/>
                                  </a:lnTo>
                                  <a:lnTo>
                                    <a:pt x="4336" y="380"/>
                                  </a:lnTo>
                                  <a:lnTo>
                                    <a:pt x="0" y="38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113"/>
                        <wpg:cNvGrpSpPr>
                          <a:grpSpLocks/>
                        </wpg:cNvGrpSpPr>
                        <wpg:grpSpPr bwMode="auto">
                          <a:xfrm>
                            <a:off x="3120" y="1529"/>
                            <a:ext cx="4356" cy="414"/>
                            <a:chOff x="3120" y="1529"/>
                            <a:chExt cx="4356" cy="414"/>
                          </a:xfrm>
                        </wpg:grpSpPr>
                        <wps:wsp>
                          <wps:cNvPr id="485" name="Freeform 114"/>
                          <wps:cNvSpPr>
                            <a:spLocks/>
                          </wps:cNvSpPr>
                          <wps:spPr bwMode="auto">
                            <a:xfrm>
                              <a:off x="3120" y="1529"/>
                              <a:ext cx="4356" cy="414"/>
                            </a:xfrm>
                            <a:custGeom>
                              <a:avLst/>
                              <a:gdLst>
                                <a:gd name="T0" fmla="+- 0 7476 3120"/>
                                <a:gd name="T1" fmla="*/ T0 w 4356"/>
                                <a:gd name="T2" fmla="+- 0 1944 1529"/>
                                <a:gd name="T3" fmla="*/ 1944 h 414"/>
                                <a:gd name="T4" fmla="+- 0 3120 3120"/>
                                <a:gd name="T5" fmla="*/ T4 w 4356"/>
                                <a:gd name="T6" fmla="+- 0 1944 1529"/>
                                <a:gd name="T7" fmla="*/ 1944 h 414"/>
                                <a:gd name="T8" fmla="+- 0 3120 3120"/>
                                <a:gd name="T9" fmla="*/ T8 w 4356"/>
                                <a:gd name="T10" fmla="+- 0 1529 1529"/>
                                <a:gd name="T11" fmla="*/ 1529 h 414"/>
                                <a:gd name="T12" fmla="+- 0 7476 3120"/>
                                <a:gd name="T13" fmla="*/ T12 w 4356"/>
                                <a:gd name="T14" fmla="+- 0 1529 1529"/>
                                <a:gd name="T15" fmla="*/ 1529 h 414"/>
                                <a:gd name="T16" fmla="+- 0 7476 3120"/>
                                <a:gd name="T17" fmla="*/ T16 w 4356"/>
                                <a:gd name="T18" fmla="+- 0 1549 1529"/>
                                <a:gd name="T19" fmla="*/ 1549 h 414"/>
                                <a:gd name="T20" fmla="+- 0 3140 3120"/>
                                <a:gd name="T21" fmla="*/ T20 w 4356"/>
                                <a:gd name="T22" fmla="+- 0 1549 1529"/>
                                <a:gd name="T23" fmla="*/ 1549 h 414"/>
                                <a:gd name="T24" fmla="+- 0 3140 3120"/>
                                <a:gd name="T25" fmla="*/ T24 w 4356"/>
                                <a:gd name="T26" fmla="+- 0 1924 1529"/>
                                <a:gd name="T27" fmla="*/ 1924 h 414"/>
                                <a:gd name="T28" fmla="+- 0 7476 3120"/>
                                <a:gd name="T29" fmla="*/ T28 w 4356"/>
                                <a:gd name="T30" fmla="+- 0 1924 1529"/>
                                <a:gd name="T31" fmla="*/ 1924 h 414"/>
                                <a:gd name="T32" fmla="+- 0 7476 3120"/>
                                <a:gd name="T33" fmla="*/ T32 w 4356"/>
                                <a:gd name="T34" fmla="+- 0 1944 1529"/>
                                <a:gd name="T35" fmla="*/ 1944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56" h="414">
                                  <a:moveTo>
                                    <a:pt x="4356" y="415"/>
                                  </a:moveTo>
                                  <a:lnTo>
                                    <a:pt x="0" y="415"/>
                                  </a:lnTo>
                                  <a:lnTo>
                                    <a:pt x="0" y="0"/>
                                  </a:lnTo>
                                  <a:lnTo>
                                    <a:pt x="4356" y="0"/>
                                  </a:lnTo>
                                  <a:lnTo>
                                    <a:pt x="4356" y="20"/>
                                  </a:lnTo>
                                  <a:lnTo>
                                    <a:pt x="20" y="20"/>
                                  </a:lnTo>
                                  <a:lnTo>
                                    <a:pt x="20" y="395"/>
                                  </a:lnTo>
                                  <a:lnTo>
                                    <a:pt x="4356" y="395"/>
                                  </a:lnTo>
                                  <a:lnTo>
                                    <a:pt x="4356" y="41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111"/>
                        <wpg:cNvGrpSpPr>
                          <a:grpSpLocks/>
                        </wpg:cNvGrpSpPr>
                        <wpg:grpSpPr bwMode="auto">
                          <a:xfrm>
                            <a:off x="7466" y="1549"/>
                            <a:ext cx="2" cy="375"/>
                            <a:chOff x="7466" y="1549"/>
                            <a:chExt cx="2" cy="375"/>
                          </a:xfrm>
                        </wpg:grpSpPr>
                        <wps:wsp>
                          <wps:cNvPr id="487" name="Freeform 112"/>
                          <wps:cNvSpPr>
                            <a:spLocks/>
                          </wps:cNvSpPr>
                          <wps:spPr bwMode="auto">
                            <a:xfrm>
                              <a:off x="7466" y="1549"/>
                              <a:ext cx="2" cy="375"/>
                            </a:xfrm>
                            <a:custGeom>
                              <a:avLst/>
                              <a:gdLst>
                                <a:gd name="T0" fmla="+- 0 1924 1549"/>
                                <a:gd name="T1" fmla="*/ 1924 h 375"/>
                                <a:gd name="T2" fmla="+- 0 1549 1549"/>
                                <a:gd name="T3" fmla="*/ 1549 h 375"/>
                              </a:gdLst>
                              <a:ahLst/>
                              <a:cxnLst>
                                <a:cxn ang="0">
                                  <a:pos x="0" y="T1"/>
                                </a:cxn>
                                <a:cxn ang="0">
                                  <a:pos x="0" y="T3"/>
                                </a:cxn>
                              </a:cxnLst>
                              <a:rect l="0" t="0" r="r" b="b"/>
                              <a:pathLst>
                                <a:path h="375">
                                  <a:moveTo>
                                    <a:pt x="0" y="375"/>
                                  </a:moveTo>
                                  <a:lnTo>
                                    <a:pt x="0" y="0"/>
                                  </a:lnTo>
                                </a:path>
                              </a:pathLst>
                            </a:custGeom>
                            <a:noFill/>
                            <a:ln w="1395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109"/>
                        <wpg:cNvGrpSpPr>
                          <a:grpSpLocks/>
                        </wpg:cNvGrpSpPr>
                        <wpg:grpSpPr bwMode="auto">
                          <a:xfrm>
                            <a:off x="6200" y="3883"/>
                            <a:ext cx="2040" cy="335"/>
                            <a:chOff x="6200" y="3883"/>
                            <a:chExt cx="2040" cy="335"/>
                          </a:xfrm>
                        </wpg:grpSpPr>
                        <wps:wsp>
                          <wps:cNvPr id="489" name="Freeform 110"/>
                          <wps:cNvSpPr>
                            <a:spLocks/>
                          </wps:cNvSpPr>
                          <wps:spPr bwMode="auto">
                            <a:xfrm>
                              <a:off x="6200" y="3883"/>
                              <a:ext cx="2040" cy="335"/>
                            </a:xfrm>
                            <a:custGeom>
                              <a:avLst/>
                              <a:gdLst>
                                <a:gd name="T0" fmla="+- 0 6200 6200"/>
                                <a:gd name="T1" fmla="*/ T0 w 2040"/>
                                <a:gd name="T2" fmla="+- 0 3883 3883"/>
                                <a:gd name="T3" fmla="*/ 3883 h 335"/>
                                <a:gd name="T4" fmla="+- 0 8241 6200"/>
                                <a:gd name="T5" fmla="*/ T4 w 2040"/>
                                <a:gd name="T6" fmla="+- 0 3883 3883"/>
                                <a:gd name="T7" fmla="*/ 3883 h 335"/>
                                <a:gd name="T8" fmla="+- 0 8241 6200"/>
                                <a:gd name="T9" fmla="*/ T8 w 2040"/>
                                <a:gd name="T10" fmla="+- 0 4218 3883"/>
                                <a:gd name="T11" fmla="*/ 4218 h 335"/>
                                <a:gd name="T12" fmla="+- 0 6200 6200"/>
                                <a:gd name="T13" fmla="*/ T12 w 2040"/>
                                <a:gd name="T14" fmla="+- 0 4218 3883"/>
                                <a:gd name="T15" fmla="*/ 4218 h 335"/>
                                <a:gd name="T16" fmla="+- 0 6200 6200"/>
                                <a:gd name="T17" fmla="*/ T16 w 2040"/>
                                <a:gd name="T18" fmla="+- 0 3883 3883"/>
                                <a:gd name="T19" fmla="*/ 3883 h 335"/>
                              </a:gdLst>
                              <a:ahLst/>
                              <a:cxnLst>
                                <a:cxn ang="0">
                                  <a:pos x="T1" y="T3"/>
                                </a:cxn>
                                <a:cxn ang="0">
                                  <a:pos x="T5" y="T7"/>
                                </a:cxn>
                                <a:cxn ang="0">
                                  <a:pos x="T9" y="T11"/>
                                </a:cxn>
                                <a:cxn ang="0">
                                  <a:pos x="T13" y="T15"/>
                                </a:cxn>
                                <a:cxn ang="0">
                                  <a:pos x="T17" y="T19"/>
                                </a:cxn>
                              </a:cxnLst>
                              <a:rect l="0" t="0" r="r" b="b"/>
                              <a:pathLst>
                                <a:path w="2040" h="335">
                                  <a:moveTo>
                                    <a:pt x="0" y="0"/>
                                  </a:moveTo>
                                  <a:lnTo>
                                    <a:pt x="2041" y="0"/>
                                  </a:lnTo>
                                  <a:lnTo>
                                    <a:pt x="2041" y="335"/>
                                  </a:lnTo>
                                  <a:lnTo>
                                    <a:pt x="0" y="33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0" name="Group 107"/>
                        <wpg:cNvGrpSpPr>
                          <a:grpSpLocks/>
                        </wpg:cNvGrpSpPr>
                        <wpg:grpSpPr bwMode="auto">
                          <a:xfrm>
                            <a:off x="6190" y="3878"/>
                            <a:ext cx="2060" cy="355"/>
                            <a:chOff x="6190" y="3878"/>
                            <a:chExt cx="2060" cy="355"/>
                          </a:xfrm>
                        </wpg:grpSpPr>
                        <wps:wsp>
                          <wps:cNvPr id="491" name="Freeform 108"/>
                          <wps:cNvSpPr>
                            <a:spLocks/>
                          </wps:cNvSpPr>
                          <wps:spPr bwMode="auto">
                            <a:xfrm>
                              <a:off x="6190" y="3878"/>
                              <a:ext cx="2060" cy="355"/>
                            </a:xfrm>
                            <a:custGeom>
                              <a:avLst/>
                              <a:gdLst>
                                <a:gd name="T0" fmla="+- 0 8251 6190"/>
                                <a:gd name="T1" fmla="*/ T0 w 2060"/>
                                <a:gd name="T2" fmla="+- 0 4233 3878"/>
                                <a:gd name="T3" fmla="*/ 4233 h 355"/>
                                <a:gd name="T4" fmla="+- 0 6190 6190"/>
                                <a:gd name="T5" fmla="*/ T4 w 2060"/>
                                <a:gd name="T6" fmla="+- 0 4233 3878"/>
                                <a:gd name="T7" fmla="*/ 4233 h 355"/>
                                <a:gd name="T8" fmla="+- 0 6190 6190"/>
                                <a:gd name="T9" fmla="*/ T8 w 2060"/>
                                <a:gd name="T10" fmla="+- 0 3878 3878"/>
                                <a:gd name="T11" fmla="*/ 3878 h 355"/>
                                <a:gd name="T12" fmla="+- 0 8251 6190"/>
                                <a:gd name="T13" fmla="*/ T12 w 2060"/>
                                <a:gd name="T14" fmla="+- 0 3878 3878"/>
                                <a:gd name="T15" fmla="*/ 3878 h 355"/>
                                <a:gd name="T16" fmla="+- 0 8251 6190"/>
                                <a:gd name="T17" fmla="*/ T16 w 2060"/>
                                <a:gd name="T18" fmla="+- 0 3898 3878"/>
                                <a:gd name="T19" fmla="*/ 3898 h 355"/>
                                <a:gd name="T20" fmla="+- 0 6210 6190"/>
                                <a:gd name="T21" fmla="*/ T20 w 2060"/>
                                <a:gd name="T22" fmla="+- 0 3898 3878"/>
                                <a:gd name="T23" fmla="*/ 3898 h 355"/>
                                <a:gd name="T24" fmla="+- 0 6210 6190"/>
                                <a:gd name="T25" fmla="*/ T24 w 2060"/>
                                <a:gd name="T26" fmla="+- 0 4213 3878"/>
                                <a:gd name="T27" fmla="*/ 4213 h 355"/>
                                <a:gd name="T28" fmla="+- 0 8251 6190"/>
                                <a:gd name="T29" fmla="*/ T28 w 2060"/>
                                <a:gd name="T30" fmla="+- 0 4213 3878"/>
                                <a:gd name="T31" fmla="*/ 4213 h 355"/>
                                <a:gd name="T32" fmla="+- 0 8251 6190"/>
                                <a:gd name="T33" fmla="*/ T32 w 2060"/>
                                <a:gd name="T34" fmla="+- 0 4233 3878"/>
                                <a:gd name="T35" fmla="*/ 4233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60" h="355">
                                  <a:moveTo>
                                    <a:pt x="2061" y="355"/>
                                  </a:moveTo>
                                  <a:lnTo>
                                    <a:pt x="0" y="355"/>
                                  </a:lnTo>
                                  <a:lnTo>
                                    <a:pt x="0" y="0"/>
                                  </a:lnTo>
                                  <a:lnTo>
                                    <a:pt x="2061" y="0"/>
                                  </a:lnTo>
                                  <a:lnTo>
                                    <a:pt x="2061" y="20"/>
                                  </a:lnTo>
                                  <a:lnTo>
                                    <a:pt x="20" y="20"/>
                                  </a:lnTo>
                                  <a:lnTo>
                                    <a:pt x="20" y="335"/>
                                  </a:lnTo>
                                  <a:lnTo>
                                    <a:pt x="2061" y="335"/>
                                  </a:lnTo>
                                  <a:lnTo>
                                    <a:pt x="2061" y="35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105"/>
                        <wpg:cNvGrpSpPr>
                          <a:grpSpLocks/>
                        </wpg:cNvGrpSpPr>
                        <wpg:grpSpPr bwMode="auto">
                          <a:xfrm>
                            <a:off x="8241" y="3898"/>
                            <a:ext cx="2" cy="316"/>
                            <a:chOff x="8241" y="3898"/>
                            <a:chExt cx="2" cy="316"/>
                          </a:xfrm>
                        </wpg:grpSpPr>
                        <wps:wsp>
                          <wps:cNvPr id="493" name="Freeform 106"/>
                          <wps:cNvSpPr>
                            <a:spLocks/>
                          </wps:cNvSpPr>
                          <wps:spPr bwMode="auto">
                            <a:xfrm>
                              <a:off x="8241" y="3898"/>
                              <a:ext cx="2" cy="316"/>
                            </a:xfrm>
                            <a:custGeom>
                              <a:avLst/>
                              <a:gdLst>
                                <a:gd name="T0" fmla="+- 0 4213 3898"/>
                                <a:gd name="T1" fmla="*/ 4213 h 316"/>
                                <a:gd name="T2" fmla="+- 0 3898 3898"/>
                                <a:gd name="T3" fmla="*/ 3898 h 316"/>
                              </a:gdLst>
                              <a:ahLst/>
                              <a:cxnLst>
                                <a:cxn ang="0">
                                  <a:pos x="0" y="T1"/>
                                </a:cxn>
                                <a:cxn ang="0">
                                  <a:pos x="0" y="T3"/>
                                </a:cxn>
                              </a:cxnLst>
                              <a:rect l="0" t="0" r="r" b="b"/>
                              <a:pathLst>
                                <a:path h="316">
                                  <a:moveTo>
                                    <a:pt x="0" y="315"/>
                                  </a:moveTo>
                                  <a:lnTo>
                                    <a:pt x="0" y="0"/>
                                  </a:lnTo>
                                </a:path>
                              </a:pathLst>
                            </a:custGeom>
                            <a:noFill/>
                            <a:ln w="1394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103"/>
                        <wpg:cNvGrpSpPr>
                          <a:grpSpLocks/>
                        </wpg:cNvGrpSpPr>
                        <wpg:grpSpPr bwMode="auto">
                          <a:xfrm>
                            <a:off x="6150" y="4475"/>
                            <a:ext cx="1045" cy="713"/>
                            <a:chOff x="6150" y="4475"/>
                            <a:chExt cx="1045" cy="713"/>
                          </a:xfrm>
                        </wpg:grpSpPr>
                        <wps:wsp>
                          <wps:cNvPr id="495" name="Freeform 104"/>
                          <wps:cNvSpPr>
                            <a:spLocks/>
                          </wps:cNvSpPr>
                          <wps:spPr bwMode="auto">
                            <a:xfrm>
                              <a:off x="6150" y="4475"/>
                              <a:ext cx="1045" cy="713"/>
                            </a:xfrm>
                            <a:custGeom>
                              <a:avLst/>
                              <a:gdLst>
                                <a:gd name="T0" fmla="+- 0 6150 6150"/>
                                <a:gd name="T1" fmla="*/ T0 w 1045"/>
                                <a:gd name="T2" fmla="+- 0 4475 4475"/>
                                <a:gd name="T3" fmla="*/ 4475 h 713"/>
                                <a:gd name="T4" fmla="+- 0 7195 6150"/>
                                <a:gd name="T5" fmla="*/ T4 w 1045"/>
                                <a:gd name="T6" fmla="+- 0 4475 4475"/>
                                <a:gd name="T7" fmla="*/ 4475 h 713"/>
                                <a:gd name="T8" fmla="+- 0 7195 6150"/>
                                <a:gd name="T9" fmla="*/ T8 w 1045"/>
                                <a:gd name="T10" fmla="+- 0 5189 4475"/>
                                <a:gd name="T11" fmla="*/ 5189 h 713"/>
                                <a:gd name="T12" fmla="+- 0 6150 6150"/>
                                <a:gd name="T13" fmla="*/ T12 w 1045"/>
                                <a:gd name="T14" fmla="+- 0 5189 4475"/>
                                <a:gd name="T15" fmla="*/ 5189 h 713"/>
                                <a:gd name="T16" fmla="+- 0 6150 6150"/>
                                <a:gd name="T17" fmla="*/ T16 w 1045"/>
                                <a:gd name="T18" fmla="+- 0 4475 4475"/>
                                <a:gd name="T19" fmla="*/ 4475 h 713"/>
                              </a:gdLst>
                              <a:ahLst/>
                              <a:cxnLst>
                                <a:cxn ang="0">
                                  <a:pos x="T1" y="T3"/>
                                </a:cxn>
                                <a:cxn ang="0">
                                  <a:pos x="T5" y="T7"/>
                                </a:cxn>
                                <a:cxn ang="0">
                                  <a:pos x="T9" y="T11"/>
                                </a:cxn>
                                <a:cxn ang="0">
                                  <a:pos x="T13" y="T15"/>
                                </a:cxn>
                                <a:cxn ang="0">
                                  <a:pos x="T17" y="T19"/>
                                </a:cxn>
                              </a:cxnLst>
                              <a:rect l="0" t="0" r="r" b="b"/>
                              <a:pathLst>
                                <a:path w="1045" h="713">
                                  <a:moveTo>
                                    <a:pt x="0" y="0"/>
                                  </a:moveTo>
                                  <a:lnTo>
                                    <a:pt x="1045" y="0"/>
                                  </a:lnTo>
                                  <a:lnTo>
                                    <a:pt x="1045" y="714"/>
                                  </a:lnTo>
                                  <a:lnTo>
                                    <a:pt x="0" y="71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101"/>
                        <wpg:cNvGrpSpPr>
                          <a:grpSpLocks/>
                        </wpg:cNvGrpSpPr>
                        <wpg:grpSpPr bwMode="auto">
                          <a:xfrm>
                            <a:off x="6140" y="4470"/>
                            <a:ext cx="1065" cy="733"/>
                            <a:chOff x="6140" y="4470"/>
                            <a:chExt cx="1065" cy="733"/>
                          </a:xfrm>
                        </wpg:grpSpPr>
                        <wps:wsp>
                          <wps:cNvPr id="497" name="Freeform 102"/>
                          <wps:cNvSpPr>
                            <a:spLocks/>
                          </wps:cNvSpPr>
                          <wps:spPr bwMode="auto">
                            <a:xfrm>
                              <a:off x="6140" y="4470"/>
                              <a:ext cx="1065" cy="733"/>
                            </a:xfrm>
                            <a:custGeom>
                              <a:avLst/>
                              <a:gdLst>
                                <a:gd name="T0" fmla="+- 0 7205 6140"/>
                                <a:gd name="T1" fmla="*/ T0 w 1065"/>
                                <a:gd name="T2" fmla="+- 0 5203 4470"/>
                                <a:gd name="T3" fmla="*/ 5203 h 733"/>
                                <a:gd name="T4" fmla="+- 0 6140 6140"/>
                                <a:gd name="T5" fmla="*/ T4 w 1065"/>
                                <a:gd name="T6" fmla="+- 0 5203 4470"/>
                                <a:gd name="T7" fmla="*/ 5203 h 733"/>
                                <a:gd name="T8" fmla="+- 0 6140 6140"/>
                                <a:gd name="T9" fmla="*/ T8 w 1065"/>
                                <a:gd name="T10" fmla="+- 0 4470 4470"/>
                                <a:gd name="T11" fmla="*/ 4470 h 733"/>
                                <a:gd name="T12" fmla="+- 0 7205 6140"/>
                                <a:gd name="T13" fmla="*/ T12 w 1065"/>
                                <a:gd name="T14" fmla="+- 0 4470 4470"/>
                                <a:gd name="T15" fmla="*/ 4470 h 733"/>
                                <a:gd name="T16" fmla="+- 0 7205 6140"/>
                                <a:gd name="T17" fmla="*/ T16 w 1065"/>
                                <a:gd name="T18" fmla="+- 0 4490 4470"/>
                                <a:gd name="T19" fmla="*/ 4490 h 733"/>
                                <a:gd name="T20" fmla="+- 0 6160 6140"/>
                                <a:gd name="T21" fmla="*/ T20 w 1065"/>
                                <a:gd name="T22" fmla="+- 0 4490 4470"/>
                                <a:gd name="T23" fmla="*/ 4490 h 733"/>
                                <a:gd name="T24" fmla="+- 0 6160 6140"/>
                                <a:gd name="T25" fmla="*/ T24 w 1065"/>
                                <a:gd name="T26" fmla="+- 0 5184 4470"/>
                                <a:gd name="T27" fmla="*/ 5184 h 733"/>
                                <a:gd name="T28" fmla="+- 0 7205 6140"/>
                                <a:gd name="T29" fmla="*/ T28 w 1065"/>
                                <a:gd name="T30" fmla="+- 0 5184 4470"/>
                                <a:gd name="T31" fmla="*/ 5184 h 733"/>
                                <a:gd name="T32" fmla="+- 0 7205 6140"/>
                                <a:gd name="T33" fmla="*/ T32 w 1065"/>
                                <a:gd name="T34" fmla="+- 0 5203 4470"/>
                                <a:gd name="T35" fmla="*/ 5203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5" h="733">
                                  <a:moveTo>
                                    <a:pt x="1065" y="733"/>
                                  </a:moveTo>
                                  <a:lnTo>
                                    <a:pt x="0" y="733"/>
                                  </a:lnTo>
                                  <a:lnTo>
                                    <a:pt x="0" y="0"/>
                                  </a:lnTo>
                                  <a:lnTo>
                                    <a:pt x="1065" y="0"/>
                                  </a:lnTo>
                                  <a:lnTo>
                                    <a:pt x="1065" y="20"/>
                                  </a:lnTo>
                                  <a:lnTo>
                                    <a:pt x="20" y="20"/>
                                  </a:lnTo>
                                  <a:lnTo>
                                    <a:pt x="20" y="714"/>
                                  </a:lnTo>
                                  <a:lnTo>
                                    <a:pt x="1065" y="714"/>
                                  </a:lnTo>
                                  <a:lnTo>
                                    <a:pt x="1065" y="73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99"/>
                        <wpg:cNvGrpSpPr>
                          <a:grpSpLocks/>
                        </wpg:cNvGrpSpPr>
                        <wpg:grpSpPr bwMode="auto">
                          <a:xfrm>
                            <a:off x="7195" y="4490"/>
                            <a:ext cx="2" cy="694"/>
                            <a:chOff x="7195" y="4490"/>
                            <a:chExt cx="2" cy="694"/>
                          </a:xfrm>
                        </wpg:grpSpPr>
                        <wps:wsp>
                          <wps:cNvPr id="499" name="Freeform 100"/>
                          <wps:cNvSpPr>
                            <a:spLocks/>
                          </wps:cNvSpPr>
                          <wps:spPr bwMode="auto">
                            <a:xfrm>
                              <a:off x="7195" y="4490"/>
                              <a:ext cx="2" cy="694"/>
                            </a:xfrm>
                            <a:custGeom>
                              <a:avLst/>
                              <a:gdLst>
                                <a:gd name="T0" fmla="+- 0 5184 4490"/>
                                <a:gd name="T1" fmla="*/ 5184 h 694"/>
                                <a:gd name="T2" fmla="+- 0 4490 4490"/>
                                <a:gd name="T3" fmla="*/ 4490 h 694"/>
                              </a:gdLst>
                              <a:ahLst/>
                              <a:cxnLst>
                                <a:cxn ang="0">
                                  <a:pos x="0" y="T1"/>
                                </a:cxn>
                                <a:cxn ang="0">
                                  <a:pos x="0" y="T3"/>
                                </a:cxn>
                              </a:cxnLst>
                              <a:rect l="0" t="0" r="r" b="b"/>
                              <a:pathLst>
                                <a:path h="694">
                                  <a:moveTo>
                                    <a:pt x="0" y="694"/>
                                  </a:moveTo>
                                  <a:lnTo>
                                    <a:pt x="0" y="0"/>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97"/>
                        <wpg:cNvGrpSpPr>
                          <a:grpSpLocks/>
                        </wpg:cNvGrpSpPr>
                        <wpg:grpSpPr bwMode="auto">
                          <a:xfrm>
                            <a:off x="7311" y="4490"/>
                            <a:ext cx="922" cy="395"/>
                            <a:chOff x="7311" y="4490"/>
                            <a:chExt cx="922" cy="395"/>
                          </a:xfrm>
                        </wpg:grpSpPr>
                        <wps:wsp>
                          <wps:cNvPr id="501" name="Freeform 98"/>
                          <wps:cNvSpPr>
                            <a:spLocks/>
                          </wps:cNvSpPr>
                          <wps:spPr bwMode="auto">
                            <a:xfrm>
                              <a:off x="7311" y="4490"/>
                              <a:ext cx="922" cy="395"/>
                            </a:xfrm>
                            <a:custGeom>
                              <a:avLst/>
                              <a:gdLst>
                                <a:gd name="T0" fmla="+- 0 7311 7311"/>
                                <a:gd name="T1" fmla="*/ T0 w 922"/>
                                <a:gd name="T2" fmla="+- 0 4490 4490"/>
                                <a:gd name="T3" fmla="*/ 4490 h 395"/>
                                <a:gd name="T4" fmla="+- 0 8233 7311"/>
                                <a:gd name="T5" fmla="*/ T4 w 922"/>
                                <a:gd name="T6" fmla="+- 0 4490 4490"/>
                                <a:gd name="T7" fmla="*/ 4490 h 395"/>
                                <a:gd name="T8" fmla="+- 0 8233 7311"/>
                                <a:gd name="T9" fmla="*/ T8 w 922"/>
                                <a:gd name="T10" fmla="+- 0 4885 4490"/>
                                <a:gd name="T11" fmla="*/ 4885 h 395"/>
                                <a:gd name="T12" fmla="+- 0 7311 7311"/>
                                <a:gd name="T13" fmla="*/ T12 w 922"/>
                                <a:gd name="T14" fmla="+- 0 4885 4490"/>
                                <a:gd name="T15" fmla="*/ 4885 h 395"/>
                                <a:gd name="T16" fmla="+- 0 7311 7311"/>
                                <a:gd name="T17" fmla="*/ T16 w 922"/>
                                <a:gd name="T18" fmla="+- 0 4490 4490"/>
                                <a:gd name="T19" fmla="*/ 4490 h 395"/>
                              </a:gdLst>
                              <a:ahLst/>
                              <a:cxnLst>
                                <a:cxn ang="0">
                                  <a:pos x="T1" y="T3"/>
                                </a:cxn>
                                <a:cxn ang="0">
                                  <a:pos x="T5" y="T7"/>
                                </a:cxn>
                                <a:cxn ang="0">
                                  <a:pos x="T9" y="T11"/>
                                </a:cxn>
                                <a:cxn ang="0">
                                  <a:pos x="T13" y="T15"/>
                                </a:cxn>
                                <a:cxn ang="0">
                                  <a:pos x="T17" y="T19"/>
                                </a:cxn>
                              </a:cxnLst>
                              <a:rect l="0" t="0" r="r" b="b"/>
                              <a:pathLst>
                                <a:path w="922" h="395">
                                  <a:moveTo>
                                    <a:pt x="0" y="0"/>
                                  </a:moveTo>
                                  <a:lnTo>
                                    <a:pt x="922" y="0"/>
                                  </a:lnTo>
                                  <a:lnTo>
                                    <a:pt x="922" y="395"/>
                                  </a:lnTo>
                                  <a:lnTo>
                                    <a:pt x="0" y="39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95"/>
                        <wpg:cNvGrpSpPr>
                          <a:grpSpLocks/>
                        </wpg:cNvGrpSpPr>
                        <wpg:grpSpPr bwMode="auto">
                          <a:xfrm>
                            <a:off x="7301" y="4470"/>
                            <a:ext cx="942" cy="414"/>
                            <a:chOff x="7301" y="4470"/>
                            <a:chExt cx="942" cy="414"/>
                          </a:xfrm>
                        </wpg:grpSpPr>
                        <wps:wsp>
                          <wps:cNvPr id="503" name="Freeform 96"/>
                          <wps:cNvSpPr>
                            <a:spLocks/>
                          </wps:cNvSpPr>
                          <wps:spPr bwMode="auto">
                            <a:xfrm>
                              <a:off x="7301" y="4470"/>
                              <a:ext cx="942" cy="414"/>
                            </a:xfrm>
                            <a:custGeom>
                              <a:avLst/>
                              <a:gdLst>
                                <a:gd name="T0" fmla="+- 0 8243 7301"/>
                                <a:gd name="T1" fmla="*/ T0 w 942"/>
                                <a:gd name="T2" fmla="+- 0 4885 4470"/>
                                <a:gd name="T3" fmla="*/ 4885 h 414"/>
                                <a:gd name="T4" fmla="+- 0 7301 7301"/>
                                <a:gd name="T5" fmla="*/ T4 w 942"/>
                                <a:gd name="T6" fmla="+- 0 4885 4470"/>
                                <a:gd name="T7" fmla="*/ 4885 h 414"/>
                                <a:gd name="T8" fmla="+- 0 7301 7301"/>
                                <a:gd name="T9" fmla="*/ T8 w 942"/>
                                <a:gd name="T10" fmla="+- 0 4470 4470"/>
                                <a:gd name="T11" fmla="*/ 4470 h 414"/>
                                <a:gd name="T12" fmla="+- 0 8243 7301"/>
                                <a:gd name="T13" fmla="*/ T12 w 942"/>
                                <a:gd name="T14" fmla="+- 0 4470 4470"/>
                                <a:gd name="T15" fmla="*/ 4470 h 414"/>
                                <a:gd name="T16" fmla="+- 0 8243 7301"/>
                                <a:gd name="T17" fmla="*/ T16 w 942"/>
                                <a:gd name="T18" fmla="+- 0 4490 4470"/>
                                <a:gd name="T19" fmla="*/ 4490 h 414"/>
                                <a:gd name="T20" fmla="+- 0 7321 7301"/>
                                <a:gd name="T21" fmla="*/ T20 w 942"/>
                                <a:gd name="T22" fmla="+- 0 4490 4470"/>
                                <a:gd name="T23" fmla="*/ 4490 h 414"/>
                                <a:gd name="T24" fmla="+- 0 7321 7301"/>
                                <a:gd name="T25" fmla="*/ T24 w 942"/>
                                <a:gd name="T26" fmla="+- 0 4865 4470"/>
                                <a:gd name="T27" fmla="*/ 4865 h 414"/>
                                <a:gd name="T28" fmla="+- 0 8243 7301"/>
                                <a:gd name="T29" fmla="*/ T28 w 942"/>
                                <a:gd name="T30" fmla="+- 0 4865 4470"/>
                                <a:gd name="T31" fmla="*/ 4865 h 414"/>
                                <a:gd name="T32" fmla="+- 0 8243 7301"/>
                                <a:gd name="T33" fmla="*/ T32 w 942"/>
                                <a:gd name="T34" fmla="+- 0 4885 4470"/>
                                <a:gd name="T35" fmla="*/ 4885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2" h="414">
                                  <a:moveTo>
                                    <a:pt x="942" y="415"/>
                                  </a:moveTo>
                                  <a:lnTo>
                                    <a:pt x="0" y="415"/>
                                  </a:lnTo>
                                  <a:lnTo>
                                    <a:pt x="0" y="0"/>
                                  </a:lnTo>
                                  <a:lnTo>
                                    <a:pt x="942" y="0"/>
                                  </a:lnTo>
                                  <a:lnTo>
                                    <a:pt x="942" y="20"/>
                                  </a:lnTo>
                                  <a:lnTo>
                                    <a:pt x="20" y="20"/>
                                  </a:lnTo>
                                  <a:lnTo>
                                    <a:pt x="20" y="395"/>
                                  </a:lnTo>
                                  <a:lnTo>
                                    <a:pt x="942" y="395"/>
                                  </a:lnTo>
                                  <a:lnTo>
                                    <a:pt x="942" y="41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93"/>
                        <wpg:cNvGrpSpPr>
                          <a:grpSpLocks/>
                        </wpg:cNvGrpSpPr>
                        <wpg:grpSpPr bwMode="auto">
                          <a:xfrm>
                            <a:off x="8233" y="4490"/>
                            <a:ext cx="2" cy="375"/>
                            <a:chOff x="8233" y="4490"/>
                            <a:chExt cx="2" cy="375"/>
                          </a:xfrm>
                        </wpg:grpSpPr>
                        <wps:wsp>
                          <wps:cNvPr id="505" name="Freeform 94"/>
                          <wps:cNvSpPr>
                            <a:spLocks/>
                          </wps:cNvSpPr>
                          <wps:spPr bwMode="auto">
                            <a:xfrm>
                              <a:off x="8233" y="4490"/>
                              <a:ext cx="2" cy="375"/>
                            </a:xfrm>
                            <a:custGeom>
                              <a:avLst/>
                              <a:gdLst>
                                <a:gd name="T0" fmla="+- 0 4865 4490"/>
                                <a:gd name="T1" fmla="*/ 4865 h 375"/>
                                <a:gd name="T2" fmla="+- 0 4490 4490"/>
                                <a:gd name="T3" fmla="*/ 4490 h 375"/>
                              </a:gdLst>
                              <a:ahLst/>
                              <a:cxnLst>
                                <a:cxn ang="0">
                                  <a:pos x="0" y="T1"/>
                                </a:cxn>
                                <a:cxn ang="0">
                                  <a:pos x="0" y="T3"/>
                                </a:cxn>
                              </a:cxnLst>
                              <a:rect l="0" t="0" r="r" b="b"/>
                              <a:pathLst>
                                <a:path h="375">
                                  <a:moveTo>
                                    <a:pt x="0" y="375"/>
                                  </a:moveTo>
                                  <a:lnTo>
                                    <a:pt x="0" y="0"/>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91"/>
                        <wpg:cNvGrpSpPr>
                          <a:grpSpLocks/>
                        </wpg:cNvGrpSpPr>
                        <wpg:grpSpPr bwMode="auto">
                          <a:xfrm>
                            <a:off x="6614" y="4230"/>
                            <a:ext cx="2" cy="192"/>
                            <a:chOff x="6614" y="4230"/>
                            <a:chExt cx="2" cy="192"/>
                          </a:xfrm>
                        </wpg:grpSpPr>
                        <wps:wsp>
                          <wps:cNvPr id="507" name="Freeform 92"/>
                          <wps:cNvSpPr>
                            <a:spLocks/>
                          </wps:cNvSpPr>
                          <wps:spPr bwMode="auto">
                            <a:xfrm>
                              <a:off x="6614" y="4230"/>
                              <a:ext cx="2" cy="192"/>
                            </a:xfrm>
                            <a:custGeom>
                              <a:avLst/>
                              <a:gdLst>
                                <a:gd name="T0" fmla="+- 0 4423 4230"/>
                                <a:gd name="T1" fmla="*/ 4423 h 192"/>
                                <a:gd name="T2" fmla="+- 0 4230 4230"/>
                                <a:gd name="T3" fmla="*/ 4230 h 192"/>
                              </a:gdLst>
                              <a:ahLst/>
                              <a:cxnLst>
                                <a:cxn ang="0">
                                  <a:pos x="0" y="T1"/>
                                </a:cxn>
                                <a:cxn ang="0">
                                  <a:pos x="0" y="T3"/>
                                </a:cxn>
                              </a:cxnLst>
                              <a:rect l="0" t="0" r="r" b="b"/>
                              <a:pathLst>
                                <a:path h="192">
                                  <a:moveTo>
                                    <a:pt x="0" y="193"/>
                                  </a:moveTo>
                                  <a:lnTo>
                                    <a:pt x="0" y="0"/>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89"/>
                        <wpg:cNvGrpSpPr>
                          <a:grpSpLocks/>
                        </wpg:cNvGrpSpPr>
                        <wpg:grpSpPr bwMode="auto">
                          <a:xfrm>
                            <a:off x="6585" y="4380"/>
                            <a:ext cx="58" cy="64"/>
                            <a:chOff x="6585" y="4380"/>
                            <a:chExt cx="58" cy="64"/>
                          </a:xfrm>
                        </wpg:grpSpPr>
                        <wps:wsp>
                          <wps:cNvPr id="509" name="Freeform 90"/>
                          <wps:cNvSpPr>
                            <a:spLocks/>
                          </wps:cNvSpPr>
                          <wps:spPr bwMode="auto">
                            <a:xfrm>
                              <a:off x="6585" y="4380"/>
                              <a:ext cx="58" cy="64"/>
                            </a:xfrm>
                            <a:custGeom>
                              <a:avLst/>
                              <a:gdLst>
                                <a:gd name="T0" fmla="+- 0 6614 6585"/>
                                <a:gd name="T1" fmla="*/ T0 w 58"/>
                                <a:gd name="T2" fmla="+- 0 4444 4380"/>
                                <a:gd name="T3" fmla="*/ 4444 h 64"/>
                                <a:gd name="T4" fmla="+- 0 6585 6585"/>
                                <a:gd name="T5" fmla="*/ T4 w 58"/>
                                <a:gd name="T6" fmla="+- 0 4380 4380"/>
                                <a:gd name="T7" fmla="*/ 4380 h 64"/>
                                <a:gd name="T8" fmla="+- 0 6643 6585"/>
                                <a:gd name="T9" fmla="*/ T8 w 58"/>
                                <a:gd name="T10" fmla="+- 0 4380 4380"/>
                                <a:gd name="T11" fmla="*/ 4380 h 64"/>
                                <a:gd name="T12" fmla="+- 0 6614 6585"/>
                                <a:gd name="T13" fmla="*/ T12 w 58"/>
                                <a:gd name="T14" fmla="+- 0 4444 4380"/>
                                <a:gd name="T15" fmla="*/ 4444 h 64"/>
                              </a:gdLst>
                              <a:ahLst/>
                              <a:cxnLst>
                                <a:cxn ang="0">
                                  <a:pos x="T1" y="T3"/>
                                </a:cxn>
                                <a:cxn ang="0">
                                  <a:pos x="T5" y="T7"/>
                                </a:cxn>
                                <a:cxn ang="0">
                                  <a:pos x="T9" y="T11"/>
                                </a:cxn>
                                <a:cxn ang="0">
                                  <a:pos x="T13" y="T15"/>
                                </a:cxn>
                              </a:cxnLst>
                              <a:rect l="0" t="0" r="r" b="b"/>
                              <a:pathLst>
                                <a:path w="58" h="64">
                                  <a:moveTo>
                                    <a:pt x="29" y="64"/>
                                  </a:moveTo>
                                  <a:lnTo>
                                    <a:pt x="0" y="0"/>
                                  </a:lnTo>
                                  <a:lnTo>
                                    <a:pt x="58" y="0"/>
                                  </a:lnTo>
                                  <a:lnTo>
                                    <a:pt x="29" y="6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87"/>
                        <wpg:cNvGrpSpPr>
                          <a:grpSpLocks/>
                        </wpg:cNvGrpSpPr>
                        <wpg:grpSpPr bwMode="auto">
                          <a:xfrm>
                            <a:off x="7718" y="4230"/>
                            <a:ext cx="2" cy="192"/>
                            <a:chOff x="7718" y="4230"/>
                            <a:chExt cx="2" cy="192"/>
                          </a:xfrm>
                        </wpg:grpSpPr>
                        <wps:wsp>
                          <wps:cNvPr id="511" name="Freeform 88"/>
                          <wps:cNvSpPr>
                            <a:spLocks/>
                          </wps:cNvSpPr>
                          <wps:spPr bwMode="auto">
                            <a:xfrm>
                              <a:off x="7718" y="4230"/>
                              <a:ext cx="2" cy="192"/>
                            </a:xfrm>
                            <a:custGeom>
                              <a:avLst/>
                              <a:gdLst>
                                <a:gd name="T0" fmla="+- 0 4423 4230"/>
                                <a:gd name="T1" fmla="*/ 4423 h 192"/>
                                <a:gd name="T2" fmla="+- 0 4230 4230"/>
                                <a:gd name="T3" fmla="*/ 4230 h 192"/>
                              </a:gdLst>
                              <a:ahLst/>
                              <a:cxnLst>
                                <a:cxn ang="0">
                                  <a:pos x="0" y="T1"/>
                                </a:cxn>
                                <a:cxn ang="0">
                                  <a:pos x="0" y="T3"/>
                                </a:cxn>
                              </a:cxnLst>
                              <a:rect l="0" t="0" r="r" b="b"/>
                              <a:pathLst>
                                <a:path h="192">
                                  <a:moveTo>
                                    <a:pt x="0" y="193"/>
                                  </a:moveTo>
                                  <a:lnTo>
                                    <a:pt x="0" y="0"/>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85"/>
                        <wpg:cNvGrpSpPr>
                          <a:grpSpLocks/>
                        </wpg:cNvGrpSpPr>
                        <wpg:grpSpPr bwMode="auto">
                          <a:xfrm>
                            <a:off x="7689" y="4380"/>
                            <a:ext cx="58" cy="64"/>
                            <a:chOff x="7689" y="4380"/>
                            <a:chExt cx="58" cy="64"/>
                          </a:xfrm>
                        </wpg:grpSpPr>
                        <wps:wsp>
                          <wps:cNvPr id="513" name="Freeform 86"/>
                          <wps:cNvSpPr>
                            <a:spLocks/>
                          </wps:cNvSpPr>
                          <wps:spPr bwMode="auto">
                            <a:xfrm>
                              <a:off x="7689" y="4380"/>
                              <a:ext cx="58" cy="64"/>
                            </a:xfrm>
                            <a:custGeom>
                              <a:avLst/>
                              <a:gdLst>
                                <a:gd name="T0" fmla="+- 0 7718 7689"/>
                                <a:gd name="T1" fmla="*/ T0 w 58"/>
                                <a:gd name="T2" fmla="+- 0 4444 4380"/>
                                <a:gd name="T3" fmla="*/ 4444 h 64"/>
                                <a:gd name="T4" fmla="+- 0 7689 7689"/>
                                <a:gd name="T5" fmla="*/ T4 w 58"/>
                                <a:gd name="T6" fmla="+- 0 4380 4380"/>
                                <a:gd name="T7" fmla="*/ 4380 h 64"/>
                                <a:gd name="T8" fmla="+- 0 7747 7689"/>
                                <a:gd name="T9" fmla="*/ T8 w 58"/>
                                <a:gd name="T10" fmla="+- 0 4380 4380"/>
                                <a:gd name="T11" fmla="*/ 4380 h 64"/>
                                <a:gd name="T12" fmla="+- 0 7718 7689"/>
                                <a:gd name="T13" fmla="*/ T12 w 58"/>
                                <a:gd name="T14" fmla="+- 0 4444 4380"/>
                                <a:gd name="T15" fmla="*/ 4444 h 64"/>
                              </a:gdLst>
                              <a:ahLst/>
                              <a:cxnLst>
                                <a:cxn ang="0">
                                  <a:pos x="T1" y="T3"/>
                                </a:cxn>
                                <a:cxn ang="0">
                                  <a:pos x="T5" y="T7"/>
                                </a:cxn>
                                <a:cxn ang="0">
                                  <a:pos x="T9" y="T11"/>
                                </a:cxn>
                                <a:cxn ang="0">
                                  <a:pos x="T13" y="T15"/>
                                </a:cxn>
                              </a:cxnLst>
                              <a:rect l="0" t="0" r="r" b="b"/>
                              <a:pathLst>
                                <a:path w="58" h="64">
                                  <a:moveTo>
                                    <a:pt x="29" y="64"/>
                                  </a:moveTo>
                                  <a:lnTo>
                                    <a:pt x="0" y="0"/>
                                  </a:lnTo>
                                  <a:lnTo>
                                    <a:pt x="58" y="0"/>
                                  </a:lnTo>
                                  <a:lnTo>
                                    <a:pt x="29" y="6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83"/>
                        <wpg:cNvGrpSpPr>
                          <a:grpSpLocks/>
                        </wpg:cNvGrpSpPr>
                        <wpg:grpSpPr bwMode="auto">
                          <a:xfrm>
                            <a:off x="4872" y="3451"/>
                            <a:ext cx="1275" cy="773"/>
                            <a:chOff x="4872" y="3451"/>
                            <a:chExt cx="1275" cy="773"/>
                          </a:xfrm>
                        </wpg:grpSpPr>
                        <wps:wsp>
                          <wps:cNvPr id="515" name="Freeform 84"/>
                          <wps:cNvSpPr>
                            <a:spLocks/>
                          </wps:cNvSpPr>
                          <wps:spPr bwMode="auto">
                            <a:xfrm>
                              <a:off x="4872" y="3451"/>
                              <a:ext cx="1275" cy="773"/>
                            </a:xfrm>
                            <a:custGeom>
                              <a:avLst/>
                              <a:gdLst>
                                <a:gd name="T0" fmla="+- 0 4872 4872"/>
                                <a:gd name="T1" fmla="*/ T0 w 1275"/>
                                <a:gd name="T2" fmla="+- 0 3451 3451"/>
                                <a:gd name="T3" fmla="*/ 3451 h 773"/>
                                <a:gd name="T4" fmla="+- 0 6148 4872"/>
                                <a:gd name="T5" fmla="*/ T4 w 1275"/>
                                <a:gd name="T6" fmla="+- 0 3451 3451"/>
                                <a:gd name="T7" fmla="*/ 3451 h 773"/>
                                <a:gd name="T8" fmla="+- 0 6148 4872"/>
                                <a:gd name="T9" fmla="*/ T8 w 1275"/>
                                <a:gd name="T10" fmla="+- 0 4224 3451"/>
                                <a:gd name="T11" fmla="*/ 4224 h 773"/>
                                <a:gd name="T12" fmla="+- 0 4872 4872"/>
                                <a:gd name="T13" fmla="*/ T12 w 1275"/>
                                <a:gd name="T14" fmla="+- 0 4224 3451"/>
                                <a:gd name="T15" fmla="*/ 4224 h 773"/>
                                <a:gd name="T16" fmla="+- 0 4872 4872"/>
                                <a:gd name="T17" fmla="*/ T16 w 1275"/>
                                <a:gd name="T18" fmla="+- 0 3451 3451"/>
                                <a:gd name="T19" fmla="*/ 3451 h 773"/>
                              </a:gdLst>
                              <a:ahLst/>
                              <a:cxnLst>
                                <a:cxn ang="0">
                                  <a:pos x="T1" y="T3"/>
                                </a:cxn>
                                <a:cxn ang="0">
                                  <a:pos x="T5" y="T7"/>
                                </a:cxn>
                                <a:cxn ang="0">
                                  <a:pos x="T9" y="T11"/>
                                </a:cxn>
                                <a:cxn ang="0">
                                  <a:pos x="T13" y="T15"/>
                                </a:cxn>
                                <a:cxn ang="0">
                                  <a:pos x="T17" y="T19"/>
                                </a:cxn>
                              </a:cxnLst>
                              <a:rect l="0" t="0" r="r" b="b"/>
                              <a:pathLst>
                                <a:path w="1275" h="773">
                                  <a:moveTo>
                                    <a:pt x="0" y="0"/>
                                  </a:moveTo>
                                  <a:lnTo>
                                    <a:pt x="1276" y="0"/>
                                  </a:lnTo>
                                  <a:lnTo>
                                    <a:pt x="1276" y="773"/>
                                  </a:lnTo>
                                  <a:lnTo>
                                    <a:pt x="0" y="77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81"/>
                        <wpg:cNvGrpSpPr>
                          <a:grpSpLocks/>
                        </wpg:cNvGrpSpPr>
                        <wpg:grpSpPr bwMode="auto">
                          <a:xfrm>
                            <a:off x="5578" y="2573"/>
                            <a:ext cx="2663" cy="713"/>
                            <a:chOff x="5578" y="2573"/>
                            <a:chExt cx="2663" cy="713"/>
                          </a:xfrm>
                        </wpg:grpSpPr>
                        <wps:wsp>
                          <wps:cNvPr id="517" name="Freeform 82"/>
                          <wps:cNvSpPr>
                            <a:spLocks/>
                          </wps:cNvSpPr>
                          <wps:spPr bwMode="auto">
                            <a:xfrm>
                              <a:off x="5578" y="2573"/>
                              <a:ext cx="2663" cy="713"/>
                            </a:xfrm>
                            <a:custGeom>
                              <a:avLst/>
                              <a:gdLst>
                                <a:gd name="T0" fmla="+- 0 5578 5578"/>
                                <a:gd name="T1" fmla="*/ T0 w 2663"/>
                                <a:gd name="T2" fmla="+- 0 2573 2573"/>
                                <a:gd name="T3" fmla="*/ 2573 h 713"/>
                                <a:gd name="T4" fmla="+- 0 8241 5578"/>
                                <a:gd name="T5" fmla="*/ T4 w 2663"/>
                                <a:gd name="T6" fmla="+- 0 2573 2573"/>
                                <a:gd name="T7" fmla="*/ 2573 h 713"/>
                                <a:gd name="T8" fmla="+- 0 8241 5578"/>
                                <a:gd name="T9" fmla="*/ T8 w 2663"/>
                                <a:gd name="T10" fmla="+- 0 3287 2573"/>
                                <a:gd name="T11" fmla="*/ 3287 h 713"/>
                                <a:gd name="T12" fmla="+- 0 5578 5578"/>
                                <a:gd name="T13" fmla="*/ T12 w 2663"/>
                                <a:gd name="T14" fmla="+- 0 3287 2573"/>
                                <a:gd name="T15" fmla="*/ 3287 h 713"/>
                                <a:gd name="T16" fmla="+- 0 5578 5578"/>
                                <a:gd name="T17" fmla="*/ T16 w 2663"/>
                                <a:gd name="T18" fmla="+- 0 2573 2573"/>
                                <a:gd name="T19" fmla="*/ 2573 h 713"/>
                              </a:gdLst>
                              <a:ahLst/>
                              <a:cxnLst>
                                <a:cxn ang="0">
                                  <a:pos x="T1" y="T3"/>
                                </a:cxn>
                                <a:cxn ang="0">
                                  <a:pos x="T5" y="T7"/>
                                </a:cxn>
                                <a:cxn ang="0">
                                  <a:pos x="T9" y="T11"/>
                                </a:cxn>
                                <a:cxn ang="0">
                                  <a:pos x="T13" y="T15"/>
                                </a:cxn>
                                <a:cxn ang="0">
                                  <a:pos x="T17" y="T19"/>
                                </a:cxn>
                              </a:cxnLst>
                              <a:rect l="0" t="0" r="r" b="b"/>
                              <a:pathLst>
                                <a:path w="2663" h="713">
                                  <a:moveTo>
                                    <a:pt x="0" y="0"/>
                                  </a:moveTo>
                                  <a:lnTo>
                                    <a:pt x="2663" y="0"/>
                                  </a:lnTo>
                                  <a:lnTo>
                                    <a:pt x="2663" y="714"/>
                                  </a:lnTo>
                                  <a:lnTo>
                                    <a:pt x="0" y="71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79"/>
                        <wpg:cNvGrpSpPr>
                          <a:grpSpLocks/>
                        </wpg:cNvGrpSpPr>
                        <wpg:grpSpPr bwMode="auto">
                          <a:xfrm>
                            <a:off x="5568" y="2564"/>
                            <a:ext cx="2683" cy="733"/>
                            <a:chOff x="5568" y="2564"/>
                            <a:chExt cx="2683" cy="733"/>
                          </a:xfrm>
                        </wpg:grpSpPr>
                        <wps:wsp>
                          <wps:cNvPr id="519" name="Freeform 80"/>
                          <wps:cNvSpPr>
                            <a:spLocks/>
                          </wps:cNvSpPr>
                          <wps:spPr bwMode="auto">
                            <a:xfrm>
                              <a:off x="5568" y="2564"/>
                              <a:ext cx="2683" cy="733"/>
                            </a:xfrm>
                            <a:custGeom>
                              <a:avLst/>
                              <a:gdLst>
                                <a:gd name="T0" fmla="+- 0 8251 5568"/>
                                <a:gd name="T1" fmla="*/ T0 w 2683"/>
                                <a:gd name="T2" fmla="+- 0 3297 2564"/>
                                <a:gd name="T3" fmla="*/ 3297 h 733"/>
                                <a:gd name="T4" fmla="+- 0 5568 5568"/>
                                <a:gd name="T5" fmla="*/ T4 w 2683"/>
                                <a:gd name="T6" fmla="+- 0 3297 2564"/>
                                <a:gd name="T7" fmla="*/ 3297 h 733"/>
                                <a:gd name="T8" fmla="+- 0 5568 5568"/>
                                <a:gd name="T9" fmla="*/ T8 w 2683"/>
                                <a:gd name="T10" fmla="+- 0 2564 2564"/>
                                <a:gd name="T11" fmla="*/ 2564 h 733"/>
                                <a:gd name="T12" fmla="+- 0 8251 5568"/>
                                <a:gd name="T13" fmla="*/ T12 w 2683"/>
                                <a:gd name="T14" fmla="+- 0 2564 2564"/>
                                <a:gd name="T15" fmla="*/ 2564 h 733"/>
                                <a:gd name="T16" fmla="+- 0 8251 5568"/>
                                <a:gd name="T17" fmla="*/ T16 w 2683"/>
                                <a:gd name="T18" fmla="+- 0 2583 2564"/>
                                <a:gd name="T19" fmla="*/ 2583 h 733"/>
                                <a:gd name="T20" fmla="+- 0 5588 5568"/>
                                <a:gd name="T21" fmla="*/ T20 w 2683"/>
                                <a:gd name="T22" fmla="+- 0 2583 2564"/>
                                <a:gd name="T23" fmla="*/ 2583 h 733"/>
                                <a:gd name="T24" fmla="+- 0 5588 5568"/>
                                <a:gd name="T25" fmla="*/ T24 w 2683"/>
                                <a:gd name="T26" fmla="+- 0 3277 2564"/>
                                <a:gd name="T27" fmla="*/ 3277 h 733"/>
                                <a:gd name="T28" fmla="+- 0 8251 5568"/>
                                <a:gd name="T29" fmla="*/ T28 w 2683"/>
                                <a:gd name="T30" fmla="+- 0 3277 2564"/>
                                <a:gd name="T31" fmla="*/ 3277 h 733"/>
                                <a:gd name="T32" fmla="+- 0 8251 5568"/>
                                <a:gd name="T33" fmla="*/ T32 w 2683"/>
                                <a:gd name="T34" fmla="+- 0 3297 2564"/>
                                <a:gd name="T35" fmla="*/ 3297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83" h="733">
                                  <a:moveTo>
                                    <a:pt x="2683" y="733"/>
                                  </a:moveTo>
                                  <a:lnTo>
                                    <a:pt x="0" y="733"/>
                                  </a:lnTo>
                                  <a:lnTo>
                                    <a:pt x="0" y="0"/>
                                  </a:lnTo>
                                  <a:lnTo>
                                    <a:pt x="2683" y="0"/>
                                  </a:lnTo>
                                  <a:lnTo>
                                    <a:pt x="2683" y="19"/>
                                  </a:lnTo>
                                  <a:lnTo>
                                    <a:pt x="20" y="19"/>
                                  </a:lnTo>
                                  <a:lnTo>
                                    <a:pt x="20" y="713"/>
                                  </a:lnTo>
                                  <a:lnTo>
                                    <a:pt x="2683" y="713"/>
                                  </a:lnTo>
                                  <a:lnTo>
                                    <a:pt x="2683" y="73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77"/>
                        <wpg:cNvGrpSpPr>
                          <a:grpSpLocks/>
                        </wpg:cNvGrpSpPr>
                        <wpg:grpSpPr bwMode="auto">
                          <a:xfrm>
                            <a:off x="8241" y="2583"/>
                            <a:ext cx="2" cy="694"/>
                            <a:chOff x="8241" y="2583"/>
                            <a:chExt cx="2" cy="694"/>
                          </a:xfrm>
                        </wpg:grpSpPr>
                        <wps:wsp>
                          <wps:cNvPr id="521" name="Freeform 78"/>
                          <wps:cNvSpPr>
                            <a:spLocks/>
                          </wps:cNvSpPr>
                          <wps:spPr bwMode="auto">
                            <a:xfrm>
                              <a:off x="8241" y="2583"/>
                              <a:ext cx="2" cy="694"/>
                            </a:xfrm>
                            <a:custGeom>
                              <a:avLst/>
                              <a:gdLst>
                                <a:gd name="T0" fmla="+- 0 3277 2583"/>
                                <a:gd name="T1" fmla="*/ 3277 h 694"/>
                                <a:gd name="T2" fmla="+- 0 2583 2583"/>
                                <a:gd name="T3" fmla="*/ 2583 h 694"/>
                              </a:gdLst>
                              <a:ahLst/>
                              <a:cxnLst>
                                <a:cxn ang="0">
                                  <a:pos x="0" y="T1"/>
                                </a:cxn>
                                <a:cxn ang="0">
                                  <a:pos x="0" y="T3"/>
                                </a:cxn>
                              </a:cxnLst>
                              <a:rect l="0" t="0" r="r" b="b"/>
                              <a:pathLst>
                                <a:path h="694">
                                  <a:moveTo>
                                    <a:pt x="0" y="694"/>
                                  </a:moveTo>
                                  <a:lnTo>
                                    <a:pt x="0" y="0"/>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75"/>
                        <wpg:cNvGrpSpPr>
                          <a:grpSpLocks/>
                        </wpg:cNvGrpSpPr>
                        <wpg:grpSpPr bwMode="auto">
                          <a:xfrm>
                            <a:off x="3304" y="2402"/>
                            <a:ext cx="1904" cy="809"/>
                            <a:chOff x="3304" y="2402"/>
                            <a:chExt cx="1904" cy="809"/>
                          </a:xfrm>
                        </wpg:grpSpPr>
                        <wps:wsp>
                          <wps:cNvPr id="523" name="Freeform 76"/>
                          <wps:cNvSpPr>
                            <a:spLocks/>
                          </wps:cNvSpPr>
                          <wps:spPr bwMode="auto">
                            <a:xfrm>
                              <a:off x="3304" y="2402"/>
                              <a:ext cx="1904" cy="809"/>
                            </a:xfrm>
                            <a:custGeom>
                              <a:avLst/>
                              <a:gdLst>
                                <a:gd name="T0" fmla="+- 0 3304 3304"/>
                                <a:gd name="T1" fmla="*/ T0 w 1904"/>
                                <a:gd name="T2" fmla="+- 0 2402 2402"/>
                                <a:gd name="T3" fmla="*/ 2402 h 809"/>
                                <a:gd name="T4" fmla="+- 0 5208 3304"/>
                                <a:gd name="T5" fmla="*/ T4 w 1904"/>
                                <a:gd name="T6" fmla="+- 0 2402 2402"/>
                                <a:gd name="T7" fmla="*/ 2402 h 809"/>
                                <a:gd name="T8" fmla="+- 0 5208 3304"/>
                                <a:gd name="T9" fmla="*/ T8 w 1904"/>
                                <a:gd name="T10" fmla="+- 0 3212 2402"/>
                                <a:gd name="T11" fmla="*/ 3212 h 809"/>
                                <a:gd name="T12" fmla="+- 0 3304 3304"/>
                                <a:gd name="T13" fmla="*/ T12 w 1904"/>
                                <a:gd name="T14" fmla="+- 0 3212 2402"/>
                                <a:gd name="T15" fmla="*/ 3212 h 809"/>
                                <a:gd name="T16" fmla="+- 0 3304 3304"/>
                                <a:gd name="T17" fmla="*/ T16 w 1904"/>
                                <a:gd name="T18" fmla="+- 0 2402 2402"/>
                                <a:gd name="T19" fmla="*/ 2402 h 809"/>
                              </a:gdLst>
                              <a:ahLst/>
                              <a:cxnLst>
                                <a:cxn ang="0">
                                  <a:pos x="T1" y="T3"/>
                                </a:cxn>
                                <a:cxn ang="0">
                                  <a:pos x="T5" y="T7"/>
                                </a:cxn>
                                <a:cxn ang="0">
                                  <a:pos x="T9" y="T11"/>
                                </a:cxn>
                                <a:cxn ang="0">
                                  <a:pos x="T13" y="T15"/>
                                </a:cxn>
                                <a:cxn ang="0">
                                  <a:pos x="T17" y="T19"/>
                                </a:cxn>
                              </a:cxnLst>
                              <a:rect l="0" t="0" r="r" b="b"/>
                              <a:pathLst>
                                <a:path w="1904" h="809">
                                  <a:moveTo>
                                    <a:pt x="0" y="0"/>
                                  </a:moveTo>
                                  <a:lnTo>
                                    <a:pt x="1904" y="0"/>
                                  </a:lnTo>
                                  <a:lnTo>
                                    <a:pt x="1904" y="810"/>
                                  </a:lnTo>
                                  <a:lnTo>
                                    <a:pt x="0" y="81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73"/>
                        <wpg:cNvGrpSpPr>
                          <a:grpSpLocks/>
                        </wpg:cNvGrpSpPr>
                        <wpg:grpSpPr bwMode="auto">
                          <a:xfrm>
                            <a:off x="3294" y="2392"/>
                            <a:ext cx="1924" cy="829"/>
                            <a:chOff x="3294" y="2392"/>
                            <a:chExt cx="1924" cy="829"/>
                          </a:xfrm>
                        </wpg:grpSpPr>
                        <wps:wsp>
                          <wps:cNvPr id="525" name="Freeform 74"/>
                          <wps:cNvSpPr>
                            <a:spLocks/>
                          </wps:cNvSpPr>
                          <wps:spPr bwMode="auto">
                            <a:xfrm>
                              <a:off x="3294" y="2392"/>
                              <a:ext cx="1924" cy="829"/>
                            </a:xfrm>
                            <a:custGeom>
                              <a:avLst/>
                              <a:gdLst>
                                <a:gd name="T0" fmla="+- 0 5218 3294"/>
                                <a:gd name="T1" fmla="*/ T0 w 1924"/>
                                <a:gd name="T2" fmla="+- 0 3221 2392"/>
                                <a:gd name="T3" fmla="*/ 3221 h 829"/>
                                <a:gd name="T4" fmla="+- 0 3294 3294"/>
                                <a:gd name="T5" fmla="*/ T4 w 1924"/>
                                <a:gd name="T6" fmla="+- 0 3221 2392"/>
                                <a:gd name="T7" fmla="*/ 3221 h 829"/>
                                <a:gd name="T8" fmla="+- 0 3294 3294"/>
                                <a:gd name="T9" fmla="*/ T8 w 1924"/>
                                <a:gd name="T10" fmla="+- 0 2392 2392"/>
                                <a:gd name="T11" fmla="*/ 2392 h 829"/>
                                <a:gd name="T12" fmla="+- 0 5218 3294"/>
                                <a:gd name="T13" fmla="*/ T12 w 1924"/>
                                <a:gd name="T14" fmla="+- 0 2392 2392"/>
                                <a:gd name="T15" fmla="*/ 2392 h 829"/>
                                <a:gd name="T16" fmla="+- 0 5218 3294"/>
                                <a:gd name="T17" fmla="*/ T16 w 1924"/>
                                <a:gd name="T18" fmla="+- 0 2412 2392"/>
                                <a:gd name="T19" fmla="*/ 2412 h 829"/>
                                <a:gd name="T20" fmla="+- 0 3314 3294"/>
                                <a:gd name="T21" fmla="*/ T20 w 1924"/>
                                <a:gd name="T22" fmla="+- 0 2412 2392"/>
                                <a:gd name="T23" fmla="*/ 2412 h 829"/>
                                <a:gd name="T24" fmla="+- 0 3314 3294"/>
                                <a:gd name="T25" fmla="*/ T24 w 1924"/>
                                <a:gd name="T26" fmla="+- 0 3202 2392"/>
                                <a:gd name="T27" fmla="*/ 3202 h 829"/>
                                <a:gd name="T28" fmla="+- 0 5218 3294"/>
                                <a:gd name="T29" fmla="*/ T28 w 1924"/>
                                <a:gd name="T30" fmla="+- 0 3202 2392"/>
                                <a:gd name="T31" fmla="*/ 3202 h 829"/>
                                <a:gd name="T32" fmla="+- 0 5218 3294"/>
                                <a:gd name="T33" fmla="*/ T32 w 1924"/>
                                <a:gd name="T34" fmla="+- 0 3221 2392"/>
                                <a:gd name="T35" fmla="*/ 3221 h 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24" h="829">
                                  <a:moveTo>
                                    <a:pt x="1924" y="829"/>
                                  </a:moveTo>
                                  <a:lnTo>
                                    <a:pt x="0" y="829"/>
                                  </a:lnTo>
                                  <a:lnTo>
                                    <a:pt x="0" y="0"/>
                                  </a:lnTo>
                                  <a:lnTo>
                                    <a:pt x="1924" y="0"/>
                                  </a:lnTo>
                                  <a:lnTo>
                                    <a:pt x="1924" y="20"/>
                                  </a:lnTo>
                                  <a:lnTo>
                                    <a:pt x="20" y="20"/>
                                  </a:lnTo>
                                  <a:lnTo>
                                    <a:pt x="20" y="810"/>
                                  </a:lnTo>
                                  <a:lnTo>
                                    <a:pt x="1924" y="810"/>
                                  </a:lnTo>
                                  <a:lnTo>
                                    <a:pt x="1924" y="8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71"/>
                        <wpg:cNvGrpSpPr>
                          <a:grpSpLocks/>
                        </wpg:cNvGrpSpPr>
                        <wpg:grpSpPr bwMode="auto">
                          <a:xfrm>
                            <a:off x="5208" y="2412"/>
                            <a:ext cx="2" cy="790"/>
                            <a:chOff x="5208" y="2412"/>
                            <a:chExt cx="2" cy="790"/>
                          </a:xfrm>
                        </wpg:grpSpPr>
                        <wps:wsp>
                          <wps:cNvPr id="527" name="Freeform 72"/>
                          <wps:cNvSpPr>
                            <a:spLocks/>
                          </wps:cNvSpPr>
                          <wps:spPr bwMode="auto">
                            <a:xfrm>
                              <a:off x="5208" y="2412"/>
                              <a:ext cx="2" cy="790"/>
                            </a:xfrm>
                            <a:custGeom>
                              <a:avLst/>
                              <a:gdLst>
                                <a:gd name="T0" fmla="+- 0 3202 2412"/>
                                <a:gd name="T1" fmla="*/ 3202 h 790"/>
                                <a:gd name="T2" fmla="+- 0 2412 2412"/>
                                <a:gd name="T3" fmla="*/ 2412 h 790"/>
                              </a:gdLst>
                              <a:ahLst/>
                              <a:cxnLst>
                                <a:cxn ang="0">
                                  <a:pos x="0" y="T1"/>
                                </a:cxn>
                                <a:cxn ang="0">
                                  <a:pos x="0" y="T3"/>
                                </a:cxn>
                              </a:cxnLst>
                              <a:rect l="0" t="0" r="r" b="b"/>
                              <a:pathLst>
                                <a:path h="790">
                                  <a:moveTo>
                                    <a:pt x="0" y="790"/>
                                  </a:moveTo>
                                  <a:lnTo>
                                    <a:pt x="0" y="0"/>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69"/>
                        <wpg:cNvGrpSpPr>
                          <a:grpSpLocks/>
                        </wpg:cNvGrpSpPr>
                        <wpg:grpSpPr bwMode="auto">
                          <a:xfrm>
                            <a:off x="4002" y="3477"/>
                            <a:ext cx="717" cy="414"/>
                            <a:chOff x="4002" y="3477"/>
                            <a:chExt cx="717" cy="414"/>
                          </a:xfrm>
                        </wpg:grpSpPr>
                        <wps:wsp>
                          <wps:cNvPr id="529" name="Freeform 70"/>
                          <wps:cNvSpPr>
                            <a:spLocks/>
                          </wps:cNvSpPr>
                          <wps:spPr bwMode="auto">
                            <a:xfrm>
                              <a:off x="4002" y="3477"/>
                              <a:ext cx="717" cy="414"/>
                            </a:xfrm>
                            <a:custGeom>
                              <a:avLst/>
                              <a:gdLst>
                                <a:gd name="T0" fmla="+- 0 4719 4002"/>
                                <a:gd name="T1" fmla="*/ T0 w 717"/>
                                <a:gd name="T2" fmla="+- 0 3891 3477"/>
                                <a:gd name="T3" fmla="*/ 3891 h 414"/>
                                <a:gd name="T4" fmla="+- 0 4002 4002"/>
                                <a:gd name="T5" fmla="*/ T4 w 717"/>
                                <a:gd name="T6" fmla="+- 0 3891 3477"/>
                                <a:gd name="T7" fmla="*/ 3891 h 414"/>
                                <a:gd name="T8" fmla="+- 0 4002 4002"/>
                                <a:gd name="T9" fmla="*/ T8 w 717"/>
                                <a:gd name="T10" fmla="+- 0 3477 3477"/>
                                <a:gd name="T11" fmla="*/ 3477 h 414"/>
                                <a:gd name="T12" fmla="+- 0 4719 4002"/>
                                <a:gd name="T13" fmla="*/ T12 w 717"/>
                                <a:gd name="T14" fmla="+- 0 3477 3477"/>
                                <a:gd name="T15" fmla="*/ 3477 h 414"/>
                                <a:gd name="T16" fmla="+- 0 4719 4002"/>
                                <a:gd name="T17" fmla="*/ T16 w 717"/>
                                <a:gd name="T18" fmla="+- 0 3496 3477"/>
                                <a:gd name="T19" fmla="*/ 3496 h 414"/>
                                <a:gd name="T20" fmla="+- 0 4022 4002"/>
                                <a:gd name="T21" fmla="*/ T20 w 717"/>
                                <a:gd name="T22" fmla="+- 0 3496 3477"/>
                                <a:gd name="T23" fmla="*/ 3496 h 414"/>
                                <a:gd name="T24" fmla="+- 0 4022 4002"/>
                                <a:gd name="T25" fmla="*/ T24 w 717"/>
                                <a:gd name="T26" fmla="+- 0 3872 3477"/>
                                <a:gd name="T27" fmla="*/ 3872 h 414"/>
                                <a:gd name="T28" fmla="+- 0 4719 4002"/>
                                <a:gd name="T29" fmla="*/ T28 w 717"/>
                                <a:gd name="T30" fmla="+- 0 3872 3477"/>
                                <a:gd name="T31" fmla="*/ 3872 h 414"/>
                                <a:gd name="T32" fmla="+- 0 4719 4002"/>
                                <a:gd name="T33" fmla="*/ T32 w 717"/>
                                <a:gd name="T34" fmla="+- 0 3891 3477"/>
                                <a:gd name="T35" fmla="*/ 389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17" h="414">
                                  <a:moveTo>
                                    <a:pt x="717" y="414"/>
                                  </a:moveTo>
                                  <a:lnTo>
                                    <a:pt x="0" y="414"/>
                                  </a:lnTo>
                                  <a:lnTo>
                                    <a:pt x="0" y="0"/>
                                  </a:lnTo>
                                  <a:lnTo>
                                    <a:pt x="717" y="0"/>
                                  </a:lnTo>
                                  <a:lnTo>
                                    <a:pt x="717" y="19"/>
                                  </a:lnTo>
                                  <a:lnTo>
                                    <a:pt x="20" y="19"/>
                                  </a:lnTo>
                                  <a:lnTo>
                                    <a:pt x="20" y="395"/>
                                  </a:lnTo>
                                  <a:lnTo>
                                    <a:pt x="717" y="395"/>
                                  </a:lnTo>
                                  <a:lnTo>
                                    <a:pt x="717" y="41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67"/>
                        <wpg:cNvGrpSpPr>
                          <a:grpSpLocks/>
                        </wpg:cNvGrpSpPr>
                        <wpg:grpSpPr bwMode="auto">
                          <a:xfrm>
                            <a:off x="4709" y="3496"/>
                            <a:ext cx="2" cy="375"/>
                            <a:chOff x="4709" y="3496"/>
                            <a:chExt cx="2" cy="375"/>
                          </a:xfrm>
                        </wpg:grpSpPr>
                        <wps:wsp>
                          <wps:cNvPr id="531" name="Freeform 68"/>
                          <wps:cNvSpPr>
                            <a:spLocks/>
                          </wps:cNvSpPr>
                          <wps:spPr bwMode="auto">
                            <a:xfrm>
                              <a:off x="4709" y="3496"/>
                              <a:ext cx="2" cy="375"/>
                            </a:xfrm>
                            <a:custGeom>
                              <a:avLst/>
                              <a:gdLst>
                                <a:gd name="T0" fmla="+- 0 3872 3496"/>
                                <a:gd name="T1" fmla="*/ 3872 h 375"/>
                                <a:gd name="T2" fmla="+- 0 3496 3496"/>
                                <a:gd name="T3" fmla="*/ 3496 h 375"/>
                              </a:gdLst>
                              <a:ahLst/>
                              <a:cxnLst>
                                <a:cxn ang="0">
                                  <a:pos x="0" y="T1"/>
                                </a:cxn>
                                <a:cxn ang="0">
                                  <a:pos x="0" y="T3"/>
                                </a:cxn>
                              </a:cxnLst>
                              <a:rect l="0" t="0" r="r" b="b"/>
                              <a:pathLst>
                                <a:path h="375">
                                  <a:moveTo>
                                    <a:pt x="0" y="376"/>
                                  </a:moveTo>
                                  <a:lnTo>
                                    <a:pt x="0" y="0"/>
                                  </a:lnTo>
                                </a:path>
                              </a:pathLst>
                            </a:custGeom>
                            <a:noFill/>
                            <a:ln w="1395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65"/>
                        <wpg:cNvGrpSpPr>
                          <a:grpSpLocks/>
                        </wpg:cNvGrpSpPr>
                        <wpg:grpSpPr bwMode="auto">
                          <a:xfrm>
                            <a:off x="4466" y="4057"/>
                            <a:ext cx="407" cy="2"/>
                            <a:chOff x="4466" y="4057"/>
                            <a:chExt cx="407" cy="2"/>
                          </a:xfrm>
                        </wpg:grpSpPr>
                        <wps:wsp>
                          <wps:cNvPr id="533" name="Freeform 66"/>
                          <wps:cNvSpPr>
                            <a:spLocks/>
                          </wps:cNvSpPr>
                          <wps:spPr bwMode="auto">
                            <a:xfrm>
                              <a:off x="4466" y="4057"/>
                              <a:ext cx="407" cy="2"/>
                            </a:xfrm>
                            <a:custGeom>
                              <a:avLst/>
                              <a:gdLst>
                                <a:gd name="T0" fmla="+- 0 4466 4466"/>
                                <a:gd name="T1" fmla="*/ T0 w 407"/>
                                <a:gd name="T2" fmla="+- 0 4872 4466"/>
                                <a:gd name="T3" fmla="*/ T2 w 407"/>
                              </a:gdLst>
                              <a:ahLst/>
                              <a:cxnLst>
                                <a:cxn ang="0">
                                  <a:pos x="T1" y="0"/>
                                </a:cxn>
                                <a:cxn ang="0">
                                  <a:pos x="T3" y="0"/>
                                </a:cxn>
                              </a:cxnLst>
                              <a:rect l="0" t="0" r="r" b="b"/>
                              <a:pathLst>
                                <a:path w="407">
                                  <a:moveTo>
                                    <a:pt x="0" y="0"/>
                                  </a:moveTo>
                                  <a:lnTo>
                                    <a:pt x="406" y="0"/>
                                  </a:lnTo>
                                </a:path>
                              </a:pathLst>
                            </a:custGeom>
                            <a:noFill/>
                            <a:ln w="137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63"/>
                        <wpg:cNvGrpSpPr>
                          <a:grpSpLocks/>
                        </wpg:cNvGrpSpPr>
                        <wpg:grpSpPr bwMode="auto">
                          <a:xfrm>
                            <a:off x="5163" y="4767"/>
                            <a:ext cx="2" cy="238"/>
                            <a:chOff x="5163" y="4767"/>
                            <a:chExt cx="2" cy="238"/>
                          </a:xfrm>
                        </wpg:grpSpPr>
                        <wps:wsp>
                          <wps:cNvPr id="535" name="Freeform 64"/>
                          <wps:cNvSpPr>
                            <a:spLocks/>
                          </wps:cNvSpPr>
                          <wps:spPr bwMode="auto">
                            <a:xfrm>
                              <a:off x="5163" y="4767"/>
                              <a:ext cx="2" cy="238"/>
                            </a:xfrm>
                            <a:custGeom>
                              <a:avLst/>
                              <a:gdLst>
                                <a:gd name="T0" fmla="+- 0 5006 4767"/>
                                <a:gd name="T1" fmla="*/ 5006 h 238"/>
                                <a:gd name="T2" fmla="+- 0 4767 4767"/>
                                <a:gd name="T3" fmla="*/ 4767 h 238"/>
                              </a:gdLst>
                              <a:ahLst/>
                              <a:cxnLst>
                                <a:cxn ang="0">
                                  <a:pos x="0" y="T1"/>
                                </a:cxn>
                                <a:cxn ang="0">
                                  <a:pos x="0" y="T3"/>
                                </a:cxn>
                              </a:cxnLst>
                              <a:rect l="0" t="0" r="r" b="b"/>
                              <a:pathLst>
                                <a:path h="238">
                                  <a:moveTo>
                                    <a:pt x="0" y="239"/>
                                  </a:moveTo>
                                  <a:lnTo>
                                    <a:pt x="0" y="0"/>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61"/>
                        <wpg:cNvGrpSpPr>
                          <a:grpSpLocks/>
                        </wpg:cNvGrpSpPr>
                        <wpg:grpSpPr bwMode="auto">
                          <a:xfrm>
                            <a:off x="5134" y="4965"/>
                            <a:ext cx="58" cy="61"/>
                            <a:chOff x="5134" y="4965"/>
                            <a:chExt cx="58" cy="61"/>
                          </a:xfrm>
                        </wpg:grpSpPr>
                        <wps:wsp>
                          <wps:cNvPr id="537" name="Freeform 62"/>
                          <wps:cNvSpPr>
                            <a:spLocks/>
                          </wps:cNvSpPr>
                          <wps:spPr bwMode="auto">
                            <a:xfrm>
                              <a:off x="5134" y="4965"/>
                              <a:ext cx="58" cy="61"/>
                            </a:xfrm>
                            <a:custGeom>
                              <a:avLst/>
                              <a:gdLst>
                                <a:gd name="T0" fmla="+- 0 5163 5134"/>
                                <a:gd name="T1" fmla="*/ T0 w 58"/>
                                <a:gd name="T2" fmla="+- 0 5026 4965"/>
                                <a:gd name="T3" fmla="*/ 5026 h 61"/>
                                <a:gd name="T4" fmla="+- 0 5134 5134"/>
                                <a:gd name="T5" fmla="*/ T4 w 58"/>
                                <a:gd name="T6" fmla="+- 0 4965 4965"/>
                                <a:gd name="T7" fmla="*/ 4965 h 61"/>
                                <a:gd name="T8" fmla="+- 0 5192 5134"/>
                                <a:gd name="T9" fmla="*/ T8 w 58"/>
                                <a:gd name="T10" fmla="+- 0 4965 4965"/>
                                <a:gd name="T11" fmla="*/ 4965 h 61"/>
                                <a:gd name="T12" fmla="+- 0 5163 5134"/>
                                <a:gd name="T13" fmla="*/ T12 w 58"/>
                                <a:gd name="T14" fmla="+- 0 5026 4965"/>
                                <a:gd name="T15" fmla="*/ 5026 h 61"/>
                              </a:gdLst>
                              <a:ahLst/>
                              <a:cxnLst>
                                <a:cxn ang="0">
                                  <a:pos x="T1" y="T3"/>
                                </a:cxn>
                                <a:cxn ang="0">
                                  <a:pos x="T5" y="T7"/>
                                </a:cxn>
                                <a:cxn ang="0">
                                  <a:pos x="T9" y="T11"/>
                                </a:cxn>
                                <a:cxn ang="0">
                                  <a:pos x="T13" y="T15"/>
                                </a:cxn>
                              </a:cxnLst>
                              <a:rect l="0" t="0" r="r" b="b"/>
                              <a:pathLst>
                                <a:path w="58" h="61">
                                  <a:moveTo>
                                    <a:pt x="29" y="61"/>
                                  </a:moveTo>
                                  <a:lnTo>
                                    <a:pt x="0" y="0"/>
                                  </a:lnTo>
                                  <a:lnTo>
                                    <a:pt x="58" y="0"/>
                                  </a:lnTo>
                                  <a:lnTo>
                                    <a:pt x="29" y="6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59"/>
                        <wpg:cNvGrpSpPr>
                          <a:grpSpLocks/>
                        </wpg:cNvGrpSpPr>
                        <wpg:grpSpPr bwMode="auto">
                          <a:xfrm>
                            <a:off x="3552" y="4477"/>
                            <a:ext cx="986" cy="414"/>
                            <a:chOff x="3552" y="4477"/>
                            <a:chExt cx="986" cy="414"/>
                          </a:xfrm>
                        </wpg:grpSpPr>
                        <wps:wsp>
                          <wps:cNvPr id="539" name="Freeform 60"/>
                          <wps:cNvSpPr>
                            <a:spLocks/>
                          </wps:cNvSpPr>
                          <wps:spPr bwMode="auto">
                            <a:xfrm>
                              <a:off x="3552" y="4477"/>
                              <a:ext cx="986" cy="414"/>
                            </a:xfrm>
                            <a:custGeom>
                              <a:avLst/>
                              <a:gdLst>
                                <a:gd name="T0" fmla="+- 0 4538 3552"/>
                                <a:gd name="T1" fmla="*/ T0 w 986"/>
                                <a:gd name="T2" fmla="+- 0 4891 4477"/>
                                <a:gd name="T3" fmla="*/ 4891 h 414"/>
                                <a:gd name="T4" fmla="+- 0 3552 3552"/>
                                <a:gd name="T5" fmla="*/ T4 w 986"/>
                                <a:gd name="T6" fmla="+- 0 4891 4477"/>
                                <a:gd name="T7" fmla="*/ 4891 h 414"/>
                                <a:gd name="T8" fmla="+- 0 3552 3552"/>
                                <a:gd name="T9" fmla="*/ T8 w 986"/>
                                <a:gd name="T10" fmla="+- 0 4477 4477"/>
                                <a:gd name="T11" fmla="*/ 4477 h 414"/>
                                <a:gd name="T12" fmla="+- 0 4538 3552"/>
                                <a:gd name="T13" fmla="*/ T12 w 986"/>
                                <a:gd name="T14" fmla="+- 0 4477 4477"/>
                                <a:gd name="T15" fmla="*/ 4477 h 414"/>
                                <a:gd name="T16" fmla="+- 0 4538 3552"/>
                                <a:gd name="T17" fmla="*/ T16 w 986"/>
                                <a:gd name="T18" fmla="+- 0 4497 4477"/>
                                <a:gd name="T19" fmla="*/ 4497 h 414"/>
                                <a:gd name="T20" fmla="+- 0 3572 3552"/>
                                <a:gd name="T21" fmla="*/ T20 w 986"/>
                                <a:gd name="T22" fmla="+- 0 4497 4477"/>
                                <a:gd name="T23" fmla="*/ 4497 h 414"/>
                                <a:gd name="T24" fmla="+- 0 3572 3552"/>
                                <a:gd name="T25" fmla="*/ T24 w 986"/>
                                <a:gd name="T26" fmla="+- 0 4872 4477"/>
                                <a:gd name="T27" fmla="*/ 4872 h 414"/>
                                <a:gd name="T28" fmla="+- 0 4538 3552"/>
                                <a:gd name="T29" fmla="*/ T28 w 986"/>
                                <a:gd name="T30" fmla="+- 0 4872 4477"/>
                                <a:gd name="T31" fmla="*/ 4872 h 414"/>
                                <a:gd name="T32" fmla="+- 0 4538 3552"/>
                                <a:gd name="T33" fmla="*/ T32 w 986"/>
                                <a:gd name="T34" fmla="+- 0 4891 4477"/>
                                <a:gd name="T35" fmla="*/ 489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86" h="414">
                                  <a:moveTo>
                                    <a:pt x="986" y="414"/>
                                  </a:moveTo>
                                  <a:lnTo>
                                    <a:pt x="0" y="414"/>
                                  </a:lnTo>
                                  <a:lnTo>
                                    <a:pt x="0" y="0"/>
                                  </a:lnTo>
                                  <a:lnTo>
                                    <a:pt x="986" y="0"/>
                                  </a:lnTo>
                                  <a:lnTo>
                                    <a:pt x="986" y="20"/>
                                  </a:lnTo>
                                  <a:lnTo>
                                    <a:pt x="20" y="20"/>
                                  </a:lnTo>
                                  <a:lnTo>
                                    <a:pt x="20" y="395"/>
                                  </a:lnTo>
                                  <a:lnTo>
                                    <a:pt x="986" y="395"/>
                                  </a:lnTo>
                                  <a:lnTo>
                                    <a:pt x="986" y="41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57"/>
                        <wpg:cNvGrpSpPr>
                          <a:grpSpLocks/>
                        </wpg:cNvGrpSpPr>
                        <wpg:grpSpPr bwMode="auto">
                          <a:xfrm>
                            <a:off x="4528" y="4497"/>
                            <a:ext cx="2" cy="375"/>
                            <a:chOff x="4528" y="4497"/>
                            <a:chExt cx="2" cy="375"/>
                          </a:xfrm>
                        </wpg:grpSpPr>
                        <wps:wsp>
                          <wps:cNvPr id="541" name="Freeform 58"/>
                          <wps:cNvSpPr>
                            <a:spLocks/>
                          </wps:cNvSpPr>
                          <wps:spPr bwMode="auto">
                            <a:xfrm>
                              <a:off x="4528" y="4497"/>
                              <a:ext cx="2" cy="375"/>
                            </a:xfrm>
                            <a:custGeom>
                              <a:avLst/>
                              <a:gdLst>
                                <a:gd name="T0" fmla="+- 0 4872 4497"/>
                                <a:gd name="T1" fmla="*/ 4872 h 375"/>
                                <a:gd name="T2" fmla="+- 0 4497 4497"/>
                                <a:gd name="T3" fmla="*/ 4497 h 375"/>
                              </a:gdLst>
                              <a:ahLst/>
                              <a:cxnLst>
                                <a:cxn ang="0">
                                  <a:pos x="0" y="T1"/>
                                </a:cxn>
                                <a:cxn ang="0">
                                  <a:pos x="0" y="T3"/>
                                </a:cxn>
                              </a:cxnLst>
                              <a:rect l="0" t="0" r="r" b="b"/>
                              <a:pathLst>
                                <a:path h="375">
                                  <a:moveTo>
                                    <a:pt x="0" y="375"/>
                                  </a:moveTo>
                                  <a:lnTo>
                                    <a:pt x="0" y="0"/>
                                  </a:lnTo>
                                </a:path>
                              </a:pathLst>
                            </a:custGeom>
                            <a:noFill/>
                            <a:ln w="1395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55"/>
                        <wpg:cNvGrpSpPr>
                          <a:grpSpLocks/>
                        </wpg:cNvGrpSpPr>
                        <wpg:grpSpPr bwMode="auto">
                          <a:xfrm>
                            <a:off x="4746" y="4485"/>
                            <a:ext cx="1306" cy="303"/>
                            <a:chOff x="4746" y="4485"/>
                            <a:chExt cx="1306" cy="303"/>
                          </a:xfrm>
                        </wpg:grpSpPr>
                        <wps:wsp>
                          <wps:cNvPr id="543" name="Freeform 56"/>
                          <wps:cNvSpPr>
                            <a:spLocks/>
                          </wps:cNvSpPr>
                          <wps:spPr bwMode="auto">
                            <a:xfrm>
                              <a:off x="4746" y="4485"/>
                              <a:ext cx="1306" cy="303"/>
                            </a:xfrm>
                            <a:custGeom>
                              <a:avLst/>
                              <a:gdLst>
                                <a:gd name="T0" fmla="+- 0 6052 4746"/>
                                <a:gd name="T1" fmla="*/ T0 w 1306"/>
                                <a:gd name="T2" fmla="+- 0 4788 4485"/>
                                <a:gd name="T3" fmla="*/ 4788 h 303"/>
                                <a:gd name="T4" fmla="+- 0 4746 4746"/>
                                <a:gd name="T5" fmla="*/ T4 w 1306"/>
                                <a:gd name="T6" fmla="+- 0 4788 4485"/>
                                <a:gd name="T7" fmla="*/ 4788 h 303"/>
                                <a:gd name="T8" fmla="+- 0 4746 4746"/>
                                <a:gd name="T9" fmla="*/ T8 w 1306"/>
                                <a:gd name="T10" fmla="+- 0 4485 4485"/>
                                <a:gd name="T11" fmla="*/ 4485 h 303"/>
                                <a:gd name="T12" fmla="+- 0 6052 4746"/>
                                <a:gd name="T13" fmla="*/ T12 w 1306"/>
                                <a:gd name="T14" fmla="+- 0 4485 4485"/>
                                <a:gd name="T15" fmla="*/ 4485 h 303"/>
                                <a:gd name="T16" fmla="+- 0 6052 4746"/>
                                <a:gd name="T17" fmla="*/ T16 w 1306"/>
                                <a:gd name="T18" fmla="+- 0 4505 4485"/>
                                <a:gd name="T19" fmla="*/ 4505 h 303"/>
                                <a:gd name="T20" fmla="+- 0 4766 4746"/>
                                <a:gd name="T21" fmla="*/ T20 w 1306"/>
                                <a:gd name="T22" fmla="+- 0 4505 4485"/>
                                <a:gd name="T23" fmla="*/ 4505 h 303"/>
                                <a:gd name="T24" fmla="+- 0 4766 4746"/>
                                <a:gd name="T25" fmla="*/ T24 w 1306"/>
                                <a:gd name="T26" fmla="+- 0 4768 4485"/>
                                <a:gd name="T27" fmla="*/ 4768 h 303"/>
                                <a:gd name="T28" fmla="+- 0 6052 4746"/>
                                <a:gd name="T29" fmla="*/ T28 w 1306"/>
                                <a:gd name="T30" fmla="+- 0 4768 4485"/>
                                <a:gd name="T31" fmla="*/ 4768 h 303"/>
                                <a:gd name="T32" fmla="+- 0 6052 4746"/>
                                <a:gd name="T33" fmla="*/ T32 w 1306"/>
                                <a:gd name="T34" fmla="+- 0 4788 4485"/>
                                <a:gd name="T35" fmla="*/ 4788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6" h="303">
                                  <a:moveTo>
                                    <a:pt x="1306" y="303"/>
                                  </a:moveTo>
                                  <a:lnTo>
                                    <a:pt x="0" y="303"/>
                                  </a:lnTo>
                                  <a:lnTo>
                                    <a:pt x="0" y="0"/>
                                  </a:lnTo>
                                  <a:lnTo>
                                    <a:pt x="1306" y="0"/>
                                  </a:lnTo>
                                  <a:lnTo>
                                    <a:pt x="1306" y="20"/>
                                  </a:lnTo>
                                  <a:lnTo>
                                    <a:pt x="20" y="20"/>
                                  </a:lnTo>
                                  <a:lnTo>
                                    <a:pt x="20" y="283"/>
                                  </a:lnTo>
                                  <a:lnTo>
                                    <a:pt x="1306" y="283"/>
                                  </a:lnTo>
                                  <a:lnTo>
                                    <a:pt x="1306" y="30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53"/>
                        <wpg:cNvGrpSpPr>
                          <a:grpSpLocks/>
                        </wpg:cNvGrpSpPr>
                        <wpg:grpSpPr bwMode="auto">
                          <a:xfrm>
                            <a:off x="6042" y="4505"/>
                            <a:ext cx="2" cy="263"/>
                            <a:chOff x="6042" y="4505"/>
                            <a:chExt cx="2" cy="263"/>
                          </a:xfrm>
                        </wpg:grpSpPr>
                        <wps:wsp>
                          <wps:cNvPr id="545" name="Freeform 54"/>
                          <wps:cNvSpPr>
                            <a:spLocks/>
                          </wps:cNvSpPr>
                          <wps:spPr bwMode="auto">
                            <a:xfrm>
                              <a:off x="6042" y="4505"/>
                              <a:ext cx="2" cy="263"/>
                            </a:xfrm>
                            <a:custGeom>
                              <a:avLst/>
                              <a:gdLst>
                                <a:gd name="T0" fmla="+- 0 4768 4505"/>
                                <a:gd name="T1" fmla="*/ 4768 h 263"/>
                                <a:gd name="T2" fmla="+- 0 4505 4505"/>
                                <a:gd name="T3" fmla="*/ 4505 h 263"/>
                              </a:gdLst>
                              <a:ahLst/>
                              <a:cxnLst>
                                <a:cxn ang="0">
                                  <a:pos x="0" y="T1"/>
                                </a:cxn>
                                <a:cxn ang="0">
                                  <a:pos x="0" y="T3"/>
                                </a:cxn>
                              </a:cxnLst>
                              <a:rect l="0" t="0" r="r" b="b"/>
                              <a:pathLst>
                                <a:path h="263">
                                  <a:moveTo>
                                    <a:pt x="0" y="263"/>
                                  </a:moveTo>
                                  <a:lnTo>
                                    <a:pt x="0" y="0"/>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51"/>
                        <wpg:cNvGrpSpPr>
                          <a:grpSpLocks/>
                        </wpg:cNvGrpSpPr>
                        <wpg:grpSpPr bwMode="auto">
                          <a:xfrm>
                            <a:off x="5163" y="4218"/>
                            <a:ext cx="2" cy="225"/>
                            <a:chOff x="5163" y="4218"/>
                            <a:chExt cx="2" cy="225"/>
                          </a:xfrm>
                        </wpg:grpSpPr>
                        <wps:wsp>
                          <wps:cNvPr id="547" name="Freeform 52"/>
                          <wps:cNvSpPr>
                            <a:spLocks/>
                          </wps:cNvSpPr>
                          <wps:spPr bwMode="auto">
                            <a:xfrm>
                              <a:off x="5163" y="4218"/>
                              <a:ext cx="2" cy="225"/>
                            </a:xfrm>
                            <a:custGeom>
                              <a:avLst/>
                              <a:gdLst>
                                <a:gd name="T0" fmla="+- 0 4443 4218"/>
                                <a:gd name="T1" fmla="*/ 4443 h 225"/>
                                <a:gd name="T2" fmla="+- 0 4218 4218"/>
                                <a:gd name="T3" fmla="*/ 4218 h 225"/>
                              </a:gdLst>
                              <a:ahLst/>
                              <a:cxnLst>
                                <a:cxn ang="0">
                                  <a:pos x="0" y="T1"/>
                                </a:cxn>
                                <a:cxn ang="0">
                                  <a:pos x="0" y="T3"/>
                                </a:cxn>
                              </a:cxnLst>
                              <a:rect l="0" t="0" r="r" b="b"/>
                              <a:pathLst>
                                <a:path h="225">
                                  <a:moveTo>
                                    <a:pt x="0" y="225"/>
                                  </a:moveTo>
                                  <a:lnTo>
                                    <a:pt x="0" y="0"/>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49"/>
                        <wpg:cNvGrpSpPr>
                          <a:grpSpLocks/>
                        </wpg:cNvGrpSpPr>
                        <wpg:grpSpPr bwMode="auto">
                          <a:xfrm>
                            <a:off x="5134" y="4405"/>
                            <a:ext cx="58" cy="57"/>
                            <a:chOff x="5134" y="4405"/>
                            <a:chExt cx="58" cy="57"/>
                          </a:xfrm>
                        </wpg:grpSpPr>
                        <wps:wsp>
                          <wps:cNvPr id="549" name="Freeform 50"/>
                          <wps:cNvSpPr>
                            <a:spLocks/>
                          </wps:cNvSpPr>
                          <wps:spPr bwMode="auto">
                            <a:xfrm>
                              <a:off x="5134" y="4405"/>
                              <a:ext cx="58" cy="57"/>
                            </a:xfrm>
                            <a:custGeom>
                              <a:avLst/>
                              <a:gdLst>
                                <a:gd name="T0" fmla="+- 0 5163 5134"/>
                                <a:gd name="T1" fmla="*/ T0 w 58"/>
                                <a:gd name="T2" fmla="+- 0 4462 4405"/>
                                <a:gd name="T3" fmla="*/ 4462 h 57"/>
                                <a:gd name="T4" fmla="+- 0 5134 5134"/>
                                <a:gd name="T5" fmla="*/ T4 w 58"/>
                                <a:gd name="T6" fmla="+- 0 4405 4405"/>
                                <a:gd name="T7" fmla="*/ 4405 h 57"/>
                                <a:gd name="T8" fmla="+- 0 5192 5134"/>
                                <a:gd name="T9" fmla="*/ T8 w 58"/>
                                <a:gd name="T10" fmla="+- 0 4405 4405"/>
                                <a:gd name="T11" fmla="*/ 4405 h 57"/>
                                <a:gd name="T12" fmla="+- 0 5163 5134"/>
                                <a:gd name="T13" fmla="*/ T12 w 58"/>
                                <a:gd name="T14" fmla="+- 0 4462 4405"/>
                                <a:gd name="T15" fmla="*/ 4462 h 57"/>
                              </a:gdLst>
                              <a:ahLst/>
                              <a:cxnLst>
                                <a:cxn ang="0">
                                  <a:pos x="T1" y="T3"/>
                                </a:cxn>
                                <a:cxn ang="0">
                                  <a:pos x="T5" y="T7"/>
                                </a:cxn>
                                <a:cxn ang="0">
                                  <a:pos x="T9" y="T11"/>
                                </a:cxn>
                                <a:cxn ang="0">
                                  <a:pos x="T13" y="T15"/>
                                </a:cxn>
                              </a:cxnLst>
                              <a:rect l="0" t="0" r="r" b="b"/>
                              <a:pathLst>
                                <a:path w="58" h="57">
                                  <a:moveTo>
                                    <a:pt x="29" y="57"/>
                                  </a:moveTo>
                                  <a:lnTo>
                                    <a:pt x="0" y="0"/>
                                  </a:lnTo>
                                  <a:lnTo>
                                    <a:pt x="58" y="0"/>
                                  </a:lnTo>
                                  <a:lnTo>
                                    <a:pt x="29"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47"/>
                        <wpg:cNvGrpSpPr>
                          <a:grpSpLocks/>
                        </wpg:cNvGrpSpPr>
                        <wpg:grpSpPr bwMode="auto">
                          <a:xfrm>
                            <a:off x="4466" y="4046"/>
                            <a:ext cx="2" cy="397"/>
                            <a:chOff x="4466" y="4046"/>
                            <a:chExt cx="2" cy="397"/>
                          </a:xfrm>
                        </wpg:grpSpPr>
                        <wps:wsp>
                          <wps:cNvPr id="551" name="Freeform 48"/>
                          <wps:cNvSpPr>
                            <a:spLocks/>
                          </wps:cNvSpPr>
                          <wps:spPr bwMode="auto">
                            <a:xfrm>
                              <a:off x="4466" y="4046"/>
                              <a:ext cx="2" cy="397"/>
                            </a:xfrm>
                            <a:custGeom>
                              <a:avLst/>
                              <a:gdLst>
                                <a:gd name="T0" fmla="+- 0 4443 4046"/>
                                <a:gd name="T1" fmla="*/ 4443 h 397"/>
                                <a:gd name="T2" fmla="+- 0 4046 4046"/>
                                <a:gd name="T3" fmla="*/ 4046 h 397"/>
                              </a:gdLst>
                              <a:ahLst/>
                              <a:cxnLst>
                                <a:cxn ang="0">
                                  <a:pos x="0" y="T1"/>
                                </a:cxn>
                                <a:cxn ang="0">
                                  <a:pos x="0" y="T3"/>
                                </a:cxn>
                              </a:cxnLst>
                              <a:rect l="0" t="0" r="r" b="b"/>
                              <a:pathLst>
                                <a:path h="397">
                                  <a:moveTo>
                                    <a:pt x="0" y="397"/>
                                  </a:moveTo>
                                  <a:lnTo>
                                    <a:pt x="0" y="0"/>
                                  </a:lnTo>
                                </a:path>
                              </a:pathLst>
                            </a:custGeom>
                            <a:noFill/>
                            <a:ln w="139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45"/>
                        <wpg:cNvGrpSpPr>
                          <a:grpSpLocks/>
                        </wpg:cNvGrpSpPr>
                        <wpg:grpSpPr bwMode="auto">
                          <a:xfrm>
                            <a:off x="4437" y="4405"/>
                            <a:ext cx="58" cy="57"/>
                            <a:chOff x="4437" y="4405"/>
                            <a:chExt cx="58" cy="57"/>
                          </a:xfrm>
                        </wpg:grpSpPr>
                        <wps:wsp>
                          <wps:cNvPr id="553" name="Freeform 46"/>
                          <wps:cNvSpPr>
                            <a:spLocks/>
                          </wps:cNvSpPr>
                          <wps:spPr bwMode="auto">
                            <a:xfrm>
                              <a:off x="4437" y="4405"/>
                              <a:ext cx="58" cy="57"/>
                            </a:xfrm>
                            <a:custGeom>
                              <a:avLst/>
                              <a:gdLst>
                                <a:gd name="T0" fmla="+- 0 4466 4437"/>
                                <a:gd name="T1" fmla="*/ T0 w 58"/>
                                <a:gd name="T2" fmla="+- 0 4462 4405"/>
                                <a:gd name="T3" fmla="*/ 4462 h 57"/>
                                <a:gd name="T4" fmla="+- 0 4437 4437"/>
                                <a:gd name="T5" fmla="*/ T4 w 58"/>
                                <a:gd name="T6" fmla="+- 0 4405 4405"/>
                                <a:gd name="T7" fmla="*/ 4405 h 57"/>
                                <a:gd name="T8" fmla="+- 0 4495 4437"/>
                                <a:gd name="T9" fmla="*/ T8 w 58"/>
                                <a:gd name="T10" fmla="+- 0 4405 4405"/>
                                <a:gd name="T11" fmla="*/ 4405 h 57"/>
                                <a:gd name="T12" fmla="+- 0 4466 4437"/>
                                <a:gd name="T13" fmla="*/ T12 w 58"/>
                                <a:gd name="T14" fmla="+- 0 4462 4405"/>
                                <a:gd name="T15" fmla="*/ 4462 h 57"/>
                              </a:gdLst>
                              <a:ahLst/>
                              <a:cxnLst>
                                <a:cxn ang="0">
                                  <a:pos x="T1" y="T3"/>
                                </a:cxn>
                                <a:cxn ang="0">
                                  <a:pos x="T5" y="T7"/>
                                </a:cxn>
                                <a:cxn ang="0">
                                  <a:pos x="T9" y="T11"/>
                                </a:cxn>
                                <a:cxn ang="0">
                                  <a:pos x="T13" y="T15"/>
                                </a:cxn>
                              </a:cxnLst>
                              <a:rect l="0" t="0" r="r" b="b"/>
                              <a:pathLst>
                                <a:path w="58" h="57">
                                  <a:moveTo>
                                    <a:pt x="29" y="57"/>
                                  </a:moveTo>
                                  <a:lnTo>
                                    <a:pt x="0" y="0"/>
                                  </a:lnTo>
                                  <a:lnTo>
                                    <a:pt x="58" y="0"/>
                                  </a:lnTo>
                                  <a:lnTo>
                                    <a:pt x="29"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43"/>
                        <wpg:cNvGrpSpPr>
                          <a:grpSpLocks/>
                        </wpg:cNvGrpSpPr>
                        <wpg:grpSpPr bwMode="auto">
                          <a:xfrm>
                            <a:off x="4862" y="3431"/>
                            <a:ext cx="1300" cy="813"/>
                            <a:chOff x="4862" y="3431"/>
                            <a:chExt cx="1300" cy="813"/>
                          </a:xfrm>
                        </wpg:grpSpPr>
                        <wps:wsp>
                          <wps:cNvPr id="555" name="Freeform 44"/>
                          <wps:cNvSpPr>
                            <a:spLocks/>
                          </wps:cNvSpPr>
                          <wps:spPr bwMode="auto">
                            <a:xfrm>
                              <a:off x="4862" y="3431"/>
                              <a:ext cx="1300" cy="813"/>
                            </a:xfrm>
                            <a:custGeom>
                              <a:avLst/>
                              <a:gdLst>
                                <a:gd name="T0" fmla="+- 0 6163 4862"/>
                                <a:gd name="T1" fmla="*/ T0 w 1300"/>
                                <a:gd name="T2" fmla="+- 0 4244 3431"/>
                                <a:gd name="T3" fmla="*/ 4244 h 813"/>
                                <a:gd name="T4" fmla="+- 0 4862 4862"/>
                                <a:gd name="T5" fmla="*/ T4 w 1300"/>
                                <a:gd name="T6" fmla="+- 0 4244 3431"/>
                                <a:gd name="T7" fmla="*/ 4244 h 813"/>
                                <a:gd name="T8" fmla="+- 0 4862 4862"/>
                                <a:gd name="T9" fmla="*/ T8 w 1300"/>
                                <a:gd name="T10" fmla="+- 0 3431 3431"/>
                                <a:gd name="T11" fmla="*/ 3431 h 813"/>
                                <a:gd name="T12" fmla="+- 0 6163 4862"/>
                                <a:gd name="T13" fmla="*/ T12 w 1300"/>
                                <a:gd name="T14" fmla="+- 0 3431 3431"/>
                                <a:gd name="T15" fmla="*/ 3431 h 813"/>
                                <a:gd name="T16" fmla="+- 0 6163 4862"/>
                                <a:gd name="T17" fmla="*/ T16 w 1300"/>
                                <a:gd name="T18" fmla="+- 0 3451 3431"/>
                                <a:gd name="T19" fmla="*/ 3451 h 813"/>
                                <a:gd name="T20" fmla="+- 0 4882 4862"/>
                                <a:gd name="T21" fmla="*/ T20 w 1300"/>
                                <a:gd name="T22" fmla="+- 0 3451 3431"/>
                                <a:gd name="T23" fmla="*/ 3451 h 813"/>
                                <a:gd name="T24" fmla="+- 0 4882 4862"/>
                                <a:gd name="T25" fmla="*/ T24 w 1300"/>
                                <a:gd name="T26" fmla="+- 0 4224 3431"/>
                                <a:gd name="T27" fmla="*/ 4224 h 813"/>
                                <a:gd name="T28" fmla="+- 0 6163 4862"/>
                                <a:gd name="T29" fmla="*/ T28 w 1300"/>
                                <a:gd name="T30" fmla="+- 0 4224 3431"/>
                                <a:gd name="T31" fmla="*/ 4224 h 813"/>
                                <a:gd name="T32" fmla="+- 0 6163 4862"/>
                                <a:gd name="T33" fmla="*/ T32 w 1300"/>
                                <a:gd name="T34" fmla="+- 0 4244 3431"/>
                                <a:gd name="T35" fmla="*/ 4244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0" h="813">
                                  <a:moveTo>
                                    <a:pt x="1301" y="813"/>
                                  </a:moveTo>
                                  <a:lnTo>
                                    <a:pt x="0" y="813"/>
                                  </a:lnTo>
                                  <a:lnTo>
                                    <a:pt x="0" y="0"/>
                                  </a:lnTo>
                                  <a:lnTo>
                                    <a:pt x="1301" y="0"/>
                                  </a:lnTo>
                                  <a:lnTo>
                                    <a:pt x="1301" y="20"/>
                                  </a:lnTo>
                                  <a:lnTo>
                                    <a:pt x="20" y="20"/>
                                  </a:lnTo>
                                  <a:lnTo>
                                    <a:pt x="20" y="793"/>
                                  </a:lnTo>
                                  <a:lnTo>
                                    <a:pt x="1301" y="793"/>
                                  </a:lnTo>
                                  <a:lnTo>
                                    <a:pt x="1301" y="8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41"/>
                        <wpg:cNvGrpSpPr>
                          <a:grpSpLocks/>
                        </wpg:cNvGrpSpPr>
                        <wpg:grpSpPr bwMode="auto">
                          <a:xfrm>
                            <a:off x="6153" y="3451"/>
                            <a:ext cx="2" cy="773"/>
                            <a:chOff x="6153" y="3451"/>
                            <a:chExt cx="2" cy="773"/>
                          </a:xfrm>
                        </wpg:grpSpPr>
                        <wps:wsp>
                          <wps:cNvPr id="557" name="Freeform 42"/>
                          <wps:cNvSpPr>
                            <a:spLocks/>
                          </wps:cNvSpPr>
                          <wps:spPr bwMode="auto">
                            <a:xfrm>
                              <a:off x="6153" y="3451"/>
                              <a:ext cx="2" cy="773"/>
                            </a:xfrm>
                            <a:custGeom>
                              <a:avLst/>
                              <a:gdLst>
                                <a:gd name="T0" fmla="+- 0 4224 3451"/>
                                <a:gd name="T1" fmla="*/ 4224 h 773"/>
                                <a:gd name="T2" fmla="+- 0 3451 3451"/>
                                <a:gd name="T3" fmla="*/ 3451 h 773"/>
                              </a:gdLst>
                              <a:ahLst/>
                              <a:cxnLst>
                                <a:cxn ang="0">
                                  <a:pos x="0" y="T1"/>
                                </a:cxn>
                                <a:cxn ang="0">
                                  <a:pos x="0" y="T3"/>
                                </a:cxn>
                              </a:cxnLst>
                              <a:rect l="0" t="0" r="r" b="b"/>
                              <a:pathLst>
                                <a:path h="773">
                                  <a:moveTo>
                                    <a:pt x="0" y="773"/>
                                  </a:moveTo>
                                  <a:lnTo>
                                    <a:pt x="0" y="0"/>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39"/>
                        <wpg:cNvGrpSpPr>
                          <a:grpSpLocks/>
                        </wpg:cNvGrpSpPr>
                        <wpg:grpSpPr bwMode="auto">
                          <a:xfrm>
                            <a:off x="7381" y="3434"/>
                            <a:ext cx="869" cy="343"/>
                            <a:chOff x="7381" y="3434"/>
                            <a:chExt cx="869" cy="343"/>
                          </a:xfrm>
                        </wpg:grpSpPr>
                        <wps:wsp>
                          <wps:cNvPr id="559" name="Freeform 40"/>
                          <wps:cNvSpPr>
                            <a:spLocks/>
                          </wps:cNvSpPr>
                          <wps:spPr bwMode="auto">
                            <a:xfrm>
                              <a:off x="7381" y="3434"/>
                              <a:ext cx="869" cy="343"/>
                            </a:xfrm>
                            <a:custGeom>
                              <a:avLst/>
                              <a:gdLst>
                                <a:gd name="T0" fmla="+- 0 8249 7381"/>
                                <a:gd name="T1" fmla="*/ T0 w 869"/>
                                <a:gd name="T2" fmla="+- 0 3778 3434"/>
                                <a:gd name="T3" fmla="*/ 3778 h 343"/>
                                <a:gd name="T4" fmla="+- 0 7381 7381"/>
                                <a:gd name="T5" fmla="*/ T4 w 869"/>
                                <a:gd name="T6" fmla="+- 0 3778 3434"/>
                                <a:gd name="T7" fmla="*/ 3778 h 343"/>
                                <a:gd name="T8" fmla="+- 0 7381 7381"/>
                                <a:gd name="T9" fmla="*/ T8 w 869"/>
                                <a:gd name="T10" fmla="+- 0 3434 3434"/>
                                <a:gd name="T11" fmla="*/ 3434 h 343"/>
                                <a:gd name="T12" fmla="+- 0 8249 7381"/>
                                <a:gd name="T13" fmla="*/ T12 w 869"/>
                                <a:gd name="T14" fmla="+- 0 3434 3434"/>
                                <a:gd name="T15" fmla="*/ 3434 h 343"/>
                                <a:gd name="T16" fmla="+- 0 8249 7381"/>
                                <a:gd name="T17" fmla="*/ T16 w 869"/>
                                <a:gd name="T18" fmla="+- 0 3454 3434"/>
                                <a:gd name="T19" fmla="*/ 3454 h 343"/>
                                <a:gd name="T20" fmla="+- 0 7401 7381"/>
                                <a:gd name="T21" fmla="*/ T20 w 869"/>
                                <a:gd name="T22" fmla="+- 0 3454 3434"/>
                                <a:gd name="T23" fmla="*/ 3454 h 343"/>
                                <a:gd name="T24" fmla="+- 0 7401 7381"/>
                                <a:gd name="T25" fmla="*/ T24 w 869"/>
                                <a:gd name="T26" fmla="+- 0 3758 3434"/>
                                <a:gd name="T27" fmla="*/ 3758 h 343"/>
                                <a:gd name="T28" fmla="+- 0 8249 7381"/>
                                <a:gd name="T29" fmla="*/ T28 w 869"/>
                                <a:gd name="T30" fmla="+- 0 3758 3434"/>
                                <a:gd name="T31" fmla="*/ 3758 h 343"/>
                                <a:gd name="T32" fmla="+- 0 8249 7381"/>
                                <a:gd name="T33" fmla="*/ T32 w 869"/>
                                <a:gd name="T34" fmla="+- 0 3778 3434"/>
                                <a:gd name="T35" fmla="*/ 3778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9" h="343">
                                  <a:moveTo>
                                    <a:pt x="868" y="344"/>
                                  </a:moveTo>
                                  <a:lnTo>
                                    <a:pt x="0" y="344"/>
                                  </a:lnTo>
                                  <a:lnTo>
                                    <a:pt x="0" y="0"/>
                                  </a:lnTo>
                                  <a:lnTo>
                                    <a:pt x="868" y="0"/>
                                  </a:lnTo>
                                  <a:lnTo>
                                    <a:pt x="868" y="20"/>
                                  </a:lnTo>
                                  <a:lnTo>
                                    <a:pt x="20" y="20"/>
                                  </a:lnTo>
                                  <a:lnTo>
                                    <a:pt x="20" y="324"/>
                                  </a:lnTo>
                                  <a:lnTo>
                                    <a:pt x="868" y="324"/>
                                  </a:lnTo>
                                  <a:lnTo>
                                    <a:pt x="868" y="34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37"/>
                        <wpg:cNvGrpSpPr>
                          <a:grpSpLocks/>
                        </wpg:cNvGrpSpPr>
                        <wpg:grpSpPr bwMode="auto">
                          <a:xfrm>
                            <a:off x="8239" y="3454"/>
                            <a:ext cx="2" cy="304"/>
                            <a:chOff x="8239" y="3454"/>
                            <a:chExt cx="2" cy="304"/>
                          </a:xfrm>
                        </wpg:grpSpPr>
                        <wps:wsp>
                          <wps:cNvPr id="561" name="Freeform 38"/>
                          <wps:cNvSpPr>
                            <a:spLocks/>
                          </wps:cNvSpPr>
                          <wps:spPr bwMode="auto">
                            <a:xfrm>
                              <a:off x="8239" y="3454"/>
                              <a:ext cx="2" cy="304"/>
                            </a:xfrm>
                            <a:custGeom>
                              <a:avLst/>
                              <a:gdLst>
                                <a:gd name="T0" fmla="+- 0 3758 3454"/>
                                <a:gd name="T1" fmla="*/ 3758 h 304"/>
                                <a:gd name="T2" fmla="+- 0 3454 3454"/>
                                <a:gd name="T3" fmla="*/ 3454 h 304"/>
                              </a:gdLst>
                              <a:ahLst/>
                              <a:cxnLst>
                                <a:cxn ang="0">
                                  <a:pos x="0" y="T1"/>
                                </a:cxn>
                                <a:cxn ang="0">
                                  <a:pos x="0" y="T3"/>
                                </a:cxn>
                              </a:cxnLst>
                              <a:rect l="0" t="0" r="r" b="b"/>
                              <a:pathLst>
                                <a:path h="304">
                                  <a:moveTo>
                                    <a:pt x="0" y="304"/>
                                  </a:moveTo>
                                  <a:lnTo>
                                    <a:pt x="0" y="0"/>
                                  </a:lnTo>
                                </a:path>
                              </a:pathLst>
                            </a:custGeom>
                            <a:noFill/>
                            <a:ln w="1398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35"/>
                        <wpg:cNvGrpSpPr>
                          <a:grpSpLocks/>
                        </wpg:cNvGrpSpPr>
                        <wpg:grpSpPr bwMode="auto">
                          <a:xfrm>
                            <a:off x="7127" y="3777"/>
                            <a:ext cx="20" cy="83"/>
                            <a:chOff x="7127" y="3777"/>
                            <a:chExt cx="20" cy="83"/>
                          </a:xfrm>
                        </wpg:grpSpPr>
                        <wps:wsp>
                          <wps:cNvPr id="563" name="Freeform 36"/>
                          <wps:cNvSpPr>
                            <a:spLocks/>
                          </wps:cNvSpPr>
                          <wps:spPr bwMode="auto">
                            <a:xfrm>
                              <a:off x="7127" y="3777"/>
                              <a:ext cx="20" cy="83"/>
                            </a:xfrm>
                            <a:custGeom>
                              <a:avLst/>
                              <a:gdLst>
                                <a:gd name="T0" fmla="+- 0 7137 7127"/>
                                <a:gd name="T1" fmla="*/ T0 w 20"/>
                                <a:gd name="T2" fmla="+- 0 3860 3777"/>
                                <a:gd name="T3" fmla="*/ 3860 h 83"/>
                                <a:gd name="T4" fmla="+- 0 7137 7127"/>
                                <a:gd name="T5" fmla="*/ T4 w 20"/>
                                <a:gd name="T6" fmla="+- 0 3777 3777"/>
                                <a:gd name="T7" fmla="*/ 3777 h 83"/>
                              </a:gdLst>
                              <a:ahLst/>
                              <a:cxnLst>
                                <a:cxn ang="0">
                                  <a:pos x="T1" y="T3"/>
                                </a:cxn>
                                <a:cxn ang="0">
                                  <a:pos x="T5" y="T7"/>
                                </a:cxn>
                              </a:cxnLst>
                              <a:rect l="0" t="0" r="r" b="b"/>
                              <a:pathLst>
                                <a:path w="20" h="83">
                                  <a:moveTo>
                                    <a:pt x="10" y="83"/>
                                  </a:moveTo>
                                  <a:lnTo>
                                    <a:pt x="10" y="0"/>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33"/>
                        <wpg:cNvGrpSpPr>
                          <a:grpSpLocks/>
                        </wpg:cNvGrpSpPr>
                        <wpg:grpSpPr bwMode="auto">
                          <a:xfrm>
                            <a:off x="7108" y="3822"/>
                            <a:ext cx="58" cy="57"/>
                            <a:chOff x="7108" y="3822"/>
                            <a:chExt cx="58" cy="57"/>
                          </a:xfrm>
                        </wpg:grpSpPr>
                        <wps:wsp>
                          <wps:cNvPr id="565" name="Freeform 34"/>
                          <wps:cNvSpPr>
                            <a:spLocks/>
                          </wps:cNvSpPr>
                          <wps:spPr bwMode="auto">
                            <a:xfrm>
                              <a:off x="7108" y="3822"/>
                              <a:ext cx="58" cy="57"/>
                            </a:xfrm>
                            <a:custGeom>
                              <a:avLst/>
                              <a:gdLst>
                                <a:gd name="T0" fmla="+- 0 7137 7108"/>
                                <a:gd name="T1" fmla="*/ T0 w 58"/>
                                <a:gd name="T2" fmla="+- 0 3879 3822"/>
                                <a:gd name="T3" fmla="*/ 3879 h 57"/>
                                <a:gd name="T4" fmla="+- 0 7108 7108"/>
                                <a:gd name="T5" fmla="*/ T4 w 58"/>
                                <a:gd name="T6" fmla="+- 0 3822 3822"/>
                                <a:gd name="T7" fmla="*/ 3822 h 57"/>
                                <a:gd name="T8" fmla="+- 0 7166 7108"/>
                                <a:gd name="T9" fmla="*/ T8 w 58"/>
                                <a:gd name="T10" fmla="+- 0 3822 3822"/>
                                <a:gd name="T11" fmla="*/ 3822 h 57"/>
                                <a:gd name="T12" fmla="+- 0 7137 7108"/>
                                <a:gd name="T13" fmla="*/ T12 w 58"/>
                                <a:gd name="T14" fmla="+- 0 3879 3822"/>
                                <a:gd name="T15" fmla="*/ 3879 h 57"/>
                              </a:gdLst>
                              <a:ahLst/>
                              <a:cxnLst>
                                <a:cxn ang="0">
                                  <a:pos x="T1" y="T3"/>
                                </a:cxn>
                                <a:cxn ang="0">
                                  <a:pos x="T5" y="T7"/>
                                </a:cxn>
                                <a:cxn ang="0">
                                  <a:pos x="T9" y="T11"/>
                                </a:cxn>
                                <a:cxn ang="0">
                                  <a:pos x="T13" y="T15"/>
                                </a:cxn>
                              </a:cxnLst>
                              <a:rect l="0" t="0" r="r" b="b"/>
                              <a:pathLst>
                                <a:path w="58" h="57">
                                  <a:moveTo>
                                    <a:pt x="29" y="57"/>
                                  </a:moveTo>
                                  <a:lnTo>
                                    <a:pt x="0" y="0"/>
                                  </a:lnTo>
                                  <a:lnTo>
                                    <a:pt x="58" y="0"/>
                                  </a:lnTo>
                                  <a:lnTo>
                                    <a:pt x="29"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31"/>
                        <wpg:cNvGrpSpPr>
                          <a:grpSpLocks/>
                        </wpg:cNvGrpSpPr>
                        <wpg:grpSpPr bwMode="auto">
                          <a:xfrm>
                            <a:off x="6287" y="3444"/>
                            <a:ext cx="1065" cy="337"/>
                            <a:chOff x="6287" y="3444"/>
                            <a:chExt cx="1065" cy="337"/>
                          </a:xfrm>
                        </wpg:grpSpPr>
                        <wps:wsp>
                          <wps:cNvPr id="567" name="Freeform 32"/>
                          <wps:cNvSpPr>
                            <a:spLocks/>
                          </wps:cNvSpPr>
                          <wps:spPr bwMode="auto">
                            <a:xfrm>
                              <a:off x="6287" y="3444"/>
                              <a:ext cx="1065" cy="337"/>
                            </a:xfrm>
                            <a:custGeom>
                              <a:avLst/>
                              <a:gdLst>
                                <a:gd name="T0" fmla="+- 0 7352 6287"/>
                                <a:gd name="T1" fmla="*/ T0 w 1065"/>
                                <a:gd name="T2" fmla="+- 0 3782 3444"/>
                                <a:gd name="T3" fmla="*/ 3782 h 337"/>
                                <a:gd name="T4" fmla="+- 0 6287 6287"/>
                                <a:gd name="T5" fmla="*/ T4 w 1065"/>
                                <a:gd name="T6" fmla="+- 0 3782 3444"/>
                                <a:gd name="T7" fmla="*/ 3782 h 337"/>
                                <a:gd name="T8" fmla="+- 0 6287 6287"/>
                                <a:gd name="T9" fmla="*/ T8 w 1065"/>
                                <a:gd name="T10" fmla="+- 0 3444 3444"/>
                                <a:gd name="T11" fmla="*/ 3444 h 337"/>
                                <a:gd name="T12" fmla="+- 0 7352 6287"/>
                                <a:gd name="T13" fmla="*/ T12 w 1065"/>
                                <a:gd name="T14" fmla="+- 0 3444 3444"/>
                                <a:gd name="T15" fmla="*/ 3444 h 337"/>
                                <a:gd name="T16" fmla="+- 0 7352 6287"/>
                                <a:gd name="T17" fmla="*/ T16 w 1065"/>
                                <a:gd name="T18" fmla="+- 0 3467 3444"/>
                                <a:gd name="T19" fmla="*/ 3467 h 337"/>
                                <a:gd name="T20" fmla="+- 0 6307 6287"/>
                                <a:gd name="T21" fmla="*/ T20 w 1065"/>
                                <a:gd name="T22" fmla="+- 0 3467 3444"/>
                                <a:gd name="T23" fmla="*/ 3467 h 337"/>
                                <a:gd name="T24" fmla="+- 0 6307 6287"/>
                                <a:gd name="T25" fmla="*/ T24 w 1065"/>
                                <a:gd name="T26" fmla="+- 0 3759 3444"/>
                                <a:gd name="T27" fmla="*/ 3759 h 337"/>
                                <a:gd name="T28" fmla="+- 0 7352 6287"/>
                                <a:gd name="T29" fmla="*/ T28 w 1065"/>
                                <a:gd name="T30" fmla="+- 0 3759 3444"/>
                                <a:gd name="T31" fmla="*/ 3759 h 337"/>
                                <a:gd name="T32" fmla="+- 0 7352 6287"/>
                                <a:gd name="T33" fmla="*/ T32 w 1065"/>
                                <a:gd name="T34" fmla="+- 0 3782 3444"/>
                                <a:gd name="T35" fmla="*/ 3782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5" h="337">
                                  <a:moveTo>
                                    <a:pt x="1065" y="338"/>
                                  </a:moveTo>
                                  <a:lnTo>
                                    <a:pt x="0" y="338"/>
                                  </a:lnTo>
                                  <a:lnTo>
                                    <a:pt x="0" y="0"/>
                                  </a:lnTo>
                                  <a:lnTo>
                                    <a:pt x="1065" y="0"/>
                                  </a:lnTo>
                                  <a:lnTo>
                                    <a:pt x="1065" y="23"/>
                                  </a:lnTo>
                                  <a:lnTo>
                                    <a:pt x="20" y="23"/>
                                  </a:lnTo>
                                  <a:lnTo>
                                    <a:pt x="20" y="315"/>
                                  </a:lnTo>
                                  <a:lnTo>
                                    <a:pt x="1065" y="315"/>
                                  </a:lnTo>
                                  <a:lnTo>
                                    <a:pt x="1065" y="33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29"/>
                        <wpg:cNvGrpSpPr>
                          <a:grpSpLocks/>
                        </wpg:cNvGrpSpPr>
                        <wpg:grpSpPr bwMode="auto">
                          <a:xfrm>
                            <a:off x="7342" y="3467"/>
                            <a:ext cx="2" cy="292"/>
                            <a:chOff x="7342" y="3467"/>
                            <a:chExt cx="2" cy="292"/>
                          </a:xfrm>
                        </wpg:grpSpPr>
                        <wps:wsp>
                          <wps:cNvPr id="569" name="Freeform 30"/>
                          <wps:cNvSpPr>
                            <a:spLocks/>
                          </wps:cNvSpPr>
                          <wps:spPr bwMode="auto">
                            <a:xfrm>
                              <a:off x="7342" y="3467"/>
                              <a:ext cx="2" cy="292"/>
                            </a:xfrm>
                            <a:custGeom>
                              <a:avLst/>
                              <a:gdLst>
                                <a:gd name="T0" fmla="+- 0 3759 3467"/>
                                <a:gd name="T1" fmla="*/ 3759 h 292"/>
                                <a:gd name="T2" fmla="+- 0 3467 3467"/>
                                <a:gd name="T3" fmla="*/ 3467 h 292"/>
                              </a:gdLst>
                              <a:ahLst/>
                              <a:cxnLst>
                                <a:cxn ang="0">
                                  <a:pos x="0" y="T1"/>
                                </a:cxn>
                                <a:cxn ang="0">
                                  <a:pos x="0" y="T3"/>
                                </a:cxn>
                              </a:cxnLst>
                              <a:rect l="0" t="0" r="r" b="b"/>
                              <a:pathLst>
                                <a:path h="292">
                                  <a:moveTo>
                                    <a:pt x="0" y="292"/>
                                  </a:moveTo>
                                  <a:lnTo>
                                    <a:pt x="0" y="0"/>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27"/>
                        <wpg:cNvGrpSpPr>
                          <a:grpSpLocks/>
                        </wpg:cNvGrpSpPr>
                        <wpg:grpSpPr bwMode="auto">
                          <a:xfrm>
                            <a:off x="1209" y="1054"/>
                            <a:ext cx="7120" cy="2"/>
                            <a:chOff x="1209" y="1054"/>
                            <a:chExt cx="7120" cy="2"/>
                          </a:xfrm>
                        </wpg:grpSpPr>
                        <wps:wsp>
                          <wps:cNvPr id="571" name="Freeform 28"/>
                          <wps:cNvSpPr>
                            <a:spLocks/>
                          </wps:cNvSpPr>
                          <wps:spPr bwMode="auto">
                            <a:xfrm>
                              <a:off x="1209" y="1054"/>
                              <a:ext cx="7120" cy="2"/>
                            </a:xfrm>
                            <a:custGeom>
                              <a:avLst/>
                              <a:gdLst>
                                <a:gd name="T0" fmla="+- 0 1209 1209"/>
                                <a:gd name="T1" fmla="*/ T0 w 7120"/>
                                <a:gd name="T2" fmla="+- 0 8329 1209"/>
                                <a:gd name="T3" fmla="*/ T2 w 7120"/>
                              </a:gdLst>
                              <a:ahLst/>
                              <a:cxnLst>
                                <a:cxn ang="0">
                                  <a:pos x="T1" y="0"/>
                                </a:cxn>
                                <a:cxn ang="0">
                                  <a:pos x="T3" y="0"/>
                                </a:cxn>
                              </a:cxnLst>
                              <a:rect l="0" t="0" r="r" b="b"/>
                              <a:pathLst>
                                <a:path w="7120">
                                  <a:moveTo>
                                    <a:pt x="0" y="0"/>
                                  </a:moveTo>
                                  <a:lnTo>
                                    <a:pt x="7120" y="0"/>
                                  </a:lnTo>
                                </a:path>
                              </a:pathLst>
                            </a:custGeom>
                            <a:noFill/>
                            <a:ln w="124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54.5pt;margin-top:2.4pt;width:363.8pt;height:273.95pt;z-index:-251532288;mso-position-horizontal-relative:page" coordorigin="1090,810" coordsize="7276,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">
                <v:group id="Group 233" o:spid="_x0000_s1027" style="position:absolute;left:1100;top:4351;width:7257;height:1203" coordorigin="1100,4351" coordsize="7257,1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234" o:spid="_x0000_s1028" style="position:absolute;left:1100;top:4351;width:7257;height:1203;visibility:visible;mso-wrap-style:square;v-text-anchor:top" coordsize="7257,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hisUA&#10;AADcAAAADwAAAGRycy9kb3ducmV2LnhtbESPQWvCQBSE7wX/w/IEb3Wj0tCkriKBUk+FxoDXZ/aZ&#10;hGbfxt1V0/76bqHQ4zAz3zDr7Wh6cSPnO8sKFvMEBHFtdceNgurw+vgMwgdkjb1lUvBFHrabycMa&#10;c23v/EG3MjQiQtjnqKANYcil9HVLBv3cDsTRO1tnMETpGqkd3iPc9HKZJKk02HFcaHGgoqX6s7wa&#10;BcdTs6PvC8pD5t6L6nxdXYrsTanZdNy9gAg0hv/wX3uvFazSJ/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eGKxQAAANwAAAAPAAAAAAAAAAAAAAAAAJgCAABkcnMv&#10;ZG93bnJldi54bWxQSwUGAAAAAAQABAD1AAAAigMAAAAA&#10;" path="m,l7257,r,1203l,1203,,e" fillcolor="#dcf2fd" stroked="f">
                    <v:path arrowok="t" o:connecttype="custom" o:connectlocs="0,4351;7257,4351;7257,5554;0,5554;0,4351" o:connectangles="0,0,0,0,0"/>
                  </v:shape>
                </v:group>
                <v:group id="Group 231" o:spid="_x0000_s1029" style="position:absolute;left:1100;top:3316;width:7257;height:1059" coordorigin="1100,3316" coordsize="7257,1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232" o:spid="_x0000_s1030" style="position:absolute;left:1100;top:3316;width:7257;height:1059;visibility:visible;mso-wrap-style:square;v-text-anchor:top" coordsize="7257,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y/oMYA&#10;AADcAAAADwAAAGRycy9kb3ducmV2LnhtbESPzWrDMBCE74W+g9hCb42ctFaCEyWU0kJya34OyW2x&#10;1paJtTKWmrhvXwUKOQ4z8w2zWA2uFRfqQ+NZw3iUgSAuvWm41nDYf73MQISIbLD1TBp+KcBq+fiw&#10;wML4K2/psou1SBAOBWqwMXaFlKG05DCMfEecvMr3DmOSfS1Nj9cEd62cZJmSDhtOCxY7+rBUnnc/&#10;TsNZHdT3ZGbXVadOeZW/ZZtj/qn189PwPgcRaYj38H97bTS8qinczq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y/oMYAAADcAAAADwAAAAAAAAAAAAAAAACYAgAAZHJz&#10;L2Rvd25yZXYueG1sUEsFBgAAAAAEAAQA9QAAAIsDAAAAAA==&#10;" path="m,l7257,r,1059l,1059,,e" fillcolor="#a5dff9" stroked="f">
                    <v:path arrowok="t" o:connecttype="custom" o:connectlocs="0,3316;7257,3316;7257,4375;0,4375;0,3316" o:connectangles="0,0,0,0,0"/>
                  </v:shape>
                </v:group>
                <v:group id="Group 229" o:spid="_x0000_s1031" style="position:absolute;left:1100;top:5537;width:7257;height:743" coordorigin="1100,5537" coordsize="7257,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230" o:spid="_x0000_s1032" style="position:absolute;left:1100;top:5537;width:7257;height:743;visibility:visible;mso-wrap-style:square;v-text-anchor:top" coordsize="7257,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9X8MUA&#10;AADcAAAADwAAAGRycy9kb3ducmV2LnhtbESP3WrCQBSE74W+w3IKvdONFcREV5FCqUVBtP5dHrLH&#10;JDR7NmS3SXx7VxB6OczMN8xs0ZlSNFS7wrKC4SACQZxaXXCm4PDz2Z+AcB5ZY2mZFNzIwWL+0pth&#10;om3LO2r2PhMBwi5BBbn3VSKlS3My6Aa2Ig7e1dYGfZB1JnWNbYCbUr5H0VgaLDgs5FjRR07p7/7P&#10;KPiOj4f2dI4uuhmtN3b71a4kZUq9vXbLKQhPnf8PP9srrWA0ju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fwxQAAANwAAAAPAAAAAAAAAAAAAAAAAJgCAABkcnMv&#10;ZG93bnJldi54bWxQSwUGAAAAAAQABAD1AAAAigMAAAAA&#10;" path="m,l7257,r,743l,743,,e" fillcolor="#a5dff9" stroked="f">
                    <v:path arrowok="t" o:connecttype="custom" o:connectlocs="0,5537;7257,5537;7257,6280;0,6280;0,5537" o:connectangles="0,0,0,0,0"/>
                  </v:shape>
                </v:group>
                <v:group id="Group 227" o:spid="_x0000_s1033" style="position:absolute;left:4014;top:3481;width:700;height:388" coordorigin="4014,3481" coordsize="70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228" o:spid="_x0000_s1034" style="position:absolute;left:4014;top:3481;width:700;height:388;visibility:visible;mso-wrap-style:square;v-text-anchor:top" coordsize="700,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JaMUA&#10;AADcAAAADwAAAGRycy9kb3ducmV2LnhtbESPQWvCQBSE70L/w/IKXqTuxqKV1FXaglB60rT0/Mg+&#10;k5js2zS7mvjv3YLgcZiZb5jVZrCNOFPnK8cakqkCQZw7U3Gh4ed7+7QE4QOywcYxabiQh836YbTC&#10;1Lie93TOQiEihH2KGsoQ2lRKn5dk0U9dSxy9g+sshii7QpoO+wi3jZwptZAWK44LJbb0UVJeZyer&#10;4W85d5U6qPff+quehN4c82R31Hr8OLy9ggg0hHv41v40Gp5fEvg/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YloxQAAANwAAAAPAAAAAAAAAAAAAAAAAJgCAABkcnMv&#10;ZG93bnJldi54bWxQSwUGAAAAAAQABAD1AAAAigMAAAAA&#10;" path="m,l700,r,388l,388,,e" stroked="f">
                    <v:path arrowok="t" o:connecttype="custom" o:connectlocs="0,3481;700,3481;700,3869;0,3869;0,3481" o:connectangles="0,0,0,0,0"/>
                  </v:shape>
                </v:group>
                <v:group id="Group 225" o:spid="_x0000_s1035" style="position:absolute;left:1100;top:2036;width:7257;height:1297" coordorigin="1100,2036" coordsize="7257,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226" o:spid="_x0000_s1036" style="position:absolute;left:1100;top:2036;width:7257;height:1297;visibility:visible;mso-wrap-style:square;v-text-anchor:top" coordsize="7257,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QhMYA&#10;AADcAAAADwAAAGRycy9kb3ducmV2LnhtbESPQWvCQBSE7wX/w/IKvTWbKtQSs4oIglIoNJY2x0f2&#10;mUSzb0N2NUl/fbcgeBxm5hsmXQ2mEVfqXG1ZwUsUgyAurK65VPB12D6/gXAeWWNjmRSM5GC1nDyk&#10;mGjb8yddM1+KAGGXoILK+zaR0hUVGXSRbYmDd7SdQR9kV0rdYR/gppHTOH6VBmsOCxW2tKmoOGcX&#10;o6A9fJzH7+xneM/zPW9MfdoX21+lnh6H9QKEp8Hfw7f2TiuYzWf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SQhMYAAADcAAAADwAAAAAAAAAAAAAAAACYAgAAZHJz&#10;L2Rvd25yZXYueG1sUEsFBgAAAAAEAAQA9QAAAIsDAAAAAA==&#10;" path="m,l7257,r,1298l,1298,,xe" fillcolor="#dcf2fd" stroked="f">
                    <v:path arrowok="t" o:connecttype="custom" o:connectlocs="0,2036;7257,2036;7257,3334;0,3334;0,2036" o:connectangles="0,0,0,0,0"/>
                  </v:shape>
                </v:group>
                <v:group id="Group 223" o:spid="_x0000_s1037" style="position:absolute;left:1100;top:820;width:7257;height:1217" coordorigin="1100,820" coordsize="7257,1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224" o:spid="_x0000_s1038" style="position:absolute;left:1100;top:820;width:7257;height:1217;visibility:visible;mso-wrap-style:square;v-text-anchor:top" coordsize="7257,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ErWMQA&#10;AADcAAAADwAAAGRycy9kb3ducmV2LnhtbESPT0sDMRTE74LfITzBm82q2JZt01JLFS8t9P/1uXlu&#10;FjcvSxK38dsbQfA4zMxvmOk82Vb05EPjWMH9oABBXDndcK3gsH+5G4MIEVlj65gUfFOA+ez6aoql&#10;dhfeUr+LtcgQDiUqMDF2pZShMmQxDFxHnL0P5y3GLH0ttcdLhttWPhTFUFpsOC8Y7GhpqPrcfVkF&#10;r8/rlbGn/rBZJPt+HJ6Tp3VS6vYmLSYgIqX4H/5rv2kFj6Mn+D2Tj4C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hK1jEAAAA3AAAAA8AAAAAAAAAAAAAAAAAmAIAAGRycy9k&#10;b3ducmV2LnhtbFBLBQYAAAAABAAEAPUAAACJAwAAAAA=&#10;" path="m,l7257,r,1216l,1216,,e" fillcolor="#a5dff9" stroked="f">
                    <v:path arrowok="t" o:connecttype="custom" o:connectlocs="0,820;7257,820;7257,2036;0,2036;0,820" o:connectangles="0,0,0,0,0"/>
                  </v:shape>
                </v:group>
                <v:group id="Group 221" o:spid="_x0000_s1039" style="position:absolute;left:4414;top:1132;width:1116;height:259" coordorigin="4414,1132" coordsize="111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222" o:spid="_x0000_s1040" style="position:absolute;left:4414;top:1132;width:1116;height:259;visibility:visible;mso-wrap-style:square;v-text-anchor:top" coordsize="111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nV6MYA&#10;AADcAAAADwAAAGRycy9kb3ducmV2LnhtbESPzW7CMBCE70i8g7VIvYFTKhFIMQhaQXvohT9xXdnb&#10;JE28jmIH0revK1XqcTQz32iW697W4katLx0reJwkIIi1MyXnCs6n3XgOwgdkg7VjUvBNHtar4WCJ&#10;mXF3PtDtGHIRIewzVFCE0GRSel2QRT9xDXH0Pl1rMUTZ5tK0eI9wW8tpksykxZLjQoENvRSkq2Nn&#10;FezSt9cPOlTV/qvb6E5vF5drEpR6GPWbZxCB+vAf/mu/GwVPaQ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nV6MYAAADcAAAADwAAAAAAAAAAAAAAAACYAgAAZHJz&#10;L2Rvd25yZXYueG1sUEsFBgAAAAAEAAQA9QAAAIsDAAAAAA==&#10;" path="m,l1116,r,259l,259,,e" stroked="f">
                    <v:path arrowok="t" o:connecttype="custom" o:connectlocs="0,1132;1116,1132;1116,1391;0,1391;0,1132" o:connectangles="0,0,0,0,0"/>
                  </v:shape>
                </v:group>
                <v:group id="Group 219" o:spid="_x0000_s1041" style="position:absolute;left:4404;top:1122;width:1141;height:279" coordorigin="4404,1122" coordsize="1141,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220" o:spid="_x0000_s1042" style="position:absolute;left:4404;top:1122;width:1141;height:279;visibility:visible;mso-wrap-style:square;v-text-anchor:top" coordsize="114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yxcQA&#10;AADcAAAADwAAAGRycy9kb3ducmV2LnhtbESPQYvCMBSE74L/ITxhb5quC9qtRimCIIIHdWHZ27N5&#10;tnWbl9JErf56Iwgeh5n5hpnOW1OJCzWutKzgcxCBIM6sLjlX8LNf9mMQziNrrCyTghs5mM+6nSkm&#10;2l55S5edz0WAsEtQQeF9nUjpsoIMuoGtiYN3tI1BH2STS93gNcBNJYdRNJIGSw4LBda0KCj7352N&#10;gm2bHc4b+bser+8xnv5iTuuUlfrotekEhKfWv8Ov9kor+Bp/w/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hcsXEAAAA3AAAAA8AAAAAAAAAAAAAAAAAmAIAAGRycy9k&#10;b3ducmV2LnhtbFBLBQYAAAAABAAEAPUAAACJAwAAAAA=&#10;" path="m1141,279l,279,,,1141,r,19l20,19r,240l1141,259r,20e" fillcolor="#231f20" stroked="f">
                    <v:path arrowok="t" o:connecttype="custom" o:connectlocs="1141,1401;0,1401;0,1122;1141,1122;1141,1141;20,1141;20,1381;1141,1381;1141,1401" o:connectangles="0,0,0,0,0,0,0,0,0"/>
                  </v:shape>
                </v:group>
                <v:group id="Group 217" o:spid="_x0000_s1043" style="position:absolute;left:5535;top:1141;width:2;height:240" coordorigin="5535,1141" coordsize="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218" o:spid="_x0000_s1044" style="position:absolute;left:5535;top:1141;width:2;height:240;visibility:visible;mso-wrap-style:square;v-text-anchor:top" coordsize="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mUMYA&#10;AADcAAAADwAAAGRycy9kb3ducmV2LnhtbESPQWvCQBSE74X+h+UVvNVNKhSNrlKEgqK1NS2It0f2&#10;mYRm38bdVeO/d4VCj8PMfMNMZp1pxJmcry0rSPsJCOLC6ppLBT/f789DED4ga2wsk4IreZhNHx8m&#10;mGl74S2d81CKCGGfoYIqhDaT0hcVGfR92xJH72CdwRClK6V2eIlw08iXJHmVBmuOCxW2NK+o+M1P&#10;RoE5stsv08X6YxQ+N6vd5vp1mudK9Z66tzGIQF34D/+1F1rBYJj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mmUMYAAADcAAAADwAAAAAAAAAAAAAAAACYAgAAZHJz&#10;L2Rvd25yZXYueG1sUEsFBgAAAAAEAAQA9QAAAIsDAAAAAA==&#10;" path="m,240l,e" filled="f" strokecolor="#231f20" strokeweight=".38842mm">
                    <v:path arrowok="t" o:connecttype="custom" o:connectlocs="0,1381;0,1141" o:connectangles="0,0"/>
                  </v:shape>
                </v:group>
                <v:group id="Group 215" o:spid="_x0000_s1045" style="position:absolute;left:1461;top:2265;width:1505;height:414" coordorigin="1461,2265" coordsize="1505,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216" o:spid="_x0000_s1046" style="position:absolute;left:1461;top:2265;width:1505;height:414;visibility:visible;mso-wrap-style:square;v-text-anchor:top" coordsize="1505,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F2MUA&#10;AADcAAAADwAAAGRycy9kb3ducmV2LnhtbESPQWvCQBSE7wX/w/IK3urG2opEV7FCIPbW6MXbM/ua&#10;pM2+jdk1SfvruwXB4zAz3zCrzWBq0VHrKssKppMIBHFudcWFguMheVqAcB5ZY22ZFPyQg8169LDC&#10;WNueP6jLfCEChF2MCkrvm1hKl5dk0E1sQxy8T9sa9EG2hdQt9gFuavkcRXNpsOKwUGJDu5Ly7+xq&#10;FJw1p/uX3+Qyf3ufuv7C9Pp1IqXGj8N2CcLT4O/hWzvVCmaLGf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sXYxQAAANwAAAAPAAAAAAAAAAAAAAAAAJgCAABkcnMv&#10;ZG93bnJldi54bWxQSwUGAAAAAAQABAD1AAAAigMAAAAA&#10;" path="m1505,415l,415,,,1505,r,20l20,20r,375l1505,395r,20e" fillcolor="#231f20" stroked="f">
                    <v:path arrowok="t" o:connecttype="custom" o:connectlocs="1505,2680;0,2680;0,2265;1505,2265;1505,2285;20,2285;20,2660;1505,2660;1505,2680" o:connectangles="0,0,0,0,0,0,0,0,0"/>
                  </v:shape>
                </v:group>
                <v:group id="Group 213" o:spid="_x0000_s1047" style="position:absolute;left:6789;top:2098;width:1451;height:370" coordorigin="6789,2098" coordsize="1451,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214" o:spid="_x0000_s1048" style="position:absolute;left:6789;top:2098;width:1451;height:370;visibility:visible;mso-wrap-style:square;v-text-anchor:top" coordsize="145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O8sQA&#10;AADcAAAADwAAAGRycy9kb3ducmV2LnhtbESP0WoCMRRE34X+Q7gF3zRri6Jbo4hg8UGkrn7AZXPd&#10;bN3cLEmq698bQejjMDNnmPmys424kg+1YwWjYQaCuHS65krB6bgZTEGEiKyxcUwK7hRguXjrzTHX&#10;7sYHuhaxEgnCIUcFJsY2lzKUhiyGoWuJk3d23mJM0ldSe7wluG3kR5ZNpMWa04LBltaGykvxZxWs&#10;9v7b/J5m6/Ns0ha7n6Ygt7kr1X/vVl8gInXxP/xqb7WCz+kYnmfS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ojvLEAAAA3AAAAA8AAAAAAAAAAAAAAAAAmAIAAGRycy9k&#10;b3ducmV2LnhtbFBLBQYAAAAABAAEAPUAAACJAwAAAAA=&#10;" path="m,l1450,r,369l,369,,e" stroked="f">
                    <v:path arrowok="t" o:connecttype="custom" o:connectlocs="0,2098;1450,2098;1450,2467;0,2467;0,2098" o:connectangles="0,0,0,0,0"/>
                  </v:shape>
                </v:group>
                <v:group id="Group 211" o:spid="_x0000_s1049" style="position:absolute;left:6779;top:2088;width:1476;height:389" coordorigin="6779,2088" coordsize="1476,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212" o:spid="_x0000_s1050" style="position:absolute;left:6779;top:2088;width:1476;height:389;visibility:visible;mso-wrap-style:square;v-text-anchor:top" coordsize="147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TiMQA&#10;AADcAAAADwAAAGRycy9kb3ducmV2LnhtbESPQWvCQBSE70L/w/IKvZmNDaiNrlICLXqpNO3B4yP7&#10;moRm3ya7W43/visIHof5ZoZZb0fTiRM531pWMEtSEMSV1S3XCr6/3qZLED4ga+wsk4ILedhuHiZr&#10;zLU98yedylCLWMI+RwVNCH0upa8aMugT2xNH78c6gyFKV0vt8BzLTSef03QuDbYcFxrsqWio+i3/&#10;jIL9y/sHu1mI2KCLw3DMSqZMqafH8XUFItAY7vAtvdMKsuUCr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0E4jEAAAA3AAAAA8AAAAAAAAAAAAAAAAAmAIAAGRycy9k&#10;b3ducmV2LnhtbFBLBQYAAAAABAAEAPUAAACJAwAAAAA=&#10;" path="m1475,389l,389,,,1475,r,20l20,20r,350l1475,370r,19e" fillcolor="#231f20" stroked="f">
                    <v:path arrowok="t" o:connecttype="custom" o:connectlocs="1475,2477;0,2477;0,2088;1475,2088;1475,2108;20,2108;20,2458;1475,2458;1475,2477" o:connectangles="0,0,0,0,0,0,0,0,0"/>
                  </v:shape>
                </v:group>
                <v:group id="Group 209" o:spid="_x0000_s1051" style="position:absolute;left:8244;top:2108;width:2;height:350" coordorigin="8244,2108" coordsize="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210" o:spid="_x0000_s1052" style="position:absolute;left:8244;top:2108;width:2;height:350;visibility:visible;mso-wrap-style:square;v-text-anchor:top" coordsize="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5sYA&#10;AADcAAAADwAAAGRycy9kb3ducmV2LnhtbESPT2vCQBTE7wW/w/IEL0U3VdAYXcVaCu2l4B/Q4zP7&#10;TILZtyG7xtRP7xaEHoeZ+Q0zX7amFA3VrrCs4G0QgSBOrS44U7DfffZjEM4jaywtk4JfcrBcdF7m&#10;mGh74w01W5+JAGGXoILc+yqR0qU5GXQDWxEH72xrgz7IOpO6xluAm1IOo2gsDRYcFnKsaJ1Tetle&#10;jQJuhu+H0SS+n1luvvcn+/NxPb4q1eu2qxkIT63/Dz/bX1rBKJ7C3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m5sYAAADcAAAADwAAAAAAAAAAAAAAAACYAgAAZHJz&#10;L2Rvd25yZXYueG1sUEsFBgAAAAAEAAQA9QAAAIsDAAAAAA==&#10;" path="m,350l,e" filled="f" strokecolor="#231f20" strokeweight=".38842mm">
                    <v:path arrowok="t" o:connecttype="custom" o:connectlocs="0,2458;0,2108" o:connectangles="0,0"/>
                  </v:shape>
                </v:group>
                <v:group id="Group 207" o:spid="_x0000_s1053" style="position:absolute;left:2616;top:3487;width:1305;height:680" coordorigin="2616,3487" coordsize="1305,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208" o:spid="_x0000_s1054" style="position:absolute;left:2616;top:3487;width:1305;height:680;visibility:visible;mso-wrap-style:square;v-text-anchor:top" coordsize="1305,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ewbcUA&#10;AADcAAAADwAAAGRycy9kb3ducmV2LnhtbESPwWrDMBBE74X8g9hAb42cFELrWg6hpeBDD3FSfF6s&#10;jWxqrYykJG6/PgoEehxm5g1TbCY7iDP50DtWsFxkIIhbp3s2Cr4Pn08vIEJE1jg4JgW/FGBTzh4K&#10;zLW7cE3nfTQiQTjkqKCLccylDG1HFsPCjcTJOzpvMSbpjdQeLwluB7nKsrW02HNa6HCk947an/3J&#10;Ktj+VdLXx8Z9mcrsdvyxak51o9TjfNq+gYg0xf/wvV1pBc+vS7idSUdAl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7BtxQAAANwAAAAPAAAAAAAAAAAAAAAAAJgCAABkcnMv&#10;ZG93bnJldi54bWxQSwUGAAAAAAQABAD1AAAAigMAAAAA&#10;" path="m,l1305,r,680l,680,,e" stroked="f">
                    <v:path arrowok="t" o:connecttype="custom" o:connectlocs="0,3487;1305,3487;1305,4167;0,4167;0,3487" o:connectangles="0,0,0,0,0"/>
                  </v:shape>
                </v:group>
                <v:group id="Group 205" o:spid="_x0000_s1055" style="position:absolute;left:2616;top:3477;width:1317;height:700" coordorigin="2616,3477" coordsize="1317,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206" o:spid="_x0000_s1056" style="position:absolute;left:2616;top:3477;width:1317;height:700;visibility:visible;mso-wrap-style:square;v-text-anchor:top" coordsize="131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OrsYA&#10;AADcAAAADwAAAGRycy9kb3ducmV2LnhtbESP0WrCQBRE3wv+w3KFvojZWFvRmFXENlALPhj9gEv2&#10;mgSzd0N2NenfdwuFPg4zc4ZJt4NpxIM6V1tWMItiEMSF1TWXCi7nbLoE4TyyxsYyKfgmB9vN6CnF&#10;RNueT/TIfSkChF2CCirv20RKV1Rk0EW2JQ7e1XYGfZBdKXWHfYCbRr7E8UIarDksVNjSvqLilt+N&#10;gt1bXPfZaza5u4/JKft6Xy0P+VGp5/GwW4PwNPj/8F/7UyuYr+b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XOrsYAAADcAAAADwAAAAAAAAAAAAAAAACYAgAAZHJz&#10;L2Rvd25yZXYueG1sUEsFBgAAAAAEAAQA9QAAAIsDAAAAAA==&#10;" path="m1317,700l,700,,,1317,r,19l20,19r,661l1317,680r,20e" fillcolor="#231f20" stroked="f">
                    <v:path arrowok="t" o:connecttype="custom" o:connectlocs="1317,4177;0,4177;0,3477;1317,3477;1317,3496;20,3496;20,4157;1317,4157;1317,4177" o:connectangles="0,0,0,0,0,0,0,0,0"/>
                  </v:shape>
                </v:group>
                <v:group id="Group 203" o:spid="_x0000_s1057" style="position:absolute;left:3923;top:3496;width:2;height:660" coordorigin="3923,3496" coordsize="2,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204" o:spid="_x0000_s1058" style="position:absolute;left:3923;top:3496;width:2;height:660;visibility:visible;mso-wrap-style:square;v-text-anchor:top" coordsize="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ucEA&#10;AADcAAAADwAAAGRycy9kb3ducmV2LnhtbESP0YrCMBRE3wX/IVzBN02rKFqNIsKCD4rY+gGX5toW&#10;m5vSZGv37zeC4OMwM2eY7b43teiodZVlBfE0AkGcW11xoeCe/UxWIJxH1lhbJgV/5GC/Gw62mGj7&#10;4ht1qS9EgLBLUEHpfZNI6fKSDLqpbYiD97CtQR9kW0jd4ivATS1nUbSUBisOCyU2dCwpf6a/RsEx&#10;dZxdq2Le2fP5stIyrnUUKzUe9YcNCE+9/4Y/7ZNWMF8v4H0mHA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wlbnBAAAA3AAAAA8AAAAAAAAAAAAAAAAAmAIAAGRycy9kb3du&#10;cmV2LnhtbFBLBQYAAAAABAAEAPUAAACGAwAAAAA=&#10;" path="m,661l,e" filled="f" strokecolor="#231f20" strokeweight=".38842mm">
                    <v:path arrowok="t" o:connecttype="custom" o:connectlocs="0,4157;0,3496" o:connectangles="0,0"/>
                  </v:shape>
                </v:group>
                <v:group id="Group 201" o:spid="_x0000_s1059" style="position:absolute;left:1436;top:2797;width:1551;height:414" coordorigin="1436,2797" coordsize="1551,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202" o:spid="_x0000_s1060" style="position:absolute;left:1436;top:2797;width:1551;height:414;visibility:visible;mso-wrap-style:square;v-text-anchor:top" coordsize="155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ZS8YA&#10;AADcAAAADwAAAGRycy9kb3ducmV2LnhtbESPQWvCQBSE74X+h+UVvDUbK7QaXUUKFYUe1FbB2zP7&#10;zIZm38bsGtN/3xUKHoeZ+YaZzDpbiZYaXzpW0E9SEMS50yUXCr6/Pp6HIHxA1lg5JgW/5GE2fXyY&#10;YKbdlTfUbkMhIoR9hgpMCHUmpc8NWfSJq4mjd3KNxRBlU0jd4DXCbSVf0vRVWiw5Lhis6d1Q/rO9&#10;WAWLozlc9mU3OrDffa7Yzs/rtlCq99TNxyACdeEe/m8vtYLB6A1uZ+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OZS8YAAADcAAAADwAAAAAAAAAAAAAAAACYAgAAZHJz&#10;L2Rvd25yZXYueG1sUEsFBgAAAAAEAAQA9QAAAIsDAAAAAA==&#10;" path="m1550,414l,414,,,1550,r,19l20,19r,375l1550,394r,20e" fillcolor="#231f20" stroked="f">
                    <v:path arrowok="t" o:connecttype="custom" o:connectlocs="1550,3211;0,3211;0,2797;1550,2797;1550,2816;20,2816;20,3191;1550,3191;1550,3211" o:connectangles="0,0,0,0,0,0,0,0,0"/>
                  </v:shape>
                </v:group>
                <v:group id="Group 199" o:spid="_x0000_s1061" style="position:absolute;left:6302;top:3444;width:1045;height:323" coordorigin="6302,3444" coordsize="1045,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200" o:spid="_x0000_s1062" style="position:absolute;left:6302;top:3444;width:1045;height:323;visibility:visible;mso-wrap-style:square;v-text-anchor:top" coordsize="1045,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JRcUA&#10;AADcAAAADwAAAGRycy9kb3ducmV2LnhtbESPQWvCQBSE74L/YXmF3upGi6lGV5GCVU/F6MXbI/vM&#10;hmbfhuxWU3+9KxQ8DjPzDTNfdrYWF2p95VjBcJCAIC6crrhUcDys3yYgfEDWWDsmBX/kYbno9+aY&#10;aXflPV3yUIoIYZ+hAhNCk0npC0MW/cA1xNE7u9ZiiLItpW7xGuG2lqMkSaXFiuOCwYY+DRU/+a9V&#10;sB6ZYrg7pfvKp/nt++tjnHabsVKvL91qBiJQF57h//ZWK3ifTu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clFxQAAANwAAAAPAAAAAAAAAAAAAAAAAJgCAABkcnMv&#10;ZG93bnJldi54bWxQSwUGAAAAAAQABAD1AAAAigMAAAAA&#10;" path="m,l1046,r,323l,323,,e" stroked="f">
                    <v:path arrowok="t" o:connecttype="custom" o:connectlocs="0,3444;1046,3444;1046,3767;0,3767;0,3444" o:connectangles="0,0,0,0,0"/>
                  </v:shape>
                </v:group>
                <v:group id="Group 197" o:spid="_x0000_s1063" style="position:absolute;left:7396;top:3430;width:844;height:323" coordorigin="7396,3430" coordsize="844,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198" o:spid="_x0000_s1064" style="position:absolute;left:7396;top:3430;width:844;height:323;visibility:visible;mso-wrap-style:square;v-text-anchor:top" coordsize="84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7sMA&#10;AADcAAAADwAAAGRycy9kb3ducmV2LnhtbESPQWsCMRSE70L/Q3gFL1KziohujVJFoXpzLT2/bl43&#10;i5uXJUl1+++NIHgcZuYbZrHqbCMu5EPtWMFomIEgLp2uuVLwddq9zUCEiKyxcUwK/inAavnSW2Cu&#10;3ZWPdCliJRKEQ44KTIxtLmUoDVkMQ9cSJ+/XeYsxSV9J7fGa4LaR4yybSos1pwWDLW0Mlefizyo4&#10;rzd+MC/RHOa0/vk+hMF2r0mp/mv38Q4iUhef4Uf7UyuYZCO4n0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AN7sMAAADcAAAADwAAAAAAAAAAAAAAAACYAgAAZHJzL2Rv&#10;d25yZXYueG1sUEsFBgAAAAAEAAQA9QAAAIgDAAAAAA==&#10;" path="m,l843,r,323l,323,,e" stroked="f">
                    <v:path arrowok="t" o:connecttype="custom" o:connectlocs="0,3430;843,3430;843,3753;0,3753;0,3430" o:connectangles="0,0,0,0,0"/>
                  </v:shape>
                </v:group>
                <v:group id="Group 195" o:spid="_x0000_s1065" style="position:absolute;left:2549;top:5737;width:1858;height:442" coordorigin="2549,5737" coordsize="185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196" o:spid="_x0000_s1066" style="position:absolute;left:2549;top:5737;width:1858;height:442;visibility:visible;mso-wrap-style:square;v-text-anchor:top" coordsize="185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6i8UA&#10;AADcAAAADwAAAGRycy9kb3ducmV2LnhtbESPW2vCQBSE3wv+h+UIvumm3omuUsVCseBd8PGQPU1C&#10;s2djdqvx33cLQh+HmfmGmc5rU4gbVS63rOC1E4EgTqzOOVVwOr63xyCcR9ZYWCYFD3IwnzVephhr&#10;e+c93Q4+FQHCLkYFmfdlLKVLMjLoOrYkDt6XrQz6IKtU6grvAW4K2Y2ioTSYc1jIsKRlRsn34cco&#10;SPTVbPrr/Xa38KfzYLj6HF/MSKlWs36bgPBU+//ws/2hFfSjHvydC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rqLxQAAANwAAAAPAAAAAAAAAAAAAAAAAJgCAABkcnMv&#10;ZG93bnJldi54bWxQSwUGAAAAAAQABAD1AAAAigMAAAAA&#10;" path="m,l1859,r,442l,442,,e" stroked="f">
                    <v:path arrowok="t" o:connecttype="custom" o:connectlocs="0,5737;1859,5737;1859,6179;0,6179;0,5737" o:connectangles="0,0,0,0,0"/>
                  </v:shape>
                </v:group>
                <v:group id="Group 193" o:spid="_x0000_s1067" style="position:absolute;left:2539;top:5727;width:1878;height:462" coordorigin="2539,5727" coordsize="1878,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194" o:spid="_x0000_s1068" style="position:absolute;left:2539;top:5727;width:1878;height:462;visibility:visible;mso-wrap-style:square;v-text-anchor:top" coordsize="187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hw8QA&#10;AADcAAAADwAAAGRycy9kb3ducmV2LnhtbESP3WoCMRSE7wu+QziCdzWxqJXVKCK0elXqzwMcN8fs&#10;6uZk2aTu2qdvCoVeDjPzDbNYda4Sd2pC6VnDaKhAEOfelGw1nI5vzzMQISIbrDyThgcFWC17TwvM&#10;jG95T/dDtCJBOGSooYixzqQMeUEOw9DXxMm7+MZhTLKx0jTYJrir5ItSU+mw5LRQYE2bgvLb4ctp&#10;mMrd+nP//Xj11cfWvqurPaNvtR70u/UcRKQu/of/2jujYawm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yYcPEAAAA3AAAAA8AAAAAAAAAAAAAAAAAmAIAAGRycy9k&#10;b3ducmV2LnhtbFBLBQYAAAAABAAEAPUAAACJAwAAAAA=&#10;" path="m1879,462l,462,,,1879,r,20l20,20r,422l1879,442r,20e" fillcolor="#231f20" stroked="f">
                    <v:path arrowok="t" o:connecttype="custom" o:connectlocs="1879,6189;0,6189;0,5727;1879,5727;1879,5747;20,5747;20,6169;1879,6169;1879,6189" o:connectangles="0,0,0,0,0,0,0,0,0"/>
                  </v:shape>
                </v:group>
                <v:group id="Group 191" o:spid="_x0000_s1069" style="position:absolute;left:4408;top:5747;width:2;height:423" coordorigin="4408,5747" coordsize="2,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192" o:spid="_x0000_s1070" style="position:absolute;left:4408;top:5747;width:2;height:423;visibility:visible;mso-wrap-style:square;v-text-anchor:top" coordsize="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f8YA&#10;AADcAAAADwAAAGRycy9kb3ducmV2LnhtbESP3WoCMRSE7wu+QziCd91ELWq3RqnS0vqDoO0DHDbH&#10;3aWbk2UTdevTN4LQy2FmvmGm89ZW4kyNLx1r6CcKBHHmTMm5hu+v98cJCB+QDVaOScMveZjPOg9T&#10;TI278J7Oh5CLCGGfooYihDqV0mcFWfSJq4mjd3SNxRBlk0vT4CXCbSUHSo2kxZLjQoE1LQvKfg4n&#10;q2G9GI7sddO+Pddjm63UgLYfu5PWvW77+gIiUBv+w/f2p9HwpMZwO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thf8YAAADcAAAADwAAAAAAAAAAAAAAAACYAgAAZHJz&#10;L2Rvd25yZXYueG1sUEsFBgAAAAAEAAQA9QAAAIsDAAAAAA==&#10;" path="m,422l,e" filled="f" strokecolor="#231f20" strokeweight="1.1pt">
                    <v:path arrowok="t" o:connecttype="custom" o:connectlocs="0,6169;0,5747" o:connectangles="0,0"/>
                  </v:shape>
                </v:group>
                <v:group id="Group 189" o:spid="_x0000_s1071" style="position:absolute;left:1373;top:3601;width:1097;height:554" coordorigin="1373,3601" coordsize="1097,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190" o:spid="_x0000_s1072" style="position:absolute;left:1373;top:3601;width:1097;height:554;visibility:visible;mso-wrap-style:square;v-text-anchor:top" coordsize="1097,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xiMMA&#10;AADcAAAADwAAAGRycy9kb3ducmV2LnhtbESP0YrCMBRE3wX/IVzBN01dXHG7RhFBEVYfjH7Apbnb&#10;lm1uuk2q9e+NIPg4zMwZZrHqbCWu1PjSsYLJOAFBnDlTcq7gct6O5iB8QDZYOSYFd/KwWvZ7C0yN&#10;u/GJrjrkIkLYp6igCKFOpfRZQRb92NXE0ft1jcUQZZNL0+Atwm0lP5JkJi2WHBcKrGlTUPanW6vg&#10;aFtdHT8PQe/+fasP9YbuP1qp4aBbf4MI1IV3+NXeGwXT5Au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GxiMMAAADcAAAADwAAAAAAAAAAAAAAAACYAgAAZHJzL2Rv&#10;d25yZXYueG1sUEsFBgAAAAAEAAQA9QAAAIgDAAAAAA==&#10;" path="m,l1097,r,554l,554,,e" stroked="f">
                    <v:path arrowok="t" o:connecttype="custom" o:connectlocs="0,3601;1097,3601;1097,4155;0,4155;0,3601" o:connectangles="0,0,0,0,0"/>
                  </v:shape>
                </v:group>
                <v:group id="Group 187" o:spid="_x0000_s1073" style="position:absolute;left:1363;top:3591;width:1127;height:574" coordorigin="1363,3591" coordsize="1127,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188" o:spid="_x0000_s1074" style="position:absolute;left:1363;top:3591;width:1127;height:574;visibility:visible;mso-wrap-style:square;v-text-anchor:top" coordsize="1127,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R9sQA&#10;AADcAAAADwAAAGRycy9kb3ducmV2LnhtbESPT2sCMRTE7wW/Q3hCbzW7rVVZjSIrYunNPxdvj81z&#10;s7h5WZJU129vCoUeh5n5DbNY9bYVN/KhcawgH2UgiCunG64VnI7btxmIEJE1to5JwYMCrJaDlwUW&#10;2t15T7dDrEWCcChQgYmxK6QMlSGLYeQ64uRdnLcYk/S11B7vCW5b+Z5lE2mx4bRgsKPSUHU9/FgF&#10;H9Pp53h7lq7cmY135QVxt/lW6nXYr+cgIvXxP/zX/tIKxnkOv2fS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BUfbEAAAA3AAAAA8AAAAAAAAAAAAAAAAAmAIAAGRycy9k&#10;b3ducmV2LnhtbFBLBQYAAAAABAAEAPUAAACJAwAAAAA=&#10;" path="m1127,574l,574,,,1127,r,20l20,20r,534l1127,554r,20e" fillcolor="#231f20" stroked="f">
                    <v:path arrowok="t" o:connecttype="custom" o:connectlocs="1127,4165;0,4165;0,3591;1127,3591;1127,3611;20,3611;20,4145;1127,4145;1127,4165" o:connectangles="0,0,0,0,0,0,0,0,0"/>
                  </v:shape>
                </v:group>
                <v:group id="Group 185" o:spid="_x0000_s1075" style="position:absolute;left:2480;top:3611;width:2;height:534" coordorigin="2480,3611" coordsize="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186" o:spid="_x0000_s1076" style="position:absolute;left:2480;top:3611;width:2;height:534;visibility:visible;mso-wrap-style:square;v-text-anchor:top" coordsize="2,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Yr8cA&#10;AADcAAAADwAAAGRycy9kb3ducmV2LnhtbESPQWvCQBSE70L/w/KEXopuYqVodJVSLS1SD4mCHh/Z&#10;ZxKafRuy2xj/fbdQ8DjMzDfMct2bWnTUusqygngcgSDOra64UHA8vI9mIJxH1lhbJgU3crBePQyW&#10;mGh75ZS6zBciQNglqKD0vkmkdHlJBt3YNsTBu9jWoA+yLaRu8RrgppaTKHqRBisOCyU29FZS/p39&#10;GAWXeL/78mn2Md9E6a3bns5P23iq1OOwf12A8NT7e/i//akVTONn+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gWK/HAAAA3AAAAA8AAAAAAAAAAAAAAAAAmAIAAGRy&#10;cy9kb3ducmV2LnhtbFBLBQYAAAAABAAEAPUAAACMAwAAAAA=&#10;" path="m,534l,e" filled="f" strokecolor="#231f20" strokeweight=".38875mm">
                    <v:path arrowok="t" o:connecttype="custom" o:connectlocs="0,4145;0,3611" o:connectangles="0,0"/>
                  </v:shape>
                </v:group>
                <v:group id="Group 183" o:spid="_x0000_s1077" style="position:absolute;left:4524;top:5730;width:1162;height:442" coordorigin="4524,5730" coordsize="116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184" o:spid="_x0000_s1078" style="position:absolute;left:4524;top:5730;width:1162;height:442;visibility:visible;mso-wrap-style:square;v-text-anchor:top" coordsize="116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GYsQA&#10;AADcAAAADwAAAGRycy9kb3ducmV2LnhtbESPT4vCMBTE78J+h/AEb5r6b5FqlK6w6F4EdcHro3k2&#10;xealNNlav71ZEDwOM/MbZrXpbCVaanzpWMF4lIAgzp0uuVDwe/4eLkD4gKyxckwKHuRhs/7orTDV&#10;7s5Hak+hEBHCPkUFJoQ6ldLnhiz6kauJo3d1jcUQZVNI3eA9wm0lJ0nyKS2WHBcM1rQ1lN9Of1bB&#10;rj4YP8mmXXt5bH/m54y+ZruDUoN+ly1BBOrCO/xq77WC2XgO/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JhmLEAAAA3AAAAA8AAAAAAAAAAAAAAAAAmAIAAGRycy9k&#10;b3ducmV2LnhtbFBLBQYAAAAABAAEAPUAAACJAwAAAAA=&#10;" path="m,l1161,r,442l,442,,e" stroked="f">
                    <v:path arrowok="t" o:connecttype="custom" o:connectlocs="0,5730;1161,5730;1161,6172;0,6172;0,5730" o:connectangles="0,0,0,0,0"/>
                  </v:shape>
                </v:group>
                <v:group id="Group 181" o:spid="_x0000_s1079" style="position:absolute;left:4514;top:5720;width:1182;height:462" coordorigin="4514,5720" coordsize="118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182" o:spid="_x0000_s1080" style="position:absolute;left:4514;top:5720;width:1182;height:462;visibility:visible;mso-wrap-style:square;v-text-anchor:top" coordsize="118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lXMMA&#10;AADcAAAADwAAAGRycy9kb3ducmV2LnhtbESPQWuDQBSE74H+h+UVeotr0pKIzSaEFMFrTCDXV/dF&#10;RfetuFu1/74bKOQ4zMw3zO4wm06MNLjGsoJVFIMgLq1uuFJwvWTLBITzyBo7y6Tglxwc9i+LHaba&#10;TnymsfCVCBB2KSqove9TKV1Zk0EX2Z44eHc7GPRBDpXUA04Bbjq5juONNNhwWKixp1NNZVv8GAVf&#10;xxvlbfvtk+T+7tomGy+6H5V6e52PnyA8zf4Z/m/nWsHHaguPM+EI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lXMMAAADcAAAADwAAAAAAAAAAAAAAAACYAgAAZHJzL2Rv&#10;d25yZXYueG1sUEsFBgAAAAAEAAQA9QAAAIgDAAAAAA==&#10;" path="m1181,462l,462,,,1181,r,20l20,20r,422l1181,442r,20e" fillcolor="#231f20" stroked="f">
                    <v:path arrowok="t" o:connecttype="custom" o:connectlocs="1181,6182;0,6182;0,5720;1181,5720;1181,5740;20,5740;20,6162;1181,6162;1181,6182" o:connectangles="0,0,0,0,0,0,0,0,0"/>
                  </v:shape>
                </v:group>
                <v:group id="Group 179" o:spid="_x0000_s1081" style="position:absolute;left:5685;top:5740;width:2;height:423" coordorigin="5685,5740" coordsize="2,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180" o:spid="_x0000_s1082" style="position:absolute;left:5685;top:5740;width:2;height:423;visibility:visible;mso-wrap-style:square;v-text-anchor:top" coordsize="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7cUA&#10;AADcAAAADwAAAGRycy9kb3ducmV2LnhtbESPQWsCMRSE74X+h/AK3mpWEWlXo9iCUnpzbYvHt5vX&#10;zeLmZZtEd/33plDocZiZb5jlerCtuJAPjWMFk3EGgrhyuuFawcdh+/gEIkRkja1jUnClAOvV/d0S&#10;c+163tOliLVIEA45KjAxdrmUoTJkMYxdR5y8b+ctxiR9LbXHPsFtK6dZNpcWG04LBjt6NVSdirNV&#10;0JUv78W5L3/0aWqOu82Xb+xnqdToYdgsQEQa4n/4r/2mFcwmz/B7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RPtxQAAANwAAAAPAAAAAAAAAAAAAAAAAJgCAABkcnMv&#10;ZG93bnJldi54bWxQSwUGAAAAAAQABAD1AAAAigMAAAAA&#10;" path="m,422l,e" filled="f" strokecolor="#231f20" strokeweight=".38842mm">
                    <v:path arrowok="t" o:connecttype="custom" o:connectlocs="0,6162;0,5740" o:connectangles="0,0"/>
                  </v:shape>
                </v:group>
                <v:group id="Group 177" o:spid="_x0000_s1083" style="position:absolute;left:5019;top:1405;width:2;height:107" coordorigin="5019,1405" coordsize="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178" o:spid="_x0000_s1084" style="position:absolute;left:5019;top:1405;width:2;height:107;visibility:visible;mso-wrap-style:square;v-text-anchor:top" coordsize="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NHsUA&#10;AADcAAAADwAAAGRycy9kb3ducmV2LnhtbESPT4vCMBTE7wt+h/CEva2prqhUo4iyqwcv/rl4ezbP&#10;tpi8lCbW+u3NwoLHYWZ+w8wWrTWiodqXjhX0ewkI4szpknMFp+PP1wSED8gajWNS8CQPi3nnY4ap&#10;dg/eU3MIuYgQ9ikqKEKoUil9VpBF33MVcfSurrYYoqxzqWt8RLg1cpAkI2mx5LhQYEWrgrLb4W4V&#10;7NvNt7ma5+731CzX2+PmMrmfx0p9dtvlFESgNrzD/+2tVjAc9OHvTDw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0s0exQAAANwAAAAPAAAAAAAAAAAAAAAAAJgCAABkcnMv&#10;ZG93bnJldi54bWxQSwUGAAAAAAQABAD1AAAAigMAAAAA&#10;" path="m,107l,e" filled="f" strokecolor="#231f20" strokeweight="1.1pt">
                    <v:path arrowok="t" o:connecttype="custom" o:connectlocs="0,1512;0,1405" o:connectangles="0,0"/>
                  </v:shape>
                </v:group>
                <v:group id="Group 175" o:spid="_x0000_s1085" style="position:absolute;left:4990;top:1483;width:58;height:57" coordorigin="4990,1483" coordsize="5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176" o:spid="_x0000_s1086" style="position:absolute;left:4990;top:1483;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lO8UA&#10;AADcAAAADwAAAGRycy9kb3ducmV2LnhtbESPQWvCQBSE74L/YXlCb3WjFSmpmyCKpb2otaXnR/aZ&#10;BLNvY3abTf99Vyh4HGbmG2aVD6YRPXWutqxgNk1AEBdW11wq+PrcPT6DcB5ZY2OZFPySgzwbj1aY&#10;ahv4g/qTL0WEsEtRQeV9m0rpiooMuqltiaN3tp1BH2VXSt1hiHDTyHmSLKXBmuNChS1tKioupx+j&#10;YKvXZ12EcAyLa0/b9/23OWxelXqYDOsXEJ4Gfw//t9+0gsX8CW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WU7xQAAANwAAAAPAAAAAAAAAAAAAAAAAJgCAABkcnMv&#10;ZG93bnJldi54bWxQSwUGAAAAAAQABAD1AAAAigMAAAAA&#10;" path="m29,57l,,58,,29,57e" fillcolor="#231f20" stroked="f">
                    <v:path arrowok="t" o:connecttype="custom" o:connectlocs="29,1540;0,1483;58,1483;29,1540" o:connectangles="0,0,0,0"/>
                  </v:shape>
                </v:group>
                <v:group id="Group 173" o:spid="_x0000_s1087" style="position:absolute;left:7369;top:2459;width:2;height:114" coordorigin="7369,2459"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174" o:spid="_x0000_s1088" style="position:absolute;left:7369;top:2459;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BMUA&#10;AADcAAAADwAAAGRycy9kb3ducmV2LnhtbESPT2vCQBTE74V+h+UVeqsbpYYYXaVUhPQi+Ae8PrPP&#10;JG32bciuJvXTu4LgcZiZ3zCzRW9qcaHWVZYVDAcRCOLc6ooLBfvd6iMB4TyyxtoyKfgnB4v568sM&#10;U2073tBl6wsRIOxSVFB636RSurwkg25gG+LgnWxr0AfZFlK32AW4qeUoimJpsOKwUGJD3yXlf9uz&#10;UTA5XJM1DeNseVxS9+s22U8UW6Xe3/qvKQhPvX+GH+1MK/gcjeF+Jhw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78ExQAAANwAAAAPAAAAAAAAAAAAAAAAAJgCAABkcnMv&#10;ZG93bnJldi54bWxQSwUGAAAAAAQABAD1AAAAigMAAAAA&#10;" path="m,114l,e" filled="f" strokecolor="#231f20" strokeweight=".38842mm">
                    <v:path arrowok="t" o:connecttype="custom" o:connectlocs="0,2573;0,2459" o:connectangles="0,0"/>
                  </v:shape>
                </v:group>
                <v:group id="Group 171" o:spid="_x0000_s1089" style="position:absolute;left:7340;top:2516;width:58;height:57" coordorigin="7340,2516" coordsize="5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172" o:spid="_x0000_s1090" style="position:absolute;left:7340;top:2516;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jOMUA&#10;AADcAAAADwAAAGRycy9kb3ducmV2LnhtbESPQWvCQBSE7wX/w/KE3nSjSFuimyCKpb20VsXzI/tM&#10;gtm3MbvNpv++WxB6HGbmG2aVD6YRPXWutqxgNk1AEBdW11wqOB13kxcQziNrbCyTgh9ykGejhxWm&#10;2gb+ov7gSxEh7FJUUHnfplK6oiKDbmpb4uhdbGfQR9mVUncYItw0cp4kT9JgzXGhwpY2FRXXw7dR&#10;sNXriy5C2IfFraft+8fZfG5elXocD+slCE+D/w/f229awWL+DH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mM4xQAAANwAAAAPAAAAAAAAAAAAAAAAAJgCAABkcnMv&#10;ZG93bnJldi54bWxQSwUGAAAAAAQABAD1AAAAigMAAAAA&#10;" path="m29,57l,,58,,29,57e" fillcolor="#231f20" stroked="f">
                    <v:path arrowok="t" o:connecttype="custom" o:connectlocs="29,2573;0,2516;58,2516;29,2573" o:connectangles="0,0,0,0"/>
                  </v:shape>
                </v:group>
                <v:group id="Group 169" o:spid="_x0000_s1091" style="position:absolute;left:4466;top:3212;width:2;height:230" coordorigin="4466,3212" coordsize="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170" o:spid="_x0000_s1092" style="position:absolute;left:4466;top:3212;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Qq+sQA&#10;AADcAAAADwAAAGRycy9kb3ducmV2LnhtbESPT2sCMRTE7wW/Q3iCt5rVSrFboxRbwZPQtfT82Lxu&#10;tm5eliT7p/30plDwOMzMb5jNbrSN6MmH2rGCxTwDQVw6XXOl4ON8uF+DCBFZY+OYFPxQgN12crfB&#10;XLuB36kvYiUShEOOCkyMbS5lKA1ZDHPXEifvy3mLMUlfSe1xSHDbyGWWPUqLNacFgy3tDZWXorMK&#10;nDy9ferXTj+YfT94133X5+JXqdl0fHkGEWmMt/B/+6gVrJZP8HcmHQG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UKvrEAAAA3AAAAA8AAAAAAAAAAAAAAAAAmAIAAGRycy9k&#10;b3ducmV2LnhtbFBLBQYAAAAABAAEAPUAAACJAwAAAAA=&#10;" path="m,230l,e" filled="f" strokecolor="#231f20" strokeweight=".38842mm">
                    <v:path arrowok="t" o:connecttype="custom" o:connectlocs="0,3442;0,3212" o:connectangles="0,0"/>
                  </v:shape>
                </v:group>
                <v:group id="Group 167" o:spid="_x0000_s1093" style="position:absolute;left:4437;top:3420;width:58;height:57" coordorigin="4437,3420" coordsize="5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168" o:spid="_x0000_s1094" style="position:absolute;left:4437;top:3420;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ICsUA&#10;AADcAAAADwAAAGRycy9kb3ducmV2LnhtbESPQWvCQBSE70L/w/IK3nRjlVJSN0EURS+ttaXnR/aZ&#10;hGbfxuyaTf99tyB4HGbmG2aZD6YRPXWutqxgNk1AEBdW11wq+PrcTl5AOI+ssbFMCn7JQZ49jJaY&#10;ahv4g/qTL0WEsEtRQeV9m0rpiooMuqltiaN3tp1BH2VXSt1hiHDTyKckeZYGa44LFba0rqj4OV2N&#10;go1enXURwjEsLj1tDm/f5n29U2r8OKxeQXga/D18a++1gsV8Bv9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sgKxQAAANwAAAAPAAAAAAAAAAAAAAAAAJgCAABkcnMv&#10;ZG93bnJldi54bWxQSwUGAAAAAAQABAD1AAAAigMAAAAA&#10;" path="m29,57l,,58,,29,57e" fillcolor="#231f20" stroked="f">
                    <v:path arrowok="t" o:connecttype="custom" o:connectlocs="29,3477;0,3420;58,3420;29,3477" o:connectangles="0,0,0,0"/>
                  </v:shape>
                </v:group>
                <v:group id="Group 165" o:spid="_x0000_s1095" style="position:absolute;left:3478;top:3212;width:2;height:275" coordorigin="3478,3212" coordsize="2,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166" o:spid="_x0000_s1096" style="position:absolute;left:3478;top:3212;width:2;height:275;visibility:visible;mso-wrap-style:square;v-text-anchor:top" coordsize="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jjcUA&#10;AADcAAAADwAAAGRycy9kb3ducmV2LnhtbESPQWsCMRSE7wX/Q3hCbzVrlVJWo9RKoVI8uApen5tn&#10;du3mZdmkmvrrjVDocZiZb5jpPNpGnKnztWMFw0EGgrh0umajYLf9eHoF4QOyxsYxKfglD/NZ72GK&#10;uXYX3tC5CEYkCPscFVQhtLmUvqzIoh+4ljh5R9dZDEl2RuoOLwluG/mcZS/SYs1pocKW3isqv4sf&#10;q0AvvszqtFzWx2tcm2gPXFzXe6Ue+/FtAiJQDP/hv/anVjAejeB+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mONxQAAANwAAAAPAAAAAAAAAAAAAAAAAJgCAABkcnMv&#10;ZG93bnJldi54bWxQSwUGAAAAAAQABAD1AAAAigMAAAAA&#10;" path="m,275l,e" filled="f" strokecolor="#231f20" strokeweight="1.1pt">
                    <v:path arrowok="t" o:connecttype="custom" o:connectlocs="0,3487;0,3212" o:connectangles="0,0"/>
                  </v:shape>
                </v:group>
                <v:group id="Group 163" o:spid="_x0000_s1097" style="position:absolute;left:3449;top:3449;width:58;height:57" coordorigin="3449,3449" coordsize="5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164" o:spid="_x0000_s1098" style="position:absolute;left:3449;top:3449;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XOCcUA&#10;AADcAAAADwAAAGRycy9kb3ducmV2LnhtbESPT2vCQBTE7wW/w/KE3nTjv1Kiq4ii2EttbfH8yD6T&#10;YPZtzG6z6bfvCkKPw8z8hlmsOlOJlhpXWlYwGiYgiDOrS84VfH/tBq8gnEfWWFkmBb/kYLXsPS0w&#10;1TbwJ7Unn4sIYZeigsL7OpXSZQUZdENbE0fvYhuDPsoml7rBEOGmkuMkeZEGS44LBda0KSi7nn6M&#10;gq1eX3QWwkeY3lravr2fzXGzV+q5363nIDx1/j/8aB+0gulkBv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c4JxQAAANwAAAAPAAAAAAAAAAAAAAAAAJgCAABkcnMv&#10;ZG93bnJldi54bWxQSwUGAAAAAAQABAD1AAAAigMAAAAA&#10;" path="m29,57l,,58,,29,57e" fillcolor="#231f20" stroked="f">
                    <v:path arrowok="t" o:connecttype="custom" o:connectlocs="29,3506;0,3449;58,3449;29,3506" o:connectangles="0,0,0,0"/>
                  </v:shape>
                </v:group>
                <v:group id="Group 161" o:spid="_x0000_s1099" style="position:absolute;left:7137;top:3287;width:2;height:143" coordorigin="7137,3287" coordsize="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162" o:spid="_x0000_s1100" style="position:absolute;left:7137;top:3287;width:2;height:143;visibility:visible;mso-wrap-style:square;v-text-anchor:top" coordsize="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xKsUA&#10;AADcAAAADwAAAGRycy9kb3ducmV2LnhtbESPT2vCQBTE74LfYXlCb3XjH6pEVxHBWnoobVS8PrLP&#10;JJh9G7LbuH57t1DwOMzMb5jlOphadNS6yrKC0TABQZxbXXGh4HjYvc5BOI+ssbZMCu7kYL3q95aY&#10;anvjH+oyX4gIYZeigtL7JpXS5SUZdEPbEEfvYluDPsq2kLrFW4SbWo6T5E0arDgulNjQtqT8mv0a&#10;Bd/B4ef9fOrCNjtV+/fNef+VT5R6GYTNAoSn4J/h//aHVjCdzODv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fEqxQAAANwAAAAPAAAAAAAAAAAAAAAAAJgCAABkcnMv&#10;ZG93bnJldi54bWxQSwUGAAAAAAQABAD1AAAAigMAAAAA&#10;" path="m,143l,e" filled="f" strokecolor="#231f20" strokeweight="1.1pt">
                    <v:path arrowok="t" o:connecttype="custom" o:connectlocs="0,3430;0,3287" o:connectangles="0,0"/>
                  </v:shape>
                </v:group>
                <v:group id="Group 159" o:spid="_x0000_s1101" style="position:absolute;left:7108;top:3391;width:58;height:57" coordorigin="7108,3391" coordsize="5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160" o:spid="_x0000_s1102" style="position:absolute;left:7108;top:3391;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EDMUA&#10;AADcAAAADwAAAGRycy9kb3ducmV2LnhtbESPT2vCQBTE7wW/w/KE3nTjH6SNriKKYi+1tcXzI/tM&#10;gtm3MbvNpt++Kwg9DjPzG2ax6kwlWmpcaVnBaJiAIM6sLjlX8P21G7yAcB5ZY2WZFPySg9Wy97TA&#10;VNvAn9SefC4ihF2KCgrv61RKlxVk0A1tTRy9i20M+iibXOoGQ4SbSo6TZCYNlhwXCqxpU1B2Pf0Y&#10;BVu9vugshI8wvbW0fXs/m+Nmr9Rzv1vPQXjq/H/40T5oBdPJK9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6MQMxQAAANwAAAAPAAAAAAAAAAAAAAAAAJgCAABkcnMv&#10;ZG93bnJldi54bWxQSwUGAAAAAAQABAD1AAAAigMAAAAA&#10;" path="m29,58l,,58,,29,58e" fillcolor="#231f20" stroked="f">
                    <v:path arrowok="t" o:connecttype="custom" o:connectlocs="29,3449;0,3391;58,3391;29,3449" o:connectangles="0,0,0,0"/>
                  </v:shape>
                </v:group>
                <v:group id="Group 157" o:spid="_x0000_s1103" style="position:absolute;left:7718;top:3287;width:2;height:127" coordorigin="7718,3287" coordsize="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158" o:spid="_x0000_s1104" style="position:absolute;left:7718;top:3287;width:2;height:127;visibility:visible;mso-wrap-style:square;v-text-anchor:top" coordsize="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2QcQA&#10;AADcAAAADwAAAGRycy9kb3ducmV2LnhtbESPQWvCQBSE7wX/w/KEXopulFAkuoqW2pTejF68PbLP&#10;bDD7NmZXjf/eLRR6HGbmG2ax6m0jbtT52rGCyTgBQVw6XXOl4LDfjmYgfEDW2DgmBQ/ysFoOXhaY&#10;aXfnHd2KUIkIYZ+hAhNCm0npS0MW/di1xNE7uc5iiLKrpO7wHuG2kdMkeZcWa44LBlv6MFSei6tV&#10;8PV2+clt2E83vP486mOaW1PkSr0O+/UcRKA+/If/2t9aQZpO4P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xNkHEAAAA3AAAAA8AAAAAAAAAAAAAAAAAmAIAAGRycy9k&#10;b3ducmV2LnhtbFBLBQYAAAAABAAEAPUAAACJAwAAAAA=&#10;" path="m,127l,e" filled="f" strokecolor="#231f20" strokeweight="1.1pt">
                    <v:path arrowok="t" o:connecttype="custom" o:connectlocs="0,3414;0,3287" o:connectangles="0,0"/>
                  </v:shape>
                </v:group>
                <v:group id="Group 155" o:spid="_x0000_s1105" style="position:absolute;left:7689;top:3376;width:58;height:57" coordorigin="7689,3376" coordsize="5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156" o:spid="_x0000_s1106" style="position:absolute;left:7689;top:3376;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Am8QA&#10;AADcAAAADwAAAGRycy9kb3ducmV2LnhtbESPT2vCQBTE7wW/w/KE3nSjDSKpq4jS0l78W3p+ZJ9J&#10;aPZtmt1m47d3BaHHYWZ+wyxWvalFR62rLCuYjBMQxLnVFRcKvs5vozkI55E11pZJwZUcrJaDpwVm&#10;2gY+UnfyhYgQdhkqKL1vMildXpJBN7YNcfQutjXoo2wLqVsMEW5qOU2SmTRYcVwosaFNSfnP6c8o&#10;2Or1RechHEL629H2c/dt9pt3pZ6H/foVhKfe/4cf7Q+tIE1f4H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GgJvEAAAA3AAAAA8AAAAAAAAAAAAAAAAAmAIAAGRycy9k&#10;b3ducmV2LnhtbFBLBQYAAAAABAAEAPUAAACJAwAAAAA=&#10;" path="m29,57l,,58,,29,57e" fillcolor="#231f20" stroked="f">
                    <v:path arrowok="t" o:connecttype="custom" o:connectlocs="29,3433;0,3376;58,3376;29,3433" o:connectangles="0,0,0,0"/>
                  </v:shape>
                </v:group>
                <v:group id="Group 153" o:spid="_x0000_s1107" style="position:absolute;left:2512;top:3829;width:109;height:2" coordorigin="2512,3829" coordsize="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154" o:spid="_x0000_s1108" style="position:absolute;left:2512;top:3829;width:109;height:2;visibility:visible;mso-wrap-style:square;v-text-anchor:top" coordsize="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m9MUA&#10;AADcAAAADwAAAGRycy9kb3ducmV2LnhtbESPQWvCQBSE74X+h+UVequbhmglukoppHopYvTi7ZF9&#10;JsHs27C71eivdwtCj8PMfMPMl4PpxJmcby0reB8lIIgrq1uuFex3xdsUhA/IGjvLpOBKHpaL56c5&#10;5tpeeEvnMtQiQtjnqKAJoc+l9FVDBv3I9sTRO1pnMETpaqkdXiLcdDJNkok02HJcaLCnr4aqU/lr&#10;FBw/0u9VISeHbZ3ezNUlP+Nyo5V6fRk+ZyACDeE//GivtYIsG8P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Gb0xQAAANwAAAAPAAAAAAAAAAAAAAAAAJgCAABkcnMv&#10;ZG93bnJldi54bWxQSwUGAAAAAAQABAD1AAAAigMAAAAA&#10;" path="m,l109,e" filled="f" strokecolor="#231f20" strokeweight=".38194mm">
                    <v:path arrowok="t" o:connecttype="custom" o:connectlocs="0,0;109,0" o:connectangles="0,0"/>
                  </v:shape>
                </v:group>
                <v:group id="Group 151" o:spid="_x0000_s1109" style="position:absolute;left:2493;top:3801;width:58;height:57" coordorigin="2493,3801" coordsize="5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152" o:spid="_x0000_s1110" style="position:absolute;left:2493;top:3801;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2GmMQA&#10;AADcAAAADwAAAGRycy9kb3ducmV2LnhtbESPQWvCQBSE70L/w/IK3uqmJWiJriKKUi+1TcXzI/tM&#10;gtm3MbvNpv++Wyh4HGbmG2axGkwjeupcbVnB8yQBQVxYXXOp4PS1e3oF4TyyxsYyKfghB6vlw2iB&#10;mbaBP6nPfSkihF2GCirv20xKV1Rk0E1sSxy9i+0M+ii7UuoOQ4SbRr4kyVQarDkuVNjSpqLimn8b&#10;BVu9vugihI+Q3nraHt7P5rjZKzV+HNZzEJ4Gfw//t9+0gjSd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9hpjEAAAA3AAAAA8AAAAAAAAAAAAAAAAAmAIAAGRycy9k&#10;b3ducmV2LnhtbFBLBQYAAAAABAAEAPUAAACJAwAAAAA=&#10;" path="m58,57l,28,58,r,57e" fillcolor="#231f20" stroked="f">
                    <v:path arrowok="t" o:connecttype="custom" o:connectlocs="58,3858;0,3829;58,3801;58,3858" o:connectangles="0,0,0,0"/>
                  </v:shape>
                </v:group>
                <v:group id="Group 149" o:spid="_x0000_s1111" style="position:absolute;left:2079;top:1765;width:1432;height:468" coordorigin="2079,1765" coordsize="143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150" o:spid="_x0000_s1112" style="position:absolute;left:2079;top:1765;width:1432;height:468;visibility:visible;mso-wrap-style:square;v-text-anchor:top" coordsize="143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T8UA&#10;AADcAAAADwAAAGRycy9kb3ducmV2LnhtbESPQWvCQBSE7wX/w/KEXopuFAkaXUVEoYV6aPTg8ZF9&#10;JiHZtzG7xvTfdwWhx2FmvmFWm97UoqPWlZYVTMYRCOLM6pJzBefTYTQH4TyyxtoyKfglB5v14G2F&#10;ibYP/qEu9bkIEHYJKii8bxIpXVaQQTe2DXHwrrY16INsc6lbfAS4qeU0imJpsOSwUGBDu4KyKr0b&#10;BcePupIXS2m6v30f53HfxV/VVan3Yb9dgvDU+//wq/2pFcxmC3ie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u5PxQAAANwAAAAPAAAAAAAAAAAAAAAAAJgCAABkcnMv&#10;ZG93bnJldi54bWxQSwUGAAAAAAQABAD1AAAAigMAAAAA&#10;" path="m20,468l,468,,4,4,,1432,r,17l20,17r,451e" fillcolor="#231f20" stroked="f">
                    <v:path arrowok="t" o:connecttype="custom" o:connectlocs="20,2233;0,2233;0,1769;4,1765;1432,1765;1432,1782;20,1782;20,2233" o:connectangles="0,0,0,0,0,0,0,0"/>
                  </v:shape>
                </v:group>
                <v:group id="Group 147" o:spid="_x0000_s1113" style="position:absolute;left:2055;top:2217;width:58;height:57" coordorigin="2055,2217" coordsize="5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148" o:spid="_x0000_s1114" style="position:absolute;left:2055;top:2217;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EtqsUA&#10;AADcAAAADwAAAGRycy9kb3ducmV2LnhtbESPQWvCQBSE70L/w/IK3urGolJSN0EUpV7U2tLzI/tM&#10;QrNvY3abTf99Vyh4HGbmG2aZD6YRPXWutqxgOklAEBdW11wq+PzYPr2AcB5ZY2OZFPySgzx7GC0x&#10;1TbwO/VnX4oIYZeigsr7NpXSFRUZdBPbEkfvYjuDPsqulLrDEOGmkc9JspAGa44LFba0rqj4Pv8Y&#10;BRu9uugihFOYXXva7A9f5rjeKTV+HFavIDwN/h7+b79pBbP5FG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S2qxQAAANwAAAAPAAAAAAAAAAAAAAAAAJgCAABkcnMv&#10;ZG93bnJldi54bWxQSwUGAAAAAAQABAD1AAAAigMAAAAA&#10;" path="m29,57l,,59,,29,57e" fillcolor="#231f20" stroked="f">
                    <v:path arrowok="t" o:connecttype="custom" o:connectlocs="29,2274;0,2217;59,2217;29,2274" o:connectangles="0,0,0,0"/>
                  </v:shape>
                </v:group>
                <v:group id="Group 145" o:spid="_x0000_s1115" style="position:absolute;left:7359;top:1935;width:23;height:161" coordorigin="7359,1935" coordsize="23,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146" o:spid="_x0000_s1116" style="position:absolute;left:7359;top:1935;width:23;height:161;visibility:visible;mso-wrap-style:square;v-text-anchor:top" coordsize="2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yXMUA&#10;AADcAAAADwAAAGRycy9kb3ducmV2LnhtbESPT2sCMRTE7wW/Q3iCt5pVWymrUbTFxUvBP+39dfPc&#10;Xdy8LEkat9++EQo9DjPzG2a57k0rIjnfWFYwGWcgiEurG64UfJx3jy8gfEDW2FomBT/kYb0aPCwx&#10;1/bGR4qnUIkEYZ+jgjqELpfSlzUZ9GPbESfvYp3BkKSrpHZ4S3DTymmWzaXBhtNCjR291lReT99G&#10;wUFOi6g3xdvOneN7Ebvr9uszU2o07DcLEIH68B/+a++1gqfnGdzP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JcxQAAANwAAAAPAAAAAAAAAAAAAAAAAJgCAABkcnMv&#10;ZG93bnJldi54bWxQSwUGAAAAAAQABAD1AAAAigMAAAAA&#10;" path="m20,161l,160,3,,23,,20,161e" fillcolor="#231f20" stroked="f">
                    <v:path arrowok="t" o:connecttype="custom" o:connectlocs="20,2096;0,2095;3,1935;23,1935;20,2096" o:connectangles="0,0,0,0,0"/>
                  </v:shape>
                </v:group>
                <v:group id="Group 143" o:spid="_x0000_s1117" style="position:absolute;left:7340;top:2057;width:58;height:57" coordorigin="7340,2057" coordsize="5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144" o:spid="_x0000_s1118" style="position:absolute;left:7340;top:2057;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rqcUA&#10;AADcAAAADwAAAGRycy9kb3ducmV2LnhtbESPQWvCQBSE74L/YXlCb3WjqJTUTRClpb2otaXnR/aZ&#10;BLNvY3abTf99Vyh4HGbmG2adD6YRPXWutqxgNk1AEBdW11wq+Pp8eXwC4TyyxsYyKfglB3k2Hq0x&#10;1TbwB/UnX4oIYZeigsr7NpXSFRUZdFPbEkfvbDuDPsqulLrDEOGmkfMkWUmDNceFClvaVlRcTj9G&#10;wU5vzroI4RgW15527/tvc9i+KvUwGTbPIDwN/h7+b79pBYvlEm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iupxQAAANwAAAAPAAAAAAAAAAAAAAAAAJgCAABkcnMv&#10;ZG93bnJldi54bWxQSwUGAAAAAAQABAD1AAAAigMAAAAA&#10;" path="m29,58l,,58,,29,58e" fillcolor="#231f20" stroked="f">
                    <v:path arrowok="t" o:connecttype="custom" o:connectlocs="29,2115;0,2057;58,2057;29,2115" o:connectangles="0,0,0,0"/>
                  </v:shape>
                </v:group>
                <v:group id="Group 141" o:spid="_x0000_s1119" style="position:absolute;left:4165;top:2278;width:2621;height:124" coordorigin="4165,2278" coordsize="262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142" o:spid="_x0000_s1120" style="position:absolute;left:4165;top:2278;width:2621;height:124;visibility:visible;mso-wrap-style:square;v-text-anchor:top" coordsize="262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jYscA&#10;AADcAAAADwAAAGRycy9kb3ducmV2LnhtbESPQWvCQBSE74L/YXmF3nRTbTWkrtIWC15CUYPi7ZF9&#10;TYLZtyG7avTXu0Khx2FmvmFmi87U4kytqywreBlGIIhzqysuFGTb70EMwnlkjbVlUnAlB4t5vzfD&#10;RNsLr+m88YUIEHYJKii9bxIpXV6SQTe0DXHwfm1r0AfZFlK3eAlwU8tRFE2kwYrDQokNfZWUHzcn&#10;o8DE23R3Gx1WP4d0n62vt3H6uRwr9fzUfbyD8NT5//Bfe6UVvL5N4XEmH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Q42LHAAAA3AAAAA8AAAAAAAAAAAAAAAAAmAIAAGRy&#10;cy9kb3ducmV2LnhtbFBLBQYAAAAABAAEAPUAAACMAwAAAAA=&#10;" path="m20,124l,124,,5,5,,2621,r,20l20,20r,104e" fillcolor="#231f20" stroked="f">
                    <v:path arrowok="t" o:connecttype="custom" o:connectlocs="20,2402;0,2402;0,2283;5,2278;2621,2278;2621,2298;20,2298;20,2402" o:connectangles="0,0,0,0,0,0,0,0"/>
                  </v:shape>
                </v:group>
                <v:group id="Group 139" o:spid="_x0000_s1121" style="position:absolute;left:4146;top:2364;width:58;height:57" coordorigin="4146,2364" coordsize="5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140" o:spid="_x0000_s1122" style="position:absolute;left:4146;top:2364;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hrMUA&#10;AADcAAAADwAAAGRycy9kb3ducmV2LnhtbESPQWvCQBSE70L/w/IK3ppNi4pNXUUURS/V2tLzI/tM&#10;QrNv0+yajf++KxQ8DjPzDTNb9KYWHbWusqzgOUlBEOdWV1wo+PrcPE1BOI+ssbZMCq7kYDF/GMww&#10;0zbwB3UnX4gIYZehgtL7JpPS5SUZdIltiKN3tq1BH2VbSN1iiHBTy5c0nUiDFceFEhtalZT/nC5G&#10;wVovzzoP4RhGvx2t9+/f5rDaKjV87JdvIDz1/h7+b++0gtH4FW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yGsxQAAANwAAAAPAAAAAAAAAAAAAAAAAJgCAABkcnMv&#10;ZG93bnJldi54bWxQSwUGAAAAAAQABAD1AAAAigMAAAAA&#10;" path="m29,57l,,58,,29,57e" fillcolor="#231f20" stroked="f">
                    <v:path arrowok="t" o:connecttype="custom" o:connectlocs="29,2421;0,2364;58,2364;29,2421" o:connectangles="0,0,0,0"/>
                  </v:shape>
                </v:group>
                <v:group id="Group 137" o:spid="_x0000_s1123" style="position:absolute;left:3943;top:5433;width:2;height:250" coordorigin="3943,5433" coordsize="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138" o:spid="_x0000_s1124" style="position:absolute;left:3943;top:5433;width:2;height:250;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3YFcQA&#10;AADcAAAADwAAAGRycy9kb3ducmV2LnhtbESPQWvCQBSE70L/w/IKvekmpQSJrkFCK4XWg1Y8P7PP&#10;JCT7Ns2uMf33riD0OMzMN8wyG00rBupdbVlBPItAEBdW11wqOPx8TOcgnEfW2FomBX/kIFs9TZaY&#10;anvlHQ17X4oAYZeigsr7LpXSFRUZdDPbEQfvbHuDPsi+lLrHa4CbVr5GUSIN1hwWKuwor6ho9hej&#10;4LLZNKfvRG9l3ubvQ+zN1688KvXyPK4XIDyN/j/8aH9qBW9JDP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t2BXEAAAA3AAAAA8AAAAAAAAAAAAAAAAAmAIAAGRycy9k&#10;b3ducmV2LnhtbFBLBQYAAAAABAAEAPUAAACJAwAAAAA=&#10;" path="m,250l,e" filled="f" strokecolor="#231f20" strokeweight="1.1pt">
                    <v:path arrowok="t" o:connecttype="custom" o:connectlocs="0,5683;0,5433" o:connectangles="0,0"/>
                  </v:shape>
                </v:group>
                <v:group id="Group 135" o:spid="_x0000_s1125" style="position:absolute;left:3914;top:5663;width:58;height:57" coordorigin="3914,5663" coordsize="5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136" o:spid="_x0000_s1126" style="position:absolute;left:3914;top:5663;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c+8UA&#10;AADcAAAADwAAAGRycy9kb3ducmV2LnhtbESPzWrDMBCE74W8g9hAb42cNITgRDYhoaW9tPkj58Xa&#10;2CbWyrFUy337qlDocZiZb5h1PphG9NS52rKC6SQBQVxYXXOp4Hx6eVqCcB5ZY2OZFHyTgzwbPawx&#10;1TbwgfqjL0WEsEtRQeV9m0rpiooMuoltiaN3tZ1BH2VXSt1hiHDTyFmSLKTBmuNChS1tKypuxy+j&#10;YKc3V12EsA/ze0+794+L+dy+KvU4HjYrEJ4G/x/+a79pBfPFM/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9z7xQAAANwAAAAPAAAAAAAAAAAAAAAAAJgCAABkcnMv&#10;ZG93bnJldi54bWxQSwUGAAAAAAQABAD1AAAAigMAAAAA&#10;" path="m29,57l,,58,,29,57e" fillcolor="#231f20" stroked="f">
                    <v:path arrowok="t" o:connecttype="custom" o:connectlocs="29,5720;0,5663;58,5663;29,5720" o:connectangles="0,0,0,0"/>
                  </v:shape>
                </v:group>
                <v:group id="Group 133" o:spid="_x0000_s1127" style="position:absolute;left:5163;top:5433;width:2;height:249" coordorigin="5163,5433" coordsize="2,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134" o:spid="_x0000_s1128" style="position:absolute;left:5163;top:5433;width:2;height:249;visibility:visible;mso-wrap-style:square;v-text-anchor:top" coordsize="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G8YA&#10;AADcAAAADwAAAGRycy9kb3ducmV2LnhtbESPQWsCMRSE74X+h/CE3mpWaaVdjVLalXrQg6sg3h6b&#10;52Zx8xI2Ubf/vhEKPQ4z8w0zW/S2FVfqQuNYwWiYgSCunG64VrDfLZ/fQISIrLF1TAp+KMBi/vgw&#10;w1y7G2/pWsZaJAiHHBWYGH0uZagMWQxD54mTd3KdxZhkV0vd4S3BbSvHWTaRFhtOCwY9fRqqzuXF&#10;KtitzOHki8J/rZeX8aY/7sv370Kpp0H/MQURqY//4b/2Sit4mbzC/Uw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BG8YAAADcAAAADwAAAAAAAAAAAAAAAACYAgAAZHJz&#10;L2Rvd25yZXYueG1sUEsFBgAAAAAEAAQA9QAAAIsDAAAAAA==&#10;" path="m,249l,e" filled="f" strokecolor="#231f20" strokeweight="1.1pt">
                    <v:path arrowok="t" o:connecttype="custom" o:connectlocs="0,5682;0,5433" o:connectangles="0,0"/>
                  </v:shape>
                </v:group>
                <v:group id="Group 131" o:spid="_x0000_s1129" style="position:absolute;left:5133;top:5655;width:58;height:57" coordorigin="5133,5655" coordsize="5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132" o:spid="_x0000_s1130" style="position:absolute;left:5133;top:5655;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a+MUA&#10;AADcAAAADwAAAGRycy9kb3ducmV2LnhtbESPQWvCQBSE74L/YXlCb3WjiJbUTRClpb2otaXnR/aZ&#10;BLNvY3abTf99Vyh4HGbmG2adD6YRPXWutqxgNk1AEBdW11wq+Pp8eXwC4TyyxsYyKfglB3k2Hq0x&#10;1TbwB/UnX4oIYZeigsr7NpXSFRUZdFPbEkfvbDuDPsqulLrDEOGmkfMkWUqDNceFClvaVlRcTj9G&#10;wU5vzroI4RgW15527/tvc9i+KvUwGTbPIDwN/h7+b79pBYvlCm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Nr4xQAAANwAAAAPAAAAAAAAAAAAAAAAAJgCAABkcnMv&#10;ZG93bnJldi54bWxQSwUGAAAAAAQABAD1AAAAigMAAAAA&#10;" path="m30,57l,,59,,30,57e" fillcolor="#231f20" stroked="f">
                    <v:path arrowok="t" o:connecttype="custom" o:connectlocs="30,5712;0,5655;59,5655;30,5712" o:connectangles="0,0,0,0"/>
                  </v:shape>
                </v:group>
                <v:group id="Group 129" o:spid="_x0000_s1131" style="position:absolute;left:4698;top:3772;width:140;height:2" coordorigin="4698,3772" coordsize="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130" o:spid="_x0000_s1132" style="position:absolute;left:4698;top:3772;width:140;height:2;visibility:visible;mso-wrap-style:square;v-text-anchor:top" coordsize="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DjsUA&#10;AADcAAAADwAAAGRycy9kb3ducmV2LnhtbESPQWvCQBSE7wX/w/IK3upGK2Kjq5RKwYutxgY8vmaf&#10;2WD2bciumv57Vyh4HGbmG2a+7GwtLtT6yrGC4SABQVw4XXGp4Gf/+TIF4QOyxtoxKfgjD8tF72mO&#10;qXZX3tElC6WIEPYpKjAhNKmUvjBk0Q9cQxy9o2sthijbUuoWrxFuazlKkom0WHFcMNjQh6HilJ2t&#10;ArfJd/nXapPlhjAcfl+Pw+3+W6n+c/c+AxGoC4/wf3utFYwnb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sOOxQAAANwAAAAPAAAAAAAAAAAAAAAAAJgCAABkcnMv&#10;ZG93bnJldi54bWxQSwUGAAAAAAQABAD1AAAAigMAAAAA&#10;" path="m,l140,e" filled="f" strokecolor="#231f20" strokeweight=".38194mm">
                    <v:path arrowok="t" o:connecttype="custom" o:connectlocs="0,0;140,0" o:connectangles="0,0"/>
                  </v:shape>
                </v:group>
                <v:group id="Group 127" o:spid="_x0000_s1133" style="position:absolute;left:4807;top:3743;width:58;height:57" coordorigin="4807,3743" coordsize="5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128" o:spid="_x0000_s1134" style="position:absolute;left:4807;top:3743;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xysUA&#10;AADcAAAADwAAAGRycy9kb3ducmV2LnhtbESPQWvCQBSE70L/w/IK3urGIlpSN0EUpV7U2tLzI/tM&#10;QrNvY3abTf99Vyh4HGbmG2aZD6YRPXWutqxgOklAEBdW11wq+PzYPr2AcB5ZY2OZFPySgzx7GC0x&#10;1TbwO/VnX4oIYZeigsr7NpXSFRUZdBPbEkfvYjuDPsqulLrDEOGmkc9JMpcGa44LFba0rqj4Pv8Y&#10;BRu9uugihFOYXXva7A9f5rjeKTV+HFavIDwN/h7+b79pBbPFFG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HHKxQAAANwAAAAPAAAAAAAAAAAAAAAAAJgCAABkcnMv&#10;ZG93bnJldi54bWxQSwUGAAAAAAQABAD1AAAAigMAAAAA&#10;" path="m,58l,,58,29,,58e" fillcolor="#231f20" stroked="f">
                    <v:path arrowok="t" o:connecttype="custom" o:connectlocs="0,3801;0,3743;58,3772;0,3801" o:connectangles="0,0,0,0"/>
                  </v:shape>
                </v:group>
                <v:group id="Group 125" o:spid="_x0000_s1135" style="position:absolute;left:3511;top:5055;width:2434;height:378" coordorigin="3511,5055" coordsize="2434,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126" o:spid="_x0000_s1136" style="position:absolute;left:3511;top:5055;width:2434;height:378;visibility:visible;mso-wrap-style:square;v-text-anchor:top" coordsize="2434,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gtcYA&#10;AADcAAAADwAAAGRycy9kb3ducmV2LnhtbESPQWvCQBSE74L/YXlCb80mta0lupFiK1hvVQ89PrLP&#10;JJh9G3c3mv77rlDwOMzMN8xiOZhWXMj5xrKCLElBEJdWN1wpOOzXj28gfEDW2FomBb/kYVmMRwvM&#10;tb3yN112oRIRwj5HBXUIXS6lL2sy6BPbEUfvaJ3BEKWrpHZ4jXDTyqc0fZUGG44LNXa0qqk87Xqj&#10;wPWzn/Tr4+Szdr3dT1f9+eXweVbqYTK8z0EEGsI9/N/eaAXPsynczs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VgtcYAAADcAAAADwAAAAAAAAAAAAAAAACYAgAAZHJz&#10;L2Rvd25yZXYueG1sUEsFBgAAAAAEAAQA9QAAAIsDAAAAAA==&#10;" path="m,l2433,r,378l,378,,e" stroked="f">
                    <v:path arrowok="t" o:connecttype="custom" o:connectlocs="0,5055;2433,5055;2433,5433;0,5433;0,5055" o:connectangles="0,0,0,0,0"/>
                  </v:shape>
                </v:group>
                <v:group id="Group 123" o:spid="_x0000_s1137" style="position:absolute;left:3501;top:5035;width:2467;height:398" coordorigin="3501,5035" coordsize="2467,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124" o:spid="_x0000_s1138" style="position:absolute;left:3501;top:5035;width:2467;height:398;visibility:visible;mso-wrap-style:square;v-text-anchor:top" coordsize="246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puMYA&#10;AADcAAAADwAAAGRycy9kb3ducmV2LnhtbESPT2vCQBTE70K/w/KE3nSj1DakrkHSasVe6t/zI/ua&#10;hGbfhuyqqZ/eFQo9DjPzG2aadqYWZ2pdZVnBaBiBIM6trrhQsN8tBjEI55E11pZJwS85SGcPvSkm&#10;2l54Q+etL0SAsEtQQel9k0jp8pIMuqFtiIP3bVuDPsi2kLrFS4CbWo6j6FkarDgslNhQVlL+sz2Z&#10;QHm7fsTrOM4Xn9av3r8Ox8wel0o99rv5KwhPnf8P/7VXWsHTywT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fpuMYAAADcAAAADwAAAAAAAAAAAAAAAACYAgAAZHJz&#10;L2Rvd25yZXYueG1sUEsFBgAAAAAEAAQA9QAAAIsDAAAAAA==&#10;" path="m2467,398l,398,,,2467,r,20l20,20r,358l2467,378r,20e" fillcolor="#231f20" stroked="f">
                    <v:path arrowok="t" o:connecttype="custom" o:connectlocs="2467,5433;0,5433;0,5035;2467,5035;2467,5055;20,5055;20,5413;2467,5413;2467,5433" o:connectangles="0,0,0,0,0,0,0,0,0"/>
                  </v:shape>
                </v:group>
                <v:group id="Group 121" o:spid="_x0000_s1139" style="position:absolute;left:5958;top:5055;width:2;height:358" coordorigin="5958,5055" coordsize="2,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122" o:spid="_x0000_s1140" style="position:absolute;left:5958;top:5055;width:2;height:358;visibility:visible;mso-wrap-style:square;v-text-anchor:top" coordsize="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bz8UA&#10;AADcAAAADwAAAGRycy9kb3ducmV2LnhtbESPQWvCQBSE70L/w/IK3nRTLaakbkQqQkBEagvt8bH7&#10;moRk34bsqvHfdwXB4zAz3zDL1WBbcabe144VvEwTEMTamZpLBd9f28kbCB+QDbaOScGVPKzyp9ES&#10;M+Mu/EnnYyhFhLDPUEEVQpdJ6XVFFv3UdcTR+3O9xRBlX0rT4yXCbStnSbKQFmuOCxV29FGRbo4n&#10;q2Czlrtif9pLbn6S3/lhrouUtVLj52H9DiLQEB7he7swCl7TFG5n4h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lvPxQAAANwAAAAPAAAAAAAAAAAAAAAAAJgCAABkcnMv&#10;ZG93bnJldi54bWxQSwUGAAAAAAQABAD1AAAAigMAAAAA&#10;" path="m,358l,e" filled="f" strokecolor="#231f20" strokeweight="1.1pt">
                    <v:path arrowok="t" o:connecttype="custom" o:connectlocs="0,5413;0,5055" o:connectangles="0,0"/>
                  </v:shape>
                </v:group>
                <v:group id="Group 119" o:spid="_x0000_s1141" style="position:absolute;left:3562;top:4487;width:966;height:395" coordorigin="3562,4487" coordsize="966,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120" o:spid="_x0000_s1142" style="position:absolute;left:3562;top:4487;width:966;height:395;visibility:visible;mso-wrap-style:square;v-text-anchor:top" coordsize="96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6scA&#10;AADcAAAADwAAAGRycy9kb3ducmV2LnhtbESP3WrCQBSE7wt9h+UUvNNNVWxNs5HiDygopdFCLw/Z&#10;0yQ0ezbNrhrf3hWEXg4z8w2TzDpTixO1rrKs4HkQgSDOra64UHDYr/qvIJxH1lhbJgUXcjBLHx8S&#10;jLU98yedMl+IAGEXo4LS+yaW0uUlGXQD2xAH78e2Bn2QbSF1i+cAN7UcRtFEGqw4LJTY0Lyk/Dc7&#10;GgUf03lWLHbD7XIkF39f2+/mMjlulOo9de9vIDx1/j98b6+1gvHLFG5nwhGQ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1OrHAAAA3AAAAA8AAAAAAAAAAAAAAAAAmAIAAGRy&#10;cy9kb3ducmV2LnhtbFBLBQYAAAAABAAEAPUAAACMAwAAAAA=&#10;" path="m,l966,r,395l,395,,e" stroked="f">
                    <v:path arrowok="t" o:connecttype="custom" o:connectlocs="0,4487;966,4487;966,4882;0,4882;0,4487" o:connectangles="0,0,0,0,0"/>
                  </v:shape>
                </v:group>
                <v:group id="Group 117" o:spid="_x0000_s1143" style="position:absolute;left:4756;top:4495;width:1290;height:283" coordorigin="4756,4495" coordsize="129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118" o:spid="_x0000_s1144" style="position:absolute;left:4756;top:4495;width:1290;height:283;visibility:visible;mso-wrap-style:square;v-text-anchor:top" coordsize="129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Qh8QA&#10;AADcAAAADwAAAGRycy9kb3ducmV2LnhtbESP3YrCMBSE7xd8h3AE79bURbRUo4i4oisI/oC3x+bY&#10;FpuT0kRt394sLOzlMDPfMNN5Y0rxpNoVlhUM+hEI4tTqgjMF59P3ZwzCeWSNpWVS0JKD+azzMcVE&#10;2xcf6Hn0mQgQdgkqyL2vEildmpNB17cVcfButjbog6wzqWt8Bbgp5VcUjaTBgsNCjhUtc0rvx4dR&#10;4HbNWa7vP9jeZDu+7Feba7EdKtXrNosJCE+N/w//tTdawTAewO+ZcATk7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IfEAAAA3AAAAA8AAAAAAAAAAAAAAAAAmAIAAGRycy9k&#10;b3ducmV2LnhtbFBLBQYAAAAABAAEAPUAAACJAwAAAAA=&#10;" path="m,l1290,r,283l,283,,e" stroked="f">
                    <v:path arrowok="t" o:connecttype="custom" o:connectlocs="0,4495;1290,4495;1290,4778;0,4778;0,4495" o:connectangles="0,0,0,0,0"/>
                  </v:shape>
                </v:group>
                <v:group id="Group 115" o:spid="_x0000_s1145" style="position:absolute;left:3130;top:1549;width:4336;height:380" coordorigin="3130,1549" coordsize="433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116" o:spid="_x0000_s1146" style="position:absolute;left:3130;top:1549;width:4336;height:380;visibility:visible;mso-wrap-style:square;v-text-anchor:top" coordsize="433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jIMIA&#10;AADcAAAADwAAAGRycy9kb3ducmV2LnhtbESPT2sCMRTE7wW/Q3iCt5rdWlRWo9iK4LX+uT83z93V&#10;zcuSpBq/fVMQPA4z8xtmvoymFTdyvrGsIB9mIIhLqxuuFBz2m/cpCB+QNbaWScGDPCwXvbc5Ftre&#10;+Yduu1CJBGFfoII6hK6Q0pc1GfRD2xEn72ydwZCkq6R2eE9w08qPLBtLgw2nhRo7+q6pvO5+jYJL&#10;+diuXcwjX8fH9eZA7eTrlCs16MfVDESgGF7hZ3urFXxOR/B/Jh0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OMgwgAAANwAAAAPAAAAAAAAAAAAAAAAAJgCAABkcnMvZG93&#10;bnJldi54bWxQSwUGAAAAAAQABAD1AAAAhwMAAAAA&#10;" path="m,l4336,r,380l,380,,e" stroked="f">
                    <v:path arrowok="t" o:connecttype="custom" o:connectlocs="0,1549;4336,1549;4336,1929;0,1929;0,1549" o:connectangles="0,0,0,0,0"/>
                  </v:shape>
                </v:group>
                <v:group id="Group 113" o:spid="_x0000_s1147" style="position:absolute;left:3120;top:1529;width:4356;height:414" coordorigin="3120,1529" coordsize="4356,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114" o:spid="_x0000_s1148" style="position:absolute;left:3120;top:1529;width:4356;height:414;visibility:visible;mso-wrap-style:square;v-text-anchor:top" coordsize="43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yscUA&#10;AADcAAAADwAAAGRycy9kb3ducmV2LnhtbESPX2vCMBTF34V9h3AF3zR1qEg1ShmIE7cHnYqPl+au&#10;LWtuShK1+umXgbDHw/nz48yXranFlZyvLCsYDhIQxLnVFRcKDl+r/hSED8gaa8uk4E4elouXzhxT&#10;bW+8o+s+FCKOsE9RQRlCk0rp85IM+oFtiKP3bZ3BEKUrpHZ4i+Omlq9JMpEGK46EEht6Kyn/2V9M&#10;5J6y9dmst4/DhzXZYzNauc/iqFSv22YzEIHa8B9+tt+1gtF0DH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HKxxQAAANwAAAAPAAAAAAAAAAAAAAAAAJgCAABkcnMv&#10;ZG93bnJldi54bWxQSwUGAAAAAAQABAD1AAAAigMAAAAA&#10;" path="m4356,415l,415,,,4356,r,20l20,20r,375l4356,395r,20e" fillcolor="#231f20" stroked="f">
                    <v:path arrowok="t" o:connecttype="custom" o:connectlocs="4356,1944;0,1944;0,1529;4356,1529;4356,1549;20,1549;20,1924;4356,1924;4356,1944" o:connectangles="0,0,0,0,0,0,0,0,0"/>
                  </v:shape>
                </v:group>
                <v:group id="Group 111" o:spid="_x0000_s1149" style="position:absolute;left:7466;top:1549;width:2;height:375" coordorigin="7466,1549" coordsize="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112" o:spid="_x0000_s1150" style="position:absolute;left:7466;top:1549;width:2;height:375;visibility:visible;mso-wrap-style:square;v-text-anchor:top" coordsize="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jjcUA&#10;AADcAAAADwAAAGRycy9kb3ducmV2LnhtbESPQWvCQBSE74L/YXlCL6VuLFJtzEakUKggVK32/Mg+&#10;k9Xs25Ddxvjvu4WCx2FmvmGyZW9r0VHrjWMFk3ECgrhw2nCp4PD1/jQH4QOyxtoxKbiRh2U+HGSY&#10;anflHXX7UIoIYZ+igiqEJpXSFxVZ9GPXEEfv5FqLIcq2lLrFa4TbWj4nyYu0aDguVNjQW0XFZf9j&#10;FZjN+vETN8nx+3LyU0Pd6/ZcB6UeRv1qASJQH+7h//aHVjCdz+D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aONxQAAANwAAAAPAAAAAAAAAAAAAAAAAJgCAABkcnMv&#10;ZG93bnJldi54bWxQSwUGAAAAAAQABAD1AAAAigMAAAAA&#10;" path="m,375l,e" filled="f" strokecolor="#231f20" strokeweight=".38769mm">
                    <v:path arrowok="t" o:connecttype="custom" o:connectlocs="0,1924;0,1549" o:connectangles="0,0"/>
                  </v:shape>
                </v:group>
                <v:group id="Group 109" o:spid="_x0000_s1151" style="position:absolute;left:6200;top:3883;width:2040;height:335" coordorigin="6200,3883" coordsize="2040,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110" o:spid="_x0000_s1152" style="position:absolute;left:6200;top:3883;width:2040;height:335;visibility:visible;mso-wrap-style:square;v-text-anchor:top" coordsize="2040,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AgMUA&#10;AADcAAAADwAAAGRycy9kb3ducmV2LnhtbESPQWvCQBSE7wX/w/IEb3WjtqLRVUQp1B5Eo4jHR/aZ&#10;BLNvQ3aj6b93CwWPw8x8w8yXrSnFnWpXWFYw6EcgiFOrC84UnI5f7xMQziNrLC2Tgl9ysFx03uYY&#10;a/vgA90Tn4kAYRejgtz7KpbSpTkZdH1bEQfvamuDPsg6k7rGR4CbUg6jaCwNFhwWcqxonVN6Sxqj&#10;4Nz8JNWG1qNdczuYy8Bss/31U6let13NQHhq/Sv83/7WCj4mU/g7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ICAxQAAANwAAAAPAAAAAAAAAAAAAAAAAJgCAABkcnMv&#10;ZG93bnJldi54bWxQSwUGAAAAAAQABAD1AAAAigMAAAAA&#10;" path="m,l2041,r,335l,335,,e" stroked="f">
                    <v:path arrowok="t" o:connecttype="custom" o:connectlocs="0,3883;2041,3883;2041,4218;0,4218;0,3883" o:connectangles="0,0,0,0,0"/>
                  </v:shape>
                </v:group>
                <v:group id="Group 107" o:spid="_x0000_s1153" style="position:absolute;left:6190;top:3878;width:2060;height:355" coordorigin="6190,3878" coordsize="2060,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108" o:spid="_x0000_s1154" style="position:absolute;left:6190;top:3878;width:2060;height:355;visibility:visible;mso-wrap-style:square;v-text-anchor:top" coordsize="2060,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53cYA&#10;AADcAAAADwAAAGRycy9kb3ducmV2LnhtbESPQWvCQBSE74X+h+UJ3urGYK2mrlKFFg8eWlPw+pp9&#10;TYLZt3F3G+O/dwWhx2FmvmEWq940oiPna8sKxqMEBHFhdc2lgu/8/WkGwgdkjY1lUnAhD6vl48MC&#10;M23P/EXdPpQiQthnqKAKoc2k9EVFBv3ItsTR+7XOYIjSlVI7PEe4aWSaJFNpsOa4UGFLm4qK4/7P&#10;KEjtej6dHV4+fyby2X10h/yU7nKlhoP+7RVEoD78h+/trVYwmY/h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p53cYAAADcAAAADwAAAAAAAAAAAAAAAACYAgAAZHJz&#10;L2Rvd25yZXYueG1sUEsFBgAAAAAEAAQA9QAAAIsDAAAAAA==&#10;" path="m2061,355l,355,,,2061,r,20l20,20r,315l2061,335r,20e" fillcolor="#231f20" stroked="f">
                    <v:path arrowok="t" o:connecttype="custom" o:connectlocs="2061,4233;0,4233;0,3878;2061,3878;2061,3898;20,3898;20,4213;2061,4213;2061,4233" o:connectangles="0,0,0,0,0,0,0,0,0"/>
                  </v:shape>
                </v:group>
                <v:group id="Group 105" o:spid="_x0000_s1155" style="position:absolute;left:8241;top:3898;width:2;height:316" coordorigin="8241,3898" coordsize="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106" o:spid="_x0000_s1156" style="position:absolute;left:8241;top:3898;width:2;height:3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l/MIA&#10;AADcAAAADwAAAGRycy9kb3ducmV2LnhtbESPzarCMBSE9xd8h3AEd9fUHy61GkUEQRAXVl24OzTH&#10;tticlCba+vZGEO5ymJlvmMWqM5V4UuNKywpGwwgEcWZ1ybmC82n7G4NwHlljZZkUvMjBatn7WWCi&#10;bctHeqY+FwHCLkEFhfd1IqXLCjLohrYmDt7NNgZ9kE0udYNtgJtKjqPoTxosOSwUWNOmoOyePoyC&#10;fXd2beTjNLscuNYba9IrjpUa9Lv1HISnzv+Hv+2dVjCdTeBzJhw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PWX8wgAAANwAAAAPAAAAAAAAAAAAAAAAAJgCAABkcnMvZG93&#10;bnJldi54bWxQSwUGAAAAAAQABAD1AAAAhwMAAAAA&#10;" path="m,315l,e" filled="f" strokecolor="#231f20" strokeweight=".38736mm">
                    <v:path arrowok="t" o:connecttype="custom" o:connectlocs="0,4213;0,3898" o:connectangles="0,0"/>
                  </v:shape>
                </v:group>
                <v:group id="Group 103" o:spid="_x0000_s1157" style="position:absolute;left:6150;top:4475;width:1045;height:713" coordorigin="6150,4475" coordsize="1045,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104" o:spid="_x0000_s1158" style="position:absolute;left:6150;top:4475;width:1045;height:713;visibility:visible;mso-wrap-style:square;v-text-anchor:top" coordsize="1045,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H5MIA&#10;AADcAAAADwAAAGRycy9kb3ducmV2LnhtbESPwWrDMBBE74X8g9hAbrXs0JbWjRISg0Ovdv0Ba2tr&#10;mVorY6mJ8/dRodDjMDNvmN1hsaO40OwHxwqyJAVB3Dk9cK+g+SwfX0H4gKxxdEwKbuThsF897DDX&#10;7soVXerQiwhhn6MCE8KUS+k7QxZ94ibi6H252WKIcu6lnvEa4XaU2zR9kRYHjgsGJyoMdd/1j1Ww&#10;PWEmM2yXZqqrQpZN3Z5NodRmvRzfQQRawn/4r/2hFTy9PcPvmXgE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g0fkwgAAANwAAAAPAAAAAAAAAAAAAAAAAJgCAABkcnMvZG93&#10;bnJldi54bWxQSwUGAAAAAAQABAD1AAAAhwMAAAAA&#10;" path="m,l1045,r,714l,714,,e" stroked="f">
                    <v:path arrowok="t" o:connecttype="custom" o:connectlocs="0,4475;1045,4475;1045,5189;0,5189;0,4475" o:connectangles="0,0,0,0,0"/>
                  </v:shape>
                </v:group>
                <v:group id="Group 101" o:spid="_x0000_s1159" style="position:absolute;left:6140;top:4470;width:1065;height:733" coordorigin="6140,4470" coordsize="1065,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102" o:spid="_x0000_s1160" style="position:absolute;left:6140;top:4470;width:1065;height:733;visibility:visible;mso-wrap-style:square;v-text-anchor:top" coordsize="1065,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kksUA&#10;AADcAAAADwAAAGRycy9kb3ducmV2LnhtbESPT2vCQBDF7wW/wzKCl6AbQ/FPdBUrFJpLwcSLtyE7&#10;JsHsbMhuY/rtu4VCj4837/fm7Y+jacVAvWssK1guYhDEpdUNVwquxft8A8J5ZI2tZVLwTQ6Oh8nL&#10;HlNtn3yhIfeVCBB2KSqove9SKV1Zk0G3sB1x8O62N+iD7Cupe3wGuGllEscrabDh0FBjR+eaykf+&#10;ZcIbOHw+Ind7y1wRlZnkpFkliVKz6XjagfA0+v/jv/SHVvC6XcPvmEAA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CSSxQAAANwAAAAPAAAAAAAAAAAAAAAAAJgCAABkcnMv&#10;ZG93bnJldi54bWxQSwUGAAAAAAQABAD1AAAAigMAAAAA&#10;" path="m1065,733l,733,,,1065,r,20l20,20r,694l1065,714r,19e" fillcolor="#231f20" stroked="f">
                    <v:path arrowok="t" o:connecttype="custom" o:connectlocs="1065,5203;0,5203;0,4470;1065,4470;1065,4490;20,4490;20,5184;1065,5184;1065,5203" o:connectangles="0,0,0,0,0,0,0,0,0"/>
                  </v:shape>
                </v:group>
                <v:group id="Group 99" o:spid="_x0000_s1161" style="position:absolute;left:7195;top:4490;width:2;height:694" coordorigin="7195,4490" coordsize="2,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100" o:spid="_x0000_s1162" style="position:absolute;left:7195;top:4490;width:2;height:694;visibility:visible;mso-wrap-style:square;v-text-anchor:top" coordsize="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tMsYA&#10;AADcAAAADwAAAGRycy9kb3ducmV2LnhtbESPUUvDMBSF34X9h3AHe3OJU8TVpWUM5kRw6BR8vTTX&#10;pq656Zp0rf/eCIKPh3POdzirYnSNOFMXas8aruYKBHHpTc2Vhve37eUdiBCRDTaeScM3BSjyycUK&#10;M+MHfqXzIVYiQThkqMHG2GZShtKSwzD3LXHyPn3nMCbZVdJ0OCS4a+RCqVvpsOa0YLGljaXyeOid&#10;huvhadc/vIQv9dGfFuOzPe6tUVrPpuP6HkSkMf6H/9qPRsPNcgm/Z9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PtMsYAAADcAAAADwAAAAAAAAAAAAAAAACYAgAAZHJz&#10;L2Rvd25yZXYueG1sUEsFBgAAAAAEAAQA9QAAAIsDAAAAAA==&#10;" path="m,694l,e" filled="f" strokecolor="#231f20" strokeweight="1.1pt">
                    <v:path arrowok="t" o:connecttype="custom" o:connectlocs="0,5184;0,4490" o:connectangles="0,0"/>
                  </v:shape>
                </v:group>
                <v:group id="Group 97" o:spid="_x0000_s1163" style="position:absolute;left:7311;top:4490;width:922;height:395" coordorigin="7311,4490" coordsize="92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98" o:spid="_x0000_s1164" style="position:absolute;left:7311;top:4490;width:922;height:395;visibility:visible;mso-wrap-style:square;v-text-anchor:top" coordsize="92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sSr4A&#10;AADcAAAADwAAAGRycy9kb3ducmV2LnhtbESPywrCMBBF94L/EEZwp2kFRapRRBEUF+LjA4ZmbIvN&#10;pDSpVr/eCILLy30c7nzZmlI8qHaFZQXxMAJBnFpdcKbgetkOpiCcR9ZYWiYFL3KwXHQ7c0y0ffKJ&#10;HmefiTDCLkEFufdVIqVLczLohrYiDt7N1gZ9kHUmdY3PMG5KOYqiiTRYcCDkWNE6p/R+bkyAVH5C&#10;m+PlXe723MQHbGh1IKX6vXY1A+Gp9f/wr73TCsZRDN8z4Qj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qLbEq+AAAA3AAAAA8AAAAAAAAAAAAAAAAAmAIAAGRycy9kb3ducmV2&#10;LnhtbFBLBQYAAAAABAAEAPUAAACDAwAAAAA=&#10;" path="m,l922,r,395l,395,,e" stroked="f">
                    <v:path arrowok="t" o:connecttype="custom" o:connectlocs="0,4490;922,4490;922,4885;0,4885;0,4490" o:connectangles="0,0,0,0,0"/>
                  </v:shape>
                </v:group>
                <v:group id="Group 95" o:spid="_x0000_s1165" style="position:absolute;left:7301;top:4470;width:942;height:414" coordorigin="7301,4470" coordsize="94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96" o:spid="_x0000_s1166" style="position:absolute;left:7301;top:4470;width:942;height:414;visibility:visible;mso-wrap-style:square;v-text-anchor:top" coordsize="94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D8nsQA&#10;AADcAAAADwAAAGRycy9kb3ducmV2LnhtbESPT0sDMRTE74LfITzBm02sWtpt07IVBE9C/0GPj83r&#10;ZuvmZdnEbfTTG0HocZiZ3zCLVXKtGKgPjWcNjyMFgrjypuFaw3739jAFESKywdYzafimAKvl7c0C&#10;C+MvvKFhG2uRIRwK1GBj7AopQ2XJYRj5jjh7J987jFn2tTQ9XjLctXKs1EQ6bDgvWOzo1VL1uf1y&#10;Gn54l+zskHD4OJ5LVZLdr583Wt/fpXIOIlKK1/B/+91oeFF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Q/J7EAAAA3AAAAA8AAAAAAAAAAAAAAAAAmAIAAGRycy9k&#10;b3ducmV2LnhtbFBLBQYAAAAABAAEAPUAAACJAwAAAAA=&#10;" path="m942,415l,415,,,942,r,20l20,20r,375l942,395r,20e" fillcolor="#231f20" stroked="f">
                    <v:path arrowok="t" o:connecttype="custom" o:connectlocs="942,4885;0,4885;0,4470;942,4470;942,4490;20,4490;20,4865;942,4865;942,4885" o:connectangles="0,0,0,0,0,0,0,0,0"/>
                  </v:shape>
                </v:group>
                <v:group id="Group 93" o:spid="_x0000_s1167" style="position:absolute;left:8233;top:4490;width:2;height:375" coordorigin="8233,4490" coordsize="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94" o:spid="_x0000_s1168" style="position:absolute;left:8233;top:4490;width:2;height:375;visibility:visible;mso-wrap-style:square;v-text-anchor:top" coordsize="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sBMQA&#10;AADcAAAADwAAAGRycy9kb3ducmV2LnhtbESP3WoCMRSE7wXfIRyhN0WzilZZjVJsC4JQfx/gsDlu&#10;FjcnS5Lq9u0boeDlMDPfMItVa2txIx8qxwqGgwwEceF0xaWC8+mrPwMRIrLG2jEp+KUAq2W3s8Bc&#10;uzsf6HaMpUgQDjkqMDE2uZShMGQxDFxDnLyL8xZjkr6U2uM9wW0tR1n2Ji1WnBYMNrQ2VFyPP1bB&#10;eP+J39uPnfHr4Xh0ed1NPe+3Sr302vc5iEhtfIb/2xutYJJN4H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2rATEAAAA3AAAAA8AAAAAAAAAAAAAAAAAmAIAAGRycy9k&#10;b3ducmV2LnhtbFBLBQYAAAAABAAEAPUAAACJAwAAAAA=&#10;" path="m,375l,e" filled="f" strokecolor="#231f20" strokeweight="1.1pt">
                    <v:path arrowok="t" o:connecttype="custom" o:connectlocs="0,4865;0,4490" o:connectangles="0,0"/>
                  </v:shape>
                </v:group>
                <v:group id="Group 91" o:spid="_x0000_s1169" style="position:absolute;left:6614;top:4230;width:2;height:192" coordorigin="6614,4230"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92" o:spid="_x0000_s1170" style="position:absolute;left:6614;top:4230;width:2;height:19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Uc8UA&#10;AADcAAAADwAAAGRycy9kb3ducmV2LnhtbESPQWsCMRSE7wX/Q3hCL0WTCq2yGkWEgpceupZ6fW6e&#10;2dXNy7qJ7vrvm4LQ4zAz3zCLVe9qcaM2VJ41vI4VCOLCm4qthu/dx2gGIkRkg7Vn0nCnAKvl4GmB&#10;mfEdf9Etj1YkCIcMNZQxNpmUoSjJYRj7hjh5R986jEm2VpoWuwR3tZwo9S4dVpwWSmxoU1Jxzq9O&#10;w/VzelH2MNtjrN0lf/mxm9O90/p52K/nICL18T/8aG+Nhjc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VRzxQAAANwAAAAPAAAAAAAAAAAAAAAAAJgCAABkcnMv&#10;ZG93bnJldi54bWxQSwUGAAAAAAQABAD1AAAAigMAAAAA&#10;" path="m,193l,e" filled="f" strokecolor="#231f20" strokeweight="1.1pt">
                    <v:path arrowok="t" o:connecttype="custom" o:connectlocs="0,4423;0,4230" o:connectangles="0,0"/>
                  </v:shape>
                </v:group>
                <v:group id="Group 89" o:spid="_x0000_s1171" style="position:absolute;left:6585;top:4380;width:58;height:64" coordorigin="6585,4380" coordsize="5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90" o:spid="_x0000_s1172" style="position:absolute;left:6585;top:4380;width:58;height:64;visibility:visible;mso-wrap-style:square;v-text-anchor:top" coordsize="5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XaisYA&#10;AADcAAAADwAAAGRycy9kb3ducmV2LnhtbESPQWvCQBSE74L/YXlCL1I3KVXa1FWi0KI3jVLo7ZF9&#10;TUKzb8Puqum/dwXB4zAz3zDzZW9acSbnG8sK0kkCgri0uuFKwfHw+fwGwgdkja1lUvBPHpaL4WCO&#10;mbYX3tO5CJWIEPYZKqhD6DIpfVmTQT+xHXH0fq0zGKJ0ldQOLxFuWvmSJDNpsOG4UGNH65rKv+Jk&#10;FOxO6WvxPU4PG7kt3Ncq3x7H+Y9ST6M+/wARqA+P8L290QqmyTv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XaisYAAADcAAAADwAAAAAAAAAAAAAAAACYAgAAZHJz&#10;L2Rvd25yZXYueG1sUEsFBgAAAAAEAAQA9QAAAIsDAAAAAA==&#10;" path="m29,64l,,58,,29,64e" fillcolor="#231f20" stroked="f">
                    <v:path arrowok="t" o:connecttype="custom" o:connectlocs="29,4444;0,4380;58,4380;29,4444" o:connectangles="0,0,0,0"/>
                  </v:shape>
                </v:group>
                <v:group id="Group 87" o:spid="_x0000_s1173" style="position:absolute;left:7718;top:4230;width:2;height:192" coordorigin="7718,4230"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88" o:spid="_x0000_s1174" style="position:absolute;left:7718;top:4230;width:2;height:19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QcUA&#10;AADcAAAADwAAAGRycy9kb3ducmV2LnhtbESPT2vCQBTE7wW/w/KEXqRuUvAPqauIIPTSg7HU62v2&#10;dRPNvo3Z1cRv7wpCj8PM/IZZrHpbiyu1vnKsIB0nIIgLpys2Cr7327c5CB+QNdaOScGNPKyWg5cF&#10;Ztp1vKNrHoyIEPYZKihDaDIpfVGSRT92DXH0/lxrMUTZGqlb7CLc1vI9SabSYsVxocSGNiUVp/xi&#10;FVy+ZufE/M4PGGp7zkc/ZnO8dUq9Dvv1B4hAffgPP9ufWsEkTe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f9BxQAAANwAAAAPAAAAAAAAAAAAAAAAAJgCAABkcnMv&#10;ZG93bnJldi54bWxQSwUGAAAAAAQABAD1AAAAigMAAAAA&#10;" path="m,193l,e" filled="f" strokecolor="#231f20" strokeweight="1.1pt">
                    <v:path arrowok="t" o:connecttype="custom" o:connectlocs="0,4423;0,4230" o:connectangles="0,0"/>
                  </v:shape>
                </v:group>
                <v:group id="Group 85" o:spid="_x0000_s1175" style="position:absolute;left:7689;top:4380;width:58;height:64" coordorigin="7689,4380" coordsize="5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86" o:spid="_x0000_s1176" style="position:absolute;left:7689;top:4380;width:58;height:64;visibility:visible;mso-wrap-style:square;v-text-anchor:top" coordsize="5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7vcYA&#10;AADcAAAADwAAAGRycy9kb3ducmV2LnhtbESPQWvCQBSE74L/YXlCL1I3abWU1FWi0KI3jVLo7ZF9&#10;TUKzb8Puqum/dwXB4zAz3zDzZW9acSbnG8sK0kkCgri0uuFKwfHw+fwOwgdkja1lUvBPHpaL4WCO&#10;mbYX3tO5CJWIEPYZKqhD6DIpfVmTQT+xHXH0fq0zGKJ0ldQOLxFuWvmSJG/SYMNxocaO1jWVf8XJ&#10;KNid0mnxPU4PG7kt3Ncq3x7H+Y9ST6M+/wARqA+P8L290Qpm6Sv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R7vcYAAADcAAAADwAAAAAAAAAAAAAAAACYAgAAZHJz&#10;L2Rvd25yZXYueG1sUEsFBgAAAAAEAAQA9QAAAIsDAAAAAA==&#10;" path="m29,64l,,58,,29,64e" fillcolor="#231f20" stroked="f">
                    <v:path arrowok="t" o:connecttype="custom" o:connectlocs="29,4444;0,4380;58,4380;29,4444" o:connectangles="0,0,0,0"/>
                  </v:shape>
                </v:group>
                <v:group id="Group 83" o:spid="_x0000_s1177" style="position:absolute;left:4872;top:3451;width:1275;height:773" coordorigin="4872,3451" coordsize="127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84" o:spid="_x0000_s1178" style="position:absolute;left:4872;top:3451;width:1275;height:773;visibility:visible;mso-wrap-style:square;v-text-anchor:top" coordsize="127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NbsgA&#10;AADcAAAADwAAAGRycy9kb3ducmV2LnhtbESPT2vCQBTE70K/w/KEXkQ3FqISXaWIpYV68Q/q8ZF9&#10;JtHs2zS7NWk/fbcgeBxm5jfMbNGaUtyodoVlBcNBBII4tbrgTMF+99afgHAeWWNpmRT8kIPF/Kkz&#10;w0Tbhjd02/pMBAi7BBXk3leJlC7NyaAb2Io4eGdbG/RB1pnUNTYBbkr5EkUjabDgsJBjRcuc0uv2&#10;2yi4Npde/HXYX47v2Xq3/l2Nz6fRp1LP3fZ1CsJT6x/he/tDK4iHMfyfCU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C41uyAAAANwAAAAPAAAAAAAAAAAAAAAAAJgCAABk&#10;cnMvZG93bnJldi54bWxQSwUGAAAAAAQABAD1AAAAjQMAAAAA&#10;" path="m,l1276,r,773l,773,,e" stroked="f">
                    <v:path arrowok="t" o:connecttype="custom" o:connectlocs="0,3451;1276,3451;1276,4224;0,4224;0,3451" o:connectangles="0,0,0,0,0"/>
                  </v:shape>
                </v:group>
                <v:group id="Group 81" o:spid="_x0000_s1179" style="position:absolute;left:5578;top:2573;width:2663;height:713" coordorigin="5578,2573" coordsize="2663,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82" o:spid="_x0000_s1180" style="position:absolute;left:5578;top:2573;width:2663;height:713;visibility:visible;mso-wrap-style:square;v-text-anchor:top" coordsize="2663,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S2ccA&#10;AADcAAAADwAAAGRycy9kb3ducmV2LnhtbESP3WoCMRSE74W+QzhCb6RmFVplaxSxFCqC+FNoL083&#10;x83Wzcm6ibr69I1Q8HKYmW+Y0aSxpThR7QvHCnrdBARx5nTBuYLP7fvTEIQPyBpLx6TgQh4m44fW&#10;CFPtzrym0ybkIkLYp6jAhFClUvrMkEXfdRVx9HauthiirHOpazxHuC1lP0lepMWC44LBimaGsv3m&#10;aBVQ/7r6Tsxidv356sjtYflG88OvUo/tZvoKIlAT7uH/9odW8NwbwO1MPAJ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ZEtnHAAAA3AAAAA8AAAAAAAAAAAAAAAAAmAIAAGRy&#10;cy9kb3ducmV2LnhtbFBLBQYAAAAABAAEAPUAAACMAwAAAAA=&#10;" path="m,l2663,r,714l,714,,e" stroked="f">
                    <v:path arrowok="t" o:connecttype="custom" o:connectlocs="0,2573;2663,2573;2663,3287;0,3287;0,2573" o:connectangles="0,0,0,0,0"/>
                  </v:shape>
                </v:group>
                <v:group id="Group 79" o:spid="_x0000_s1181" style="position:absolute;left:5568;top:2564;width:2683;height:733" coordorigin="5568,2564" coordsize="2683,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80" o:spid="_x0000_s1182" style="position:absolute;left:5568;top:2564;width:2683;height:733;visibility:visible;mso-wrap-style:square;v-text-anchor:top" coordsize="2683,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3jF8YA&#10;AADcAAAADwAAAGRycy9kb3ducmV2LnhtbESPT2vCQBTE7wW/w/KEXopuLCg1ukqpBmq91H/3R/aZ&#10;RHffhuzWxG/fFQo9DjPzG2a+7KwRN2p85VjBaJiAIM6drrhQcDxkgzcQPiBrNI5JwZ08LBe9pzmm&#10;2rW8o9s+FCJC2KeooAyhTqX0eUkW/dDVxNE7u8ZiiLIppG6wjXBr5GuSTKTFiuNCiTV9lJRf9z9W&#10;wWbVXdsvsz2sL2Pzss7y0/fKZUo997v3GYhAXfgP/7U/tYLxaA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3jF8YAAADcAAAADwAAAAAAAAAAAAAAAACYAgAAZHJz&#10;L2Rvd25yZXYueG1sUEsFBgAAAAAEAAQA9QAAAIsDAAAAAA==&#10;" path="m2683,733l,733,,,2683,r,19l20,19r,694l2683,713r,20e" fillcolor="#231f20" stroked="f">
                    <v:path arrowok="t" o:connecttype="custom" o:connectlocs="2683,3297;0,3297;0,2564;2683,2564;2683,2583;20,2583;20,3277;2683,3277;2683,3297" o:connectangles="0,0,0,0,0,0,0,0,0"/>
                  </v:shape>
                </v:group>
                <v:group id="Group 77" o:spid="_x0000_s1183" style="position:absolute;left:8241;top:2583;width:2;height:694" coordorigin="8241,2583" coordsize="2,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78" o:spid="_x0000_s1184" style="position:absolute;left:8241;top:2583;width:2;height:694;visibility:visible;mso-wrap-style:square;v-text-anchor:top" coordsize="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nTsYA&#10;AADcAAAADwAAAGRycy9kb3ducmV2LnhtbESPUUvDMBSF34X9h3AHvrlkFUW6ZUMGmyJMdA72emnu&#10;mrrmpmvStfv3RhB8PJxzvsOZLwdXiwu1ofKsYTpRIIgLbyouNey/1ndPIEJENlh7Jg1XCrBcjG7m&#10;mBvf8ydddrEUCcIhRw02xiaXMhSWHIaJb4iTd/Stw5hkW0rTYp/grpaZUo/SYcVpwWJDK0vFadc5&#10;Dff920u3+Qjf6tCds2FrT+/WKK1vx8PzDESkIf6H/9qvRsNDNoXfM+k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snTsYAAADcAAAADwAAAAAAAAAAAAAAAACYAgAAZHJz&#10;L2Rvd25yZXYueG1sUEsFBgAAAAAEAAQA9QAAAIsDAAAAAA==&#10;" path="m,694l,e" filled="f" strokecolor="#231f20" strokeweight="1.1pt">
                    <v:path arrowok="t" o:connecttype="custom" o:connectlocs="0,3277;0,2583" o:connectangles="0,0"/>
                  </v:shape>
                </v:group>
                <v:group id="Group 75" o:spid="_x0000_s1185" style="position:absolute;left:3304;top:2402;width:1904;height:809" coordorigin="3304,2402" coordsize="1904,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76" o:spid="_x0000_s1186" style="position:absolute;left:3304;top:2402;width:1904;height:809;visibility:visible;mso-wrap-style:square;v-text-anchor:top" coordsize="1904,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7d8UA&#10;AADcAAAADwAAAGRycy9kb3ducmV2LnhtbESPQWvCQBSE7wX/w/IEL1I3pqTY6CqhIPbQg1Wh10f2&#10;NQlm38bdbRL/fbdQ6HGYmW+YzW40rejJ+cayguUiAUFcWt1wpeBy3j+uQPiArLG1TAru5GG3nTxs&#10;MNd24A/qT6ESEcI+RwV1CF0upS9rMugXtiOO3pd1BkOUrpLa4RDhppVpkjxLgw3HhRo7eq2pvJ6+&#10;jYIwP787xM95YdtDldzw+NJnR6Vm07FYgwg0hv/wX/tNK8jSJ/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rt3xQAAANwAAAAPAAAAAAAAAAAAAAAAAJgCAABkcnMv&#10;ZG93bnJldi54bWxQSwUGAAAAAAQABAD1AAAAigMAAAAA&#10;" path="m,l1904,r,810l,810,,e" stroked="f">
                    <v:path arrowok="t" o:connecttype="custom" o:connectlocs="0,2402;1904,2402;1904,3212;0,3212;0,2402" o:connectangles="0,0,0,0,0"/>
                  </v:shape>
                </v:group>
                <v:group id="Group 73" o:spid="_x0000_s1187" style="position:absolute;left:3294;top:2392;width:1924;height:829" coordorigin="3294,2392" coordsize="1924,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74" o:spid="_x0000_s1188" style="position:absolute;left:3294;top:2392;width:1924;height:829;visibility:visible;mso-wrap-style:square;v-text-anchor:top" coordsize="192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BcUA&#10;AADcAAAADwAAAGRycy9kb3ducmV2LnhtbESPQWvCQBSE70L/w/IK3nQTMVXTrGIFoXqr9eDxkX0m&#10;odm36e6qaX99Vyh4HGbmG6ZY9aYVV3K+sawgHScgiEurG64UHD+3ozkIH5A1tpZJwQ95WC2fBgXm&#10;2t74g66HUIkIYZ+jgjqELpfSlzUZ9GPbEUfvbJ3BEKWrpHZ4i3DTykmSvEiDDceFGjva1FR+HS5G&#10;QbM7/Wbp22yR7Ody7d1sPw2Xb6WGz/36FUSgPjzC/+13rSCbZHA/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IFxQAAANwAAAAPAAAAAAAAAAAAAAAAAJgCAABkcnMv&#10;ZG93bnJldi54bWxQSwUGAAAAAAQABAD1AAAAigMAAAAA&#10;" path="m1924,829l,829,,,1924,r,20l20,20r,790l1924,810r,19e" fillcolor="#231f20" stroked="f">
                    <v:path arrowok="t" o:connecttype="custom" o:connectlocs="1924,3221;0,3221;0,2392;1924,2392;1924,2412;20,2412;20,3202;1924,3202;1924,3221" o:connectangles="0,0,0,0,0,0,0,0,0"/>
                  </v:shape>
                </v:group>
                <v:group id="Group 71" o:spid="_x0000_s1189" style="position:absolute;left:5208;top:2412;width:2;height:790" coordorigin="5208,2412" coordsize="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72" o:spid="_x0000_s1190" style="position:absolute;left:5208;top:2412;width:2;height:790;visibility:visible;mso-wrap-style:square;v-text-anchor:top" coordsize="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QRcMA&#10;AADcAAAADwAAAGRycy9kb3ducmV2LnhtbESPT0sDMRTE74LfITyhN5ttoSpr09IWCl4E3fXi7bF5&#10;+4duXsLm2Y3f3giCx2FmfsNs98mN6kpTHDwbWC0LUMSNtwN3Bj7q8/0TqCjIFkfPZOCbIux3tzdb&#10;LK2f+Z2ulXQqQziWaKAXCaXWsenJYVz6QJy91k8OJcup03bCOcPdqNdF8aAdDpwXegx06qm5VF/O&#10;QML2tdar0M7n+lNCF5O8VUdjFnfp8AxKKMl/+K/9Yg1s1o/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HQRcMAAADcAAAADwAAAAAAAAAAAAAAAACYAgAAZHJzL2Rv&#10;d25yZXYueG1sUEsFBgAAAAAEAAQA9QAAAIgDAAAAAA==&#10;" path="m,790l,e" filled="f" strokecolor="#231f20" strokeweight="1.1pt">
                    <v:path arrowok="t" o:connecttype="custom" o:connectlocs="0,3202;0,2412" o:connectangles="0,0"/>
                  </v:shape>
                </v:group>
                <v:group id="Group 69" o:spid="_x0000_s1191" style="position:absolute;left:4002;top:3477;width:717;height:414" coordorigin="4002,3477" coordsize="717,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70" o:spid="_x0000_s1192" style="position:absolute;left:4002;top:3477;width:717;height:414;visibility:visible;mso-wrap-style:square;v-text-anchor:top" coordsize="717,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vdMUA&#10;AADcAAAADwAAAGRycy9kb3ducmV2LnhtbESP0WrCQBRE34X+w3ILvohuKtWa1FWKIhTFhxo/4JK9&#10;JqHZu2F3NfHvuwXBx2FmzjDLdW8acSPna8sK3iYJCOLC6ppLBed8N16A8AFZY2OZFNzJw3r1Mlhi&#10;pm3HP3Q7hVJECPsMFVQhtJmUvqjIoJ/Yljh6F+sMhihdKbXDLsJNI6dJMpcGa44LFba0qaj4PV2N&#10;gvw937rU0u5YFnn3MUqPh81eKzV87b8+QQTqwzP8aH9rBbNpCv9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m90xQAAANwAAAAPAAAAAAAAAAAAAAAAAJgCAABkcnMv&#10;ZG93bnJldi54bWxQSwUGAAAAAAQABAD1AAAAigMAAAAA&#10;" path="m717,414l,414,,,717,r,19l20,19r,376l717,395r,19e" fillcolor="#231f20" stroked="f">
                    <v:path arrowok="t" o:connecttype="custom" o:connectlocs="717,3891;0,3891;0,3477;717,3477;717,3496;20,3496;20,3872;717,3872;717,3891" o:connectangles="0,0,0,0,0,0,0,0,0"/>
                  </v:shape>
                </v:group>
                <v:group id="Group 67" o:spid="_x0000_s1193" style="position:absolute;left:4709;top:3496;width:2;height:375" coordorigin="4709,3496" coordsize="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68" o:spid="_x0000_s1194" style="position:absolute;left:4709;top:3496;width:2;height:375;visibility:visible;mso-wrap-style:square;v-text-anchor:top" coordsize="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YGMUA&#10;AADcAAAADwAAAGRycy9kb3ducmV2LnhtbESPQWvCQBSE70L/w/IKvRTdaFVs6ipFKLQgqNH2/Mg+&#10;k63ZtyG7jfHfu0LB4zAz3zDzZWcr0VLjjWMFw0ECgjh32nCh4LD/6M9A+ICssXJMCi7kYbl46M0x&#10;1e7MO2qzUIgIYZ+igjKEOpXS5yVZ9ANXE0fv6BqLIcqmkLrBc4TbSo6SZCotGo4LJda0Kik/ZX9W&#10;gVl/PW9wnXz/nI5+bKh93f5WQamnx+79DUSgLtzD/+1PrWDyMoT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lgYxQAAANwAAAAPAAAAAAAAAAAAAAAAAJgCAABkcnMv&#10;ZG93bnJldi54bWxQSwUGAAAAAAQABAD1AAAAigMAAAAA&#10;" path="m,376l,e" filled="f" strokecolor="#231f20" strokeweight=".38769mm">
                    <v:path arrowok="t" o:connecttype="custom" o:connectlocs="0,3872;0,3496" o:connectangles="0,0"/>
                  </v:shape>
                </v:group>
                <v:group id="Group 65" o:spid="_x0000_s1195" style="position:absolute;left:4466;top:4057;width:407;height:2" coordorigin="4466,4057" coordsize="4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66" o:spid="_x0000_s1196" style="position:absolute;left:4466;top:4057;width:407;height:2;visibility:visible;mso-wrap-style:square;v-text-anchor:top" coordsize="4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i7MkA&#10;AADcAAAADwAAAGRycy9kb3ducmV2LnhtbESP3WrCQBSE7wu+w3IK3hTdtNKiqauIIEgptI0/6N1p&#10;9jQJZs/G3a2Jb98tFHo5zMw3zHTemVpcyPnKsoL7YQKCOLe64kLBdrMajEH4gKyxtkwKruRhPuvd&#10;TDHVtuUPumShEBHCPkUFZQhNKqXPSzLoh7Yhjt6XdQZDlK6Q2mEb4aaWD0nyJA1WHBdKbGhZUn7K&#10;vo0C93k32R+zl8Xy/Pr23u4OushWE6X6t93iGUSgLvyH/9prreBxNILfM/EI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Mui7MkAAADcAAAADwAAAAAAAAAAAAAAAACYAgAA&#10;ZHJzL2Rvd25yZXYueG1sUEsFBgAAAAAEAAQA9QAAAI4DAAAAAA==&#10;" path="m,l406,e" filled="f" strokecolor="#231f20" strokeweight=".38194mm">
                    <v:path arrowok="t" o:connecttype="custom" o:connectlocs="0,0;406,0" o:connectangles="0,0"/>
                  </v:shape>
                </v:group>
                <v:group id="Group 63" o:spid="_x0000_s1197" style="position:absolute;left:5163;top:4767;width:2;height:238" coordorigin="5163,4767" coordsize="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64" o:spid="_x0000_s1198" style="position:absolute;left:5163;top:4767;width:2;height:238;visibility:visible;mso-wrap-style:square;v-text-anchor:top" coordsize="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86MQA&#10;AADcAAAADwAAAGRycy9kb3ducmV2LnhtbESPQWvCQBSE74L/YXmF3nQTixKiqxRti4gIjfX+yD6T&#10;YPZtyG6T9N93BcHjMDPfMKvNYGrRUesqywriaQSCOLe64kLBz/lzkoBwHlljbZkU/JGDzXo8WmGq&#10;bc/f1GW+EAHCLkUFpfdNKqXLSzLoprYhDt7VtgZ9kG0hdYt9gJtazqJoIQ1WHBZKbGhbUn7Lfo0C&#10;/5E4qi/Xy+mrPx8O+52L++Go1OvL8L4E4Wnwz/CjvdcK5m9zuJ8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2POjEAAAA3AAAAA8AAAAAAAAAAAAAAAAAmAIAAGRycy9k&#10;b3ducmV2LnhtbFBLBQYAAAAABAAEAPUAAACJAwAAAAA=&#10;" path="m,239l,e" filled="f" strokecolor="#231f20" strokeweight="1.1pt">
                    <v:path arrowok="t" o:connecttype="custom" o:connectlocs="0,5006;0,4767" o:connectangles="0,0"/>
                  </v:shape>
                </v:group>
                <v:group id="Group 61" o:spid="_x0000_s1199" style="position:absolute;left:5134;top:4965;width:58;height:61" coordorigin="5134,4965" coordsize="5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62" o:spid="_x0000_s1200" style="position:absolute;left:5134;top:4965;width:58;height:61;visibility:visible;mso-wrap-style:square;v-text-anchor:top" coordsize="5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8QsMA&#10;AADcAAAADwAAAGRycy9kb3ducmV2LnhtbESPzYrCMBSF9wO+Q7iCuzFVcZRqFBUEhVmMVdDlpbm2&#10;xeamNLGtb28GBmZ5OD8fZ7nuTCkaql1hWcFoGIEgTq0uOFNwOe8/5yCcR9ZYWiYFL3KwXvU+lhhr&#10;2/KJmsRnIoywi1FB7n0VS+nSnAy6oa2Ig3e3tUEfZJ1JXWMbxk0px1H0JQ0WHAg5VrTLKX0kTxMg&#10;l23j3TU67M7N7dh+3/g4/pkoNeh3mwUIT53/D/+1D1rBdDKD3zPh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y8QsMAAADcAAAADwAAAAAAAAAAAAAAAACYAgAAZHJzL2Rv&#10;d25yZXYueG1sUEsFBgAAAAAEAAQA9QAAAIgDAAAAAA==&#10;" path="m29,61l,,58,,29,61e" fillcolor="#231f20" stroked="f">
                    <v:path arrowok="t" o:connecttype="custom" o:connectlocs="29,5026;0,4965;58,4965;29,5026" o:connectangles="0,0,0,0"/>
                  </v:shape>
                </v:group>
                <v:group id="Group 59" o:spid="_x0000_s1201" style="position:absolute;left:3552;top:4477;width:986;height:414" coordorigin="3552,4477" coordsize="986,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60" o:spid="_x0000_s1202" style="position:absolute;left:3552;top:4477;width:986;height:414;visibility:visible;mso-wrap-style:square;v-text-anchor:top" coordsize="98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iacQA&#10;AADcAAAADwAAAGRycy9kb3ducmV2LnhtbESPQWvCQBSE74X+h+UVvNWNFUubuooUgl6NbaC3R/aZ&#10;DWbfhuwaV3+9Wyj0OMzMN8xyHW0nRhp861jBbJqBIK6dbrlR8HUont9A+ICssXNMCq7kYb16fFhi&#10;rt2F9zSWoREJwj5HBSaEPpfS14Ys+qnriZN3dIPFkOTQSD3gJcFtJ1+y7FVabDktGOzp01B9Ks9W&#10;weG2qXQsdrEav802lNvip7IzpSZPcfMBIlAM/+G/9k4rWMzf4fd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omnEAAAA3AAAAA8AAAAAAAAAAAAAAAAAmAIAAGRycy9k&#10;b3ducmV2LnhtbFBLBQYAAAAABAAEAPUAAACJAwAAAAA=&#10;" path="m986,414l,414,,,986,r,20l20,20r,375l986,395r,19e" fillcolor="#231f20" stroked="f">
                    <v:path arrowok="t" o:connecttype="custom" o:connectlocs="986,4891;0,4891;0,4477;986,4477;986,4497;20,4497;20,4872;986,4872;986,4891" o:connectangles="0,0,0,0,0,0,0,0,0"/>
                  </v:shape>
                </v:group>
                <v:group id="Group 57" o:spid="_x0000_s1203" style="position:absolute;left:4528;top:4497;width:2;height:375" coordorigin="4528,4497" coordsize="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58" o:spid="_x0000_s1204" style="position:absolute;left:4528;top:4497;width:2;height:375;visibility:visible;mso-wrap-style:square;v-text-anchor:top" coordsize="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rZcUA&#10;AADcAAAADwAAAGRycy9kb3ducmV2LnhtbESPQWvCQBSE74L/YXlCL0U3FittzCpSKFQQqtZ6fmRf&#10;ktXs25Ddxvjvu4WCx2FmvmGyVW9r0VHrjWMF00kCgjh32nCp4Pj1Pn4B4QOyxtoxKbiRh9VyOMgw&#10;1e7Ke+oOoRQRwj5FBVUITSqlzyuy6CeuIY5e4VqLIcq2lLrFa4TbWj4lyVxaNBwXKmzoraL8cvix&#10;Csx28/iJ2+T7dCn8zFD3ujvXQamHUb9egAjUh3v4v/2hFTzPp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CtlxQAAANwAAAAPAAAAAAAAAAAAAAAAAJgCAABkcnMv&#10;ZG93bnJldi54bWxQSwUGAAAAAAQABAD1AAAAigMAAAAA&#10;" path="m,375l,e" filled="f" strokecolor="#231f20" strokeweight=".38769mm">
                    <v:path arrowok="t" o:connecttype="custom" o:connectlocs="0,4872;0,4497" o:connectangles="0,0"/>
                  </v:shape>
                </v:group>
                <v:group id="Group 55" o:spid="_x0000_s1205" style="position:absolute;left:4746;top:4485;width:1306;height:303" coordorigin="4746,4485" coordsize="1306,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56" o:spid="_x0000_s1206" style="position:absolute;left:4746;top:4485;width:1306;height:303;visibility:visible;mso-wrap-style:square;v-text-anchor:top" coordsize="130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O7ccA&#10;AADcAAAADwAAAGRycy9kb3ducmV2LnhtbESPT2vCQBTE70K/w/IKvemm/qOkWSUUW/VSaRR6fWaf&#10;Sdrs25BdNfrpuwXB4zAzv2GSeWdqcaLWVZYVPA8iEMS51RUXCnbb9/4LCOeRNdaWScGFHMxnD70E&#10;Y23P/EWnzBciQNjFqKD0vomldHlJBt3ANsTBO9jWoA+yLaRu8RzgppbDKJpKgxWHhRIbeisp/82O&#10;RsF0sVzvv/Vnl2buOrpuLmaT/nwo9fTYpa8gPHX+Hr61V1rBZDyC/zPh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uzu3HAAAA3AAAAA8AAAAAAAAAAAAAAAAAmAIAAGRy&#10;cy9kb3ducmV2LnhtbFBLBQYAAAAABAAEAPUAAACMAwAAAAA=&#10;" path="m1306,303l,303,,,1306,r,20l20,20r,263l1306,283r,20e" fillcolor="#231f20" stroked="f">
                    <v:path arrowok="t" o:connecttype="custom" o:connectlocs="1306,4788;0,4788;0,4485;1306,4485;1306,4505;20,4505;20,4768;1306,4768;1306,4788" o:connectangles="0,0,0,0,0,0,0,0,0"/>
                  </v:shape>
                </v:group>
                <v:group id="Group 53" o:spid="_x0000_s1207" style="position:absolute;left:6042;top:4505;width:2;height:263" coordorigin="6042,4505" coordsize="2,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54" o:spid="_x0000_s1208" style="position:absolute;left:6042;top:4505;width:2;height:263;visibility:visible;mso-wrap-style:square;v-text-anchor:top" coordsize="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01MYA&#10;AADcAAAADwAAAGRycy9kb3ducmV2LnhtbESP0WrCQBRE3wv+w3ILfRHdGGIr0TXYUlGUUrT9gGv2&#10;Nglm74bsGuPfdwtCH4eZOcMsst7UoqPWVZYVTMYRCOLc6ooLBd9f69EMhPPIGmvLpOBGDrLl4GGB&#10;qbZXPlB39IUIEHYpKii9b1IpXV6SQTe2DXHwfmxr0AfZFlK3eA1wU8s4ip6lwYrDQokNvZWUn48X&#10;o2B38psbvw+3Lx9J9LmPN/3BFa9KPT32qzkIT73/D9/bW61gmkz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y01MYAAADcAAAADwAAAAAAAAAAAAAAAACYAgAAZHJz&#10;L2Rvd25yZXYueG1sUEsFBgAAAAAEAAQA9QAAAIsDAAAAAA==&#10;" path="m,263l,e" filled="f" strokecolor="#231f20" strokeweight="1.1pt">
                    <v:path arrowok="t" o:connecttype="custom" o:connectlocs="0,4768;0,4505" o:connectangles="0,0"/>
                  </v:shape>
                </v:group>
                <v:group id="Group 51" o:spid="_x0000_s1209" style="position:absolute;left:5163;top:4218;width:2;height:225" coordorigin="5163,4218" coordsize="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52" o:spid="_x0000_s1210" style="position:absolute;left:5163;top:4218;width:2;height:225;visibility:visible;mso-wrap-style:square;v-text-anchor:top" coordsize="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UwMcA&#10;AADcAAAADwAAAGRycy9kb3ducmV2LnhtbESPQWsCMRSE7wX/Q3gFbzWx1NpujSKCWKoHawva22Pz&#10;uru4eVmSdF37641Q6HGYmW+YyayztWjJh8qxhuFAgSDOnam40PD5sbx7AhEissHaMWk4U4DZtHcz&#10;wcy4E79Tu4uFSBAOGWooY2wyKUNeksUwcA1x8r6dtxiT9IU0Hk8Jbmt5r9SjtFhxWiixoUVJ+XH3&#10;YzW8PX8t1n5zGG7VvvmV7fK4qs9K6/5tN38BEamL/+G/9qvRMHoYw/VMOg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5FMDHAAAA3AAAAA8AAAAAAAAAAAAAAAAAmAIAAGRy&#10;cy9kb3ducmV2LnhtbFBLBQYAAAAABAAEAPUAAACMAwAAAAA=&#10;" path="m,225l,e" filled="f" strokecolor="#231f20" strokeweight="1.1pt">
                    <v:path arrowok="t" o:connecttype="custom" o:connectlocs="0,4443;0,4218" o:connectangles="0,0"/>
                  </v:shape>
                </v:group>
                <v:group id="Group 49" o:spid="_x0000_s1211" style="position:absolute;left:5134;top:4405;width:58;height:57" coordorigin="5134,4405" coordsize="5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50" o:spid="_x0000_s1212" style="position:absolute;left:5134;top:4405;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47MUA&#10;AADcAAAADwAAAGRycy9kb3ducmV2LnhtbESPQWvCQBSE70L/w/IK3ppNi4pNXUUURS/V2tLzI/tM&#10;QrNv0+yajf++KxQ8DjPzDTNb9KYWHbWusqzgOUlBEOdWV1wo+PrcPE1BOI+ssbZMCq7kYDF/GMww&#10;0zbwB3UnX4gIYZehgtL7JpPS5SUZdIltiKN3tq1BH2VbSN1iiHBTy5c0nUiDFceFEhtalZT/nC5G&#10;wVovzzoP4RhGvx2t9+/f5rDaKjV87JdvIDz1/h7+b++0gvHoFW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7jsxQAAANwAAAAPAAAAAAAAAAAAAAAAAJgCAABkcnMv&#10;ZG93bnJldi54bWxQSwUGAAAAAAQABAD1AAAAigMAAAAA&#10;" path="m29,57l,,58,,29,57e" fillcolor="#231f20" stroked="f">
                    <v:path arrowok="t" o:connecttype="custom" o:connectlocs="29,4462;0,4405;58,4405;29,4462" o:connectangles="0,0,0,0"/>
                  </v:shape>
                </v:group>
                <v:group id="Group 47" o:spid="_x0000_s1213" style="position:absolute;left:4466;top:4046;width:2;height:397" coordorigin="4466,4046" coordsize="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48" o:spid="_x0000_s1214" style="position:absolute;left:4466;top:4046;width:2;height:397;visibility:visible;mso-wrap-style:square;v-text-anchor:top" coordsize="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6vI8QA&#10;AADcAAAADwAAAGRycy9kb3ducmV2LnhtbESP0WoCMRRE3wv+Q7hC3zRrUSmrUUQUSx9Ku/oB1811&#10;dzW52W6ipn/fFIQ+DjNzhpkvozXiRp1vHCsYDTMQxKXTDVcKDvvt4BWED8gajWNS8EMelove0xxz&#10;7e78RbciVCJB2OeooA6hzaX0ZU0W/dC1xMk7uc5iSLKrpO7wnuDWyJcsm0qLDaeFGlta11ReiqtV&#10;EENx/tjGjVl/707m+Dmm9ylelXrux9UMRKAY/sOP9ptWMJmM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OryPEAAAA3AAAAA8AAAAAAAAAAAAAAAAAmAIAAGRycy9k&#10;b3ducmV2LnhtbFBLBQYAAAAABAAEAPUAAACJAwAAAAA=&#10;" path="m,397l,e" filled="f" strokecolor="#231f20" strokeweight=".38842mm">
                    <v:path arrowok="t" o:connecttype="custom" o:connectlocs="0,4443;0,4046" o:connectangles="0,0"/>
                  </v:shape>
                </v:group>
                <v:group id="Group 45" o:spid="_x0000_s1215" style="position:absolute;left:4437;top:4405;width:58;height:57" coordorigin="4437,4405" coordsize="5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46" o:spid="_x0000_s1216" style="position:absolute;left:4437;top:4405;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Z28UA&#10;AADcAAAADwAAAGRycy9kb3ducmV2LnhtbESPT2vCQBTE70K/w/IK3ppNWxVJXUWUlnqpf+n5kX0m&#10;odm3aXbNxm/vFgoeh5n5DTNb9KYWHbWusqzgOUlBEOdWV1woOB3fn6YgnEfWWFsmBVdysJg/DGaY&#10;aRt4T93BFyJC2GWooPS+yaR0eUkGXWIb4uidbWvQR9kWUrcYItzU8iVNJ9JgxXGhxIZWJeU/h4tR&#10;sNbLs85D2IXRb0frzde32a4+lBo+9ss3EJ56fw//tz+1gvH4Ff7O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nbxQAAANwAAAAPAAAAAAAAAAAAAAAAAJgCAABkcnMv&#10;ZG93bnJldi54bWxQSwUGAAAAAAQABAD1AAAAigMAAAAA&#10;" path="m29,57l,,58,,29,57e" fillcolor="#231f20" stroked="f">
                    <v:path arrowok="t" o:connecttype="custom" o:connectlocs="29,4462;0,4405;58,4405;29,4462" o:connectangles="0,0,0,0"/>
                  </v:shape>
                </v:group>
                <v:group id="Group 43" o:spid="_x0000_s1217" style="position:absolute;left:4862;top:3431;width:1300;height:813" coordorigin="4862,3431" coordsize="1300,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44" o:spid="_x0000_s1218" style="position:absolute;left:4862;top:3431;width:1300;height:813;visibility:visible;mso-wrap-style:square;v-text-anchor:top" coordsize="130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3s8IA&#10;AADcAAAADwAAAGRycy9kb3ducmV2LnhtbESPzWrDMBCE74G8g9hAb7HcgkNxooTiYij01Li5b6yt&#10;ZWqtXEmN3bevAoEch/n5mN1htoO4kA+9YwWPWQ6CuHW6507BZ1Ovn0GEiKxxcEwK/ijAYb9c7LDU&#10;buIPuhxjJ9IIhxIVmBjHUsrQGrIYMjcSJ+/LeYsxSd9J7XFK43aQT3m+kRZ7TgSDI1WG2u/jr02Q&#10;6YymODX+x9fDa5O7qsb3SqmH1fyyBRFpjvfwrf2mFRRFAdcz6Qj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DezwgAAANwAAAAPAAAAAAAAAAAAAAAAAJgCAABkcnMvZG93&#10;bnJldi54bWxQSwUGAAAAAAQABAD1AAAAhwMAAAAA&#10;" path="m1301,813l,813,,,1301,r,20l20,20r,773l1301,793r,20e" fillcolor="#231f20" stroked="f">
                    <v:path arrowok="t" o:connecttype="custom" o:connectlocs="1301,4244;0,4244;0,3431;1301,3431;1301,3451;20,3451;20,4224;1301,4224;1301,4244" o:connectangles="0,0,0,0,0,0,0,0,0"/>
                  </v:shape>
                </v:group>
                <v:group id="Group 41" o:spid="_x0000_s1219" style="position:absolute;left:6153;top:3451;width:2;height:773" coordorigin="6153,3451" coordsize="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42" o:spid="_x0000_s1220" style="position:absolute;left:6153;top:3451;width:2;height:773;visibility:visible;mso-wrap-style:square;v-text-anchor:top" coordsize="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ON8UA&#10;AADcAAAADwAAAGRycy9kb3ducmV2LnhtbESPzWsCMRTE74L/Q3gFb5qt4Ee3RhFB8SDFj156e928&#10;ZrfdvCxJ1PW/NwXB4zAzv2Fmi9bW4kI+VI4VvA4yEMSF0xUbBZ+ndX8KIkRkjbVjUnCjAIt5tzPD&#10;XLsrH+hyjEYkCIccFZQxNrmUoSjJYhi4hjh5P85bjEl6I7XHa4LbWg6zbCwtVpwWSmxoVVLxdzxb&#10;BdPwfSr2u2A/lv5rYw5vZrP9NUr1XtrlO4hIbXyGH+2tVjAaTeD/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U43xQAAANwAAAAPAAAAAAAAAAAAAAAAAJgCAABkcnMv&#10;ZG93bnJldi54bWxQSwUGAAAAAAQABAD1AAAAigMAAAAA&#10;" path="m,773l,e" filled="f" strokecolor="#231f20" strokeweight="1.1pt">
                    <v:path arrowok="t" o:connecttype="custom" o:connectlocs="0,4224;0,3451" o:connectangles="0,0"/>
                  </v:shape>
                </v:group>
                <v:group id="Group 39" o:spid="_x0000_s1221" style="position:absolute;left:7381;top:3434;width:869;height:343" coordorigin="7381,3434" coordsize="869,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40" o:spid="_x0000_s1222" style="position:absolute;left:7381;top:3434;width:869;height:343;visibility:visible;mso-wrap-style:square;v-text-anchor:top" coordsize="86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ccMUA&#10;AADcAAAADwAAAGRycy9kb3ducmV2LnhtbESPT0vDQBTE70K/w/IEL2I2FVs0ZltKxT/QU5P2/sg+&#10;s9Hs27C7JvHbu4LgcZiZ3zDldra9GMmHzrGCZZaDIG6c7rhVcKqfb+5BhIissXdMCr4pwHazuCix&#10;0G7iI41VbEWCcChQgYlxKKQMjSGLIXMDcfLenbcYk/St1B6nBLe9vM3ztbTYcVowONDeUPNZfVkF&#10;1evT9Uetm5dJH8x48nfnQU9npa4u590jiEhz/A//td+0gtXqAX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9xwxQAAANwAAAAPAAAAAAAAAAAAAAAAAJgCAABkcnMv&#10;ZG93bnJldi54bWxQSwUGAAAAAAQABAD1AAAAigMAAAAA&#10;" path="m868,344l,344,,,868,r,20l20,20r,304l868,324r,20e" fillcolor="#231f20" stroked="f">
                    <v:path arrowok="t" o:connecttype="custom" o:connectlocs="868,3778;0,3778;0,3434;868,3434;868,3454;20,3454;20,3758;868,3758;868,3778" o:connectangles="0,0,0,0,0,0,0,0,0"/>
                  </v:shape>
                </v:group>
                <v:group id="Group 37" o:spid="_x0000_s1223" style="position:absolute;left:8239;top:3454;width:2;height:304" coordorigin="8239,3454" coordsize="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38" o:spid="_x0000_s1224" style="position:absolute;left:8239;top:3454;width:2;height:304;visibility:visible;mso-wrap-style:square;v-text-anchor:top" coordsize="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kLsEA&#10;AADcAAAADwAAAGRycy9kb3ducmV2LnhtbESPzarCMBSE94LvEI7gzqYKilSjXK6Ienf+gNtDc2yK&#10;zUltota3vxEEl8PMfMPMl62txIMaXzpWMExSEMS50yUXCk7H9WAKwgdkjZVjUvAiD8tFtzPHTLsn&#10;7+lxCIWIEPYZKjAh1JmUPjdk0SeuJo7exTUWQ5RNIXWDzwi3lRyl6URaLDkuGKzp11B+Pdytgr3/&#10;o821vu/K1fkl7c6sb7yqlOr32p8ZiEBt+IY/7a1WMJ4M4X0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M5C7BAAAA3AAAAA8AAAAAAAAAAAAAAAAAmAIAAGRycy9kb3du&#10;cmV2LnhtbFBLBQYAAAAABAAEAPUAAACGAwAAAAA=&#10;" path="m,304l,e" filled="f" strokecolor="#231f20" strokeweight=".38842mm">
                    <v:path arrowok="t" o:connecttype="custom" o:connectlocs="0,3758;0,3454" o:connectangles="0,0"/>
                  </v:shape>
                </v:group>
                <v:group id="Group 35" o:spid="_x0000_s1225" style="position:absolute;left:7127;top:3777;width:20;height:83" coordorigin="7127,3777" coordsize="2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36" o:spid="_x0000_s1226" style="position:absolute;left:7127;top:3777;width:20;height:83;visibility:visible;mso-wrap-style:square;v-text-anchor:top" coordsize="2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bRcUA&#10;AADcAAAADwAAAGRycy9kb3ducmV2LnhtbESPzWrDMBCE74W+g9hCL6WR21AT3CghJJQ6veXnARZr&#10;a5laK2OtE7dPXwUCOQ4z8w0zX46+VSfqYxPYwMskA0VcBdtwbeB4+HiegYqCbLENTAZ+KcJycX83&#10;x8KGM+/otJdaJQjHAg04ka7QOlaOPMZJ6IiT9x16j5JkX2vb4znBfatfsyzXHhtOCw47WjuqfvaD&#10;N2A3T9tp+VluxjovB3HDQfDrz5jHh3H1DkpolFv42i6tgbd8Cpcz6Qj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xtFxQAAANwAAAAPAAAAAAAAAAAAAAAAAJgCAABkcnMv&#10;ZG93bnJldi54bWxQSwUGAAAAAAQABAD1AAAAigMAAAAA&#10;" path="m10,83l10,e" filled="f" strokecolor="#231f20" strokeweight="1.1pt">
                    <v:path arrowok="t" o:connecttype="custom" o:connectlocs="10,3860;10,3777" o:connectangles="0,0"/>
                  </v:shape>
                </v:group>
                <v:group id="Group 33" o:spid="_x0000_s1227" style="position:absolute;left:7108;top:3822;width:58;height:57" coordorigin="7108,3822" coordsize="5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34" o:spid="_x0000_s1228" style="position:absolute;left:7108;top:3822;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uicUA&#10;AADcAAAADwAAAGRycy9kb3ducmV2LnhtbESPzWrDMBCE74W8g9hAb42c0ITgRDYhoaW9tPkj58Xa&#10;2CbWyrFUy337qlDocZiZb5h1PphG9NS52rKC6SQBQVxYXXOp4Hx6eVqCcB5ZY2OZFHyTgzwbPawx&#10;1TbwgfqjL0WEsEtRQeV9m0rpiooMuoltiaN3tZ1BH2VXSt1hiHDTyFmSLKTBmuNChS1tKypuxy+j&#10;YKc3V12EsA/P95527x8X87l9VepxPGxWIDwN/j/8137TCuaLOf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6JxQAAANwAAAAPAAAAAAAAAAAAAAAAAJgCAABkcnMv&#10;ZG93bnJldi54bWxQSwUGAAAAAAQABAD1AAAAigMAAAAA&#10;" path="m29,57l,,58,,29,57e" fillcolor="#231f20" stroked="f">
                    <v:path arrowok="t" o:connecttype="custom" o:connectlocs="29,3879;0,3822;58,3822;29,3879" o:connectangles="0,0,0,0"/>
                  </v:shape>
                </v:group>
                <v:group id="Group 31" o:spid="_x0000_s1229" style="position:absolute;left:6287;top:3444;width:1065;height:337" coordorigin="6287,3444" coordsize="1065,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32" o:spid="_x0000_s1230" style="position:absolute;left:6287;top:3444;width:1065;height:337;visibility:visible;mso-wrap-style:square;v-text-anchor:top" coordsize="1065,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yJ8MA&#10;AADcAAAADwAAAGRycy9kb3ducmV2LnhtbESPW2sCMRSE34X+h3AKvmnWghdWo9jSgvSlXtr3w+aY&#10;3XZzEpLU3f77RhB8HGbmG2a16W0rLhRi41jBZFyAIK6cbtgo+Dy9jRYgYkLW2DomBX8UYbN+GKyw&#10;1K7jA12OyYgM4ViigjolX0oZq5osxrHzxNk7u2AxZRmM1AG7DLetfCqKmbTYcF6o0dNLTdXP8dcq&#10;eN1/Nx+xwjj1aN6D+Tp0vn9WavjYb5cgEvXpHr61d1rBdDaH65l8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ByJ8MAAADcAAAADwAAAAAAAAAAAAAAAACYAgAAZHJzL2Rv&#10;d25yZXYueG1sUEsFBgAAAAAEAAQA9QAAAIgDAAAAAA==&#10;" path="m1065,338l,338,,,1065,r,23l20,23r,292l1065,315r,23e" fillcolor="#231f20" stroked="f">
                    <v:path arrowok="t" o:connecttype="custom" o:connectlocs="1065,3782;0,3782;0,3444;1065,3444;1065,3467;20,3467;20,3759;1065,3759;1065,3782" o:connectangles="0,0,0,0,0,0,0,0,0"/>
                  </v:shape>
                </v:group>
                <v:group id="Group 29" o:spid="_x0000_s1231" style="position:absolute;left:7342;top:3467;width:2;height:292" coordorigin="7342,3467" coordsize="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30" o:spid="_x0000_s1232" style="position:absolute;left:7342;top:3467;width:2;height:292;visibility:visible;mso-wrap-style:square;v-text-anchor:top" coordsize="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ya8QA&#10;AADcAAAADwAAAGRycy9kb3ducmV2LnhtbESPQWvCQBSE7wX/w/IEb3WjYFqjq4ilmEsPteL5kX3J&#10;RrNvQ3aN8d+7hUKPw8x8w6y3g21ET52vHSuYTRMQxIXTNVcKTj+fr+8gfEDW2DgmBQ/ysN2MXtaY&#10;aXfnb+qPoRIRwj5DBSaENpPSF4Ys+qlriaNXus5iiLKrpO7wHuG2kfMkSaXFmuOCwZb2horr8WYV&#10;1OUl/6Jzmr/d+o9yMefkIM1Vqcl42K1ABBrCf/ivnWsFi3QJv2fi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cmvEAAAA3AAAAA8AAAAAAAAAAAAAAAAAmAIAAGRycy9k&#10;b3ducmV2LnhtbFBLBQYAAAAABAAEAPUAAACJAwAAAAA=&#10;" path="m,292l,e" filled="f" strokecolor="#231f20" strokeweight="1.1pt">
                    <v:path arrowok="t" o:connecttype="custom" o:connectlocs="0,3759;0,3467" o:connectangles="0,0"/>
                  </v:shape>
                </v:group>
                <v:group id="Group 27" o:spid="_x0000_s1233" style="position:absolute;left:1209;top:1054;width:7120;height:2" coordorigin="1209,1054" coordsize="7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28" o:spid="_x0000_s1234" style="position:absolute;left:1209;top:1054;width:7120;height:2;visibility:visible;mso-wrap-style:square;v-text-anchor:top" coordsize="7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UR8YA&#10;AADcAAAADwAAAGRycy9kb3ducmV2LnhtbESPQWvCQBSE7wX/w/KEXqRuLLRpU1eRQlpvRaNCbo/s&#10;Mwlm34bsmqT/visUPA4z8w2zXI+mET11rrasYDGPQBAXVtdcKjhk6dMbCOeRNTaWScEvOVivJg9L&#10;TLQdeEf93pciQNglqKDyvk2kdEVFBt3ctsTBO9vOoA+yK6XucAhw08jnKHqVBmsOCxW29FlRcdlf&#10;jYKZzPOf8et9ptOYr8fvU5ln2Uapx+m4+QDhafT38H97qxW8xAu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UUR8YAAADcAAAADwAAAAAAAAAAAAAAAACYAgAAZHJz&#10;L2Rvd25yZXYueG1sUEsFBgAAAAAEAAQA9QAAAIsDAAAAAA==&#10;" path="m,l7120,e" filled="f" strokecolor="#231f20" strokeweight=".34667mm">
                    <v:path arrowok="t" o:connecttype="custom" o:connectlocs="0,0;7120,0" o:connectangles="0,0"/>
                  </v:shape>
                </v:group>
                <w10:wrap anchorx="page"/>
              </v:group>
            </w:pict>
          </mc:Fallback>
        </mc:AlternateContent>
      </w:r>
      <w:r w:rsidR="00FF2CD0" w:rsidRPr="00C203F3">
        <w:rPr>
          <w:rFonts w:ascii="Arial Narrow" w:eastAsia="Arial" w:hAnsi="Arial Narrow" w:cs="Arial"/>
          <w:color w:val="231F20"/>
          <w:sz w:val="24"/>
          <w:szCs w:val="24"/>
        </w:rPr>
        <w:t>FlowchartonthediagnosisofpulmonaryTBinchildrenabove6yearsand</w:t>
      </w:r>
      <w:r w:rsidR="00FF2CD0" w:rsidRPr="00C203F3">
        <w:rPr>
          <w:rFonts w:ascii="Arial Narrow" w:eastAsia="Arial" w:hAnsi="Arial Narrow" w:cs="Arial"/>
          <w:color w:val="231F20"/>
          <w:w w:val="105"/>
          <w:sz w:val="24"/>
          <w:szCs w:val="24"/>
        </w:rPr>
        <w:t>adult</w:t>
      </w:r>
    </w:p>
    <w:p w:rsidR="00FF2CD0" w:rsidRPr="00C203F3" w:rsidRDefault="00FF2CD0" w:rsidP="00FF2CD0">
      <w:pPr>
        <w:spacing w:before="5" w:after="0" w:line="120" w:lineRule="exact"/>
        <w:rPr>
          <w:rFonts w:ascii="Arial Narrow" w:hAnsi="Arial Narrow"/>
          <w:sz w:val="24"/>
          <w:szCs w:val="24"/>
        </w:rPr>
      </w:pPr>
    </w:p>
    <w:p w:rsidR="00FF2CD0" w:rsidRPr="00C203F3" w:rsidRDefault="00FF2CD0" w:rsidP="00FF2CD0">
      <w:pPr>
        <w:spacing w:after="0" w:line="193" w:lineRule="exact"/>
        <w:ind w:left="4450" w:right="3724"/>
        <w:jc w:val="center"/>
        <w:rPr>
          <w:rFonts w:ascii="Arial Narrow" w:eastAsia="Arial" w:hAnsi="Arial Narrow" w:cs="Arial"/>
          <w:sz w:val="24"/>
          <w:szCs w:val="24"/>
        </w:rPr>
      </w:pPr>
      <w:r w:rsidRPr="00C203F3">
        <w:rPr>
          <w:rFonts w:ascii="Arial Narrow" w:eastAsia="Arial" w:hAnsi="Arial Narrow" w:cs="Arial"/>
          <w:b/>
          <w:bCs/>
          <w:color w:val="231F20"/>
          <w:position w:val="-1"/>
          <w:sz w:val="24"/>
          <w:szCs w:val="24"/>
        </w:rPr>
        <w:t>TB</w:t>
      </w:r>
      <w:r w:rsidRPr="00C203F3">
        <w:rPr>
          <w:rFonts w:ascii="Arial Narrow" w:eastAsia="Arial" w:hAnsi="Arial Narrow" w:cs="Arial"/>
          <w:b/>
          <w:bCs/>
          <w:color w:val="231F20"/>
          <w:w w:val="105"/>
          <w:position w:val="-1"/>
          <w:sz w:val="24"/>
          <w:szCs w:val="24"/>
        </w:rPr>
        <w:t>suspect</w:t>
      </w:r>
    </w:p>
    <w:p w:rsidR="00FF2CD0" w:rsidRPr="00C203F3" w:rsidRDefault="00FF2CD0" w:rsidP="00FF2CD0">
      <w:pPr>
        <w:spacing w:after="0"/>
        <w:jc w:val="center"/>
        <w:rPr>
          <w:rFonts w:ascii="Arial Narrow" w:hAnsi="Arial Narrow"/>
          <w:sz w:val="24"/>
          <w:szCs w:val="24"/>
        </w:rPr>
        <w:sectPr w:rsidR="00FF2CD0" w:rsidRPr="00C203F3">
          <w:pgSz w:w="9240" w:h="12760"/>
          <w:pgMar w:top="420" w:right="0" w:bottom="280" w:left="0" w:header="0" w:footer="0" w:gutter="0"/>
          <w:cols w:space="720"/>
        </w:sectPr>
      </w:pPr>
    </w:p>
    <w:p w:rsidR="00FF2CD0" w:rsidRPr="00C203F3" w:rsidRDefault="00FF2CD0" w:rsidP="00FF2CD0">
      <w:pPr>
        <w:spacing w:before="23" w:after="0" w:line="240" w:lineRule="auto"/>
        <w:ind w:right="-20"/>
        <w:jc w:val="right"/>
        <w:rPr>
          <w:rFonts w:ascii="Arial Narrow" w:eastAsia="Arial" w:hAnsi="Arial Narrow" w:cs="Arial"/>
          <w:sz w:val="24"/>
          <w:szCs w:val="24"/>
        </w:rPr>
      </w:pPr>
      <w:r w:rsidRPr="00C203F3">
        <w:rPr>
          <w:rFonts w:ascii="Arial Narrow" w:eastAsia="Arial" w:hAnsi="Arial Narrow" w:cs="Arial"/>
          <w:b/>
          <w:bCs/>
          <w:color w:val="231F20"/>
          <w:spacing w:val="-3"/>
          <w:sz w:val="24"/>
          <w:szCs w:val="24"/>
        </w:rPr>
        <w:t>V</w:t>
      </w:r>
      <w:r w:rsidRPr="00C203F3">
        <w:rPr>
          <w:rFonts w:ascii="Arial Narrow" w:eastAsia="Arial" w:hAnsi="Arial Narrow" w:cs="Arial"/>
          <w:b/>
          <w:bCs/>
          <w:color w:val="231F20"/>
          <w:sz w:val="24"/>
          <w:szCs w:val="24"/>
        </w:rPr>
        <w:t>isit</w:t>
      </w:r>
      <w:r w:rsidRPr="00C203F3">
        <w:rPr>
          <w:rFonts w:ascii="Arial Narrow" w:eastAsia="Arial" w:hAnsi="Arial Narrow" w:cs="Arial"/>
          <w:b/>
          <w:bCs/>
          <w:color w:val="231F20"/>
          <w:w w:val="102"/>
          <w:sz w:val="24"/>
          <w:szCs w:val="24"/>
        </w:rPr>
        <w:t>1</w:t>
      </w:r>
    </w:p>
    <w:p w:rsidR="00FF2CD0" w:rsidRPr="00C203F3" w:rsidRDefault="00FF2CD0" w:rsidP="00FF2CD0">
      <w:pPr>
        <w:spacing w:after="0" w:line="200" w:lineRule="exact"/>
        <w:rPr>
          <w:rFonts w:ascii="Arial Narrow" w:hAnsi="Arial Narrow"/>
          <w:sz w:val="24"/>
          <w:szCs w:val="24"/>
        </w:rPr>
      </w:pPr>
    </w:p>
    <w:p w:rsidR="00FF2CD0" w:rsidRPr="00C203F3" w:rsidRDefault="00FF2CD0" w:rsidP="00FF2CD0">
      <w:pPr>
        <w:spacing w:before="9" w:after="0" w:line="280" w:lineRule="exact"/>
        <w:rPr>
          <w:rFonts w:ascii="Arial Narrow" w:hAnsi="Arial Narrow"/>
          <w:sz w:val="24"/>
          <w:szCs w:val="24"/>
        </w:rPr>
      </w:pPr>
    </w:p>
    <w:p w:rsidR="00FF2CD0" w:rsidRPr="00C203F3" w:rsidRDefault="00AA771C" w:rsidP="00FF2CD0">
      <w:pPr>
        <w:spacing w:after="0" w:line="240" w:lineRule="auto"/>
        <w:ind w:right="38"/>
        <w:jc w:val="right"/>
        <w:rPr>
          <w:rFonts w:ascii="Arial Narrow" w:eastAsia="Arial" w:hAnsi="Arial Narrow" w:cs="Arial"/>
          <w:sz w:val="24"/>
          <w:szCs w:val="24"/>
        </w:rPr>
      </w:pPr>
      <w:r>
        <w:rPr>
          <w:rFonts w:ascii="Arial Narrow" w:hAnsi="Arial Narrow"/>
          <w:noProof/>
          <w:sz w:val="24"/>
          <w:szCs w:val="24"/>
        </w:rPr>
        <mc:AlternateContent>
          <mc:Choice Requires="wps">
            <w:drawing>
              <wp:anchor distT="0" distB="0" distL="114300" distR="114300" simplePos="0" relativeHeight="251785216" behindDoc="1" locked="0" layoutInCell="1" allowOverlap="1">
                <wp:simplePos x="0" y="0"/>
                <wp:positionH relativeFrom="page">
                  <wp:posOffset>911225</wp:posOffset>
                </wp:positionH>
                <wp:positionV relativeFrom="paragraph">
                  <wp:posOffset>137160</wp:posOffset>
                </wp:positionV>
                <wp:extent cx="993140" cy="588010"/>
                <wp:effectExtent l="0" t="0" r="16510" b="2540"/>
                <wp:wrapNone/>
                <wp:docPr id="36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13"/>
                              <w:gridCol w:w="872"/>
                            </w:tblGrid>
                            <w:tr w:rsidR="00B247C9">
                              <w:trPr>
                                <w:trHeight w:hRule="exact" w:val="395"/>
                              </w:trPr>
                              <w:tc>
                                <w:tcPr>
                                  <w:tcW w:w="1485" w:type="dxa"/>
                                  <w:gridSpan w:val="2"/>
                                  <w:tcBorders>
                                    <w:top w:val="nil"/>
                                    <w:left w:val="nil"/>
                                    <w:bottom w:val="nil"/>
                                    <w:right w:val="single" w:sz="8" w:space="0" w:color="231F20"/>
                                  </w:tcBorders>
                                  <w:shd w:val="clear" w:color="auto" w:fill="FFFFFF"/>
                                </w:tcPr>
                                <w:p w:rsidR="00B247C9" w:rsidRDefault="00B247C9">
                                  <w:pPr>
                                    <w:spacing w:before="64" w:after="0" w:line="172" w:lineRule="auto"/>
                                    <w:ind w:left="215" w:right="4" w:hanging="116"/>
                                    <w:rPr>
                                      <w:rFonts w:ascii="Arial" w:eastAsia="Arial" w:hAnsi="Arial" w:cs="Arial"/>
                                      <w:sz w:val="15"/>
                                      <w:szCs w:val="15"/>
                                    </w:rPr>
                                  </w:pPr>
                                  <w:r>
                                    <w:rPr>
                                      <w:rFonts w:ascii="Arial" w:eastAsia="Arial" w:hAnsi="Arial" w:cs="Arial"/>
                                      <w:color w:val="231F20"/>
                                      <w:sz w:val="15"/>
                                      <w:szCs w:val="15"/>
                                    </w:rPr>
                                    <w:t>1or2AFB</w:t>
                                  </w:r>
                                  <w:r>
                                    <w:rPr>
                                      <w:rFonts w:ascii="Arial" w:eastAsia="Arial" w:hAnsi="Arial" w:cs="Arial"/>
                                      <w:color w:val="231F20"/>
                                      <w:w w:val="106"/>
                                      <w:sz w:val="15"/>
                                      <w:szCs w:val="15"/>
                                    </w:rPr>
                                    <w:t xml:space="preserve">sputum </w:t>
                                  </w:r>
                                  <w:r>
                                    <w:rPr>
                                      <w:rFonts w:ascii="Arial" w:eastAsia="Arial" w:hAnsi="Arial" w:cs="Arial"/>
                                      <w:color w:val="231F20"/>
                                      <w:sz w:val="15"/>
                                      <w:szCs w:val="15"/>
                                    </w:rPr>
                                    <w:t xml:space="preserve">smear </w:t>
                                  </w:r>
                                  <w:r>
                                    <w:rPr>
                                      <w:rFonts w:ascii="Arial" w:eastAsia="Arial" w:hAnsi="Arial" w:cs="Arial"/>
                                      <w:color w:val="231F20"/>
                                      <w:w w:val="106"/>
                                      <w:sz w:val="15"/>
                                      <w:szCs w:val="15"/>
                                    </w:rPr>
                                    <w:t>positive</w:t>
                                  </w:r>
                                </w:p>
                              </w:tc>
                            </w:tr>
                            <w:tr w:rsidR="00B247C9">
                              <w:trPr>
                                <w:trHeight w:hRule="exact" w:val="137"/>
                              </w:trPr>
                              <w:tc>
                                <w:tcPr>
                                  <w:tcW w:w="613" w:type="dxa"/>
                                  <w:tcBorders>
                                    <w:top w:val="nil"/>
                                    <w:left w:val="nil"/>
                                    <w:bottom w:val="nil"/>
                                    <w:right w:val="single" w:sz="8" w:space="0" w:color="231F20"/>
                                  </w:tcBorders>
                                </w:tcPr>
                                <w:p w:rsidR="00B247C9" w:rsidRDefault="00B247C9"/>
                              </w:tc>
                              <w:tc>
                                <w:tcPr>
                                  <w:tcW w:w="871" w:type="dxa"/>
                                  <w:tcBorders>
                                    <w:top w:val="nil"/>
                                    <w:left w:val="single" w:sz="8" w:space="0" w:color="231F20"/>
                                    <w:bottom w:val="nil"/>
                                    <w:right w:val="nil"/>
                                  </w:tcBorders>
                                </w:tcPr>
                                <w:p w:rsidR="00B247C9" w:rsidRDefault="00B247C9"/>
                              </w:tc>
                            </w:tr>
                            <w:tr w:rsidR="00B247C9">
                              <w:trPr>
                                <w:trHeight w:hRule="exact" w:val="395"/>
                              </w:trPr>
                              <w:tc>
                                <w:tcPr>
                                  <w:tcW w:w="1485" w:type="dxa"/>
                                  <w:gridSpan w:val="2"/>
                                  <w:tcBorders>
                                    <w:top w:val="nil"/>
                                    <w:left w:val="nil"/>
                                    <w:bottom w:val="nil"/>
                                    <w:right w:val="single" w:sz="8" w:space="0" w:color="231F20"/>
                                  </w:tcBorders>
                                  <w:shd w:val="clear" w:color="auto" w:fill="FFFFFF"/>
                                </w:tcPr>
                                <w:p w:rsidR="00B247C9" w:rsidRDefault="00B247C9">
                                  <w:pPr>
                                    <w:spacing w:before="37" w:after="0" w:line="162" w:lineRule="exact"/>
                                    <w:ind w:left="161" w:right="83"/>
                                    <w:rPr>
                                      <w:rFonts w:ascii="Arial" w:eastAsia="Arial" w:hAnsi="Arial" w:cs="Arial"/>
                                      <w:sz w:val="15"/>
                                      <w:szCs w:val="15"/>
                                    </w:rPr>
                                  </w:pPr>
                                  <w:r>
                                    <w:rPr>
                                      <w:rFonts w:ascii="Arial" w:eastAsia="Arial" w:hAnsi="Arial" w:cs="Arial"/>
                                      <w:color w:val="231F20"/>
                                      <w:spacing w:val="-6"/>
                                      <w:sz w:val="15"/>
                                      <w:szCs w:val="15"/>
                                    </w:rPr>
                                    <w:t>T</w:t>
                                  </w:r>
                                  <w:r>
                                    <w:rPr>
                                      <w:rFonts w:ascii="Arial" w:eastAsia="Arial" w:hAnsi="Arial" w:cs="Arial"/>
                                      <w:color w:val="231F20"/>
                                      <w:sz w:val="15"/>
                                      <w:szCs w:val="15"/>
                                    </w:rPr>
                                    <w:t xml:space="preserve">reat for TB </w:t>
                                  </w:r>
                                  <w:r>
                                    <w:rPr>
                                      <w:rFonts w:ascii="Arial" w:eastAsia="Arial" w:hAnsi="Arial" w:cs="Arial"/>
                                      <w:color w:val="231F20"/>
                                      <w:w w:val="106"/>
                                      <w:sz w:val="15"/>
                                      <w:szCs w:val="15"/>
                                    </w:rPr>
                                    <w:t xml:space="preserve">and </w:t>
                                  </w:r>
                                  <w:r>
                                    <w:rPr>
                                      <w:rFonts w:ascii="Arial" w:eastAsia="Arial" w:hAnsi="Arial" w:cs="Arial"/>
                                      <w:color w:val="231F20"/>
                                      <w:sz w:val="15"/>
                                      <w:szCs w:val="15"/>
                                    </w:rPr>
                                    <w:t xml:space="preserve">give CPT if </w:t>
                                  </w:r>
                                  <w:r>
                                    <w:rPr>
                                      <w:rFonts w:ascii="Arial" w:eastAsia="Arial" w:hAnsi="Arial" w:cs="Arial"/>
                                      <w:color w:val="231F20"/>
                                      <w:w w:val="106"/>
                                      <w:sz w:val="15"/>
                                      <w:szCs w:val="15"/>
                                    </w:rPr>
                                    <w:t>HIV+</w:t>
                                  </w:r>
                                </w:p>
                              </w:tc>
                            </w:tr>
                          </w:tbl>
                          <w:p w:rsidR="00B247C9" w:rsidRDefault="00B247C9" w:rsidP="00FF2CD0">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484" type="#_x0000_t202" style="position:absolute;left:0;text-align:left;margin-left:71.75pt;margin-top:10.8pt;width:78.2pt;height:46.3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O8sQ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13"/>
                        <w:gridCol w:w="872"/>
                      </w:tblGrid>
                      <w:tr w:rsidR="00B247C9">
                        <w:trPr>
                          <w:trHeight w:hRule="exact" w:val="395"/>
                        </w:trPr>
                        <w:tc>
                          <w:tcPr>
                            <w:tcW w:w="1485" w:type="dxa"/>
                            <w:gridSpan w:val="2"/>
                            <w:tcBorders>
                              <w:top w:val="nil"/>
                              <w:left w:val="nil"/>
                              <w:bottom w:val="nil"/>
                              <w:right w:val="single" w:sz="8" w:space="0" w:color="231F20"/>
                            </w:tcBorders>
                            <w:shd w:val="clear" w:color="auto" w:fill="FFFFFF"/>
                          </w:tcPr>
                          <w:p w:rsidR="00B247C9" w:rsidRDefault="00B247C9">
                            <w:pPr>
                              <w:spacing w:before="64" w:after="0" w:line="172" w:lineRule="auto"/>
                              <w:ind w:left="215" w:right="4" w:hanging="116"/>
                              <w:rPr>
                                <w:rFonts w:ascii="Arial" w:eastAsia="Arial" w:hAnsi="Arial" w:cs="Arial"/>
                                <w:sz w:val="15"/>
                                <w:szCs w:val="15"/>
                              </w:rPr>
                            </w:pPr>
                            <w:r>
                              <w:rPr>
                                <w:rFonts w:ascii="Arial" w:eastAsia="Arial" w:hAnsi="Arial" w:cs="Arial"/>
                                <w:color w:val="231F20"/>
                                <w:sz w:val="15"/>
                                <w:szCs w:val="15"/>
                              </w:rPr>
                              <w:t>1or2AFB</w:t>
                            </w:r>
                            <w:r>
                              <w:rPr>
                                <w:rFonts w:ascii="Arial" w:eastAsia="Arial" w:hAnsi="Arial" w:cs="Arial"/>
                                <w:color w:val="231F20"/>
                                <w:w w:val="106"/>
                                <w:sz w:val="15"/>
                                <w:szCs w:val="15"/>
                              </w:rPr>
                              <w:t xml:space="preserve">sputum </w:t>
                            </w:r>
                            <w:r>
                              <w:rPr>
                                <w:rFonts w:ascii="Arial" w:eastAsia="Arial" w:hAnsi="Arial" w:cs="Arial"/>
                                <w:color w:val="231F20"/>
                                <w:sz w:val="15"/>
                                <w:szCs w:val="15"/>
                              </w:rPr>
                              <w:t xml:space="preserve">smear </w:t>
                            </w:r>
                            <w:r>
                              <w:rPr>
                                <w:rFonts w:ascii="Arial" w:eastAsia="Arial" w:hAnsi="Arial" w:cs="Arial"/>
                                <w:color w:val="231F20"/>
                                <w:w w:val="106"/>
                                <w:sz w:val="15"/>
                                <w:szCs w:val="15"/>
                              </w:rPr>
                              <w:t>positive</w:t>
                            </w:r>
                          </w:p>
                        </w:tc>
                      </w:tr>
                      <w:tr w:rsidR="00B247C9">
                        <w:trPr>
                          <w:trHeight w:hRule="exact" w:val="137"/>
                        </w:trPr>
                        <w:tc>
                          <w:tcPr>
                            <w:tcW w:w="613" w:type="dxa"/>
                            <w:tcBorders>
                              <w:top w:val="nil"/>
                              <w:left w:val="nil"/>
                              <w:bottom w:val="nil"/>
                              <w:right w:val="single" w:sz="8" w:space="0" w:color="231F20"/>
                            </w:tcBorders>
                          </w:tcPr>
                          <w:p w:rsidR="00B247C9" w:rsidRDefault="00B247C9"/>
                        </w:tc>
                        <w:tc>
                          <w:tcPr>
                            <w:tcW w:w="871" w:type="dxa"/>
                            <w:tcBorders>
                              <w:top w:val="nil"/>
                              <w:left w:val="single" w:sz="8" w:space="0" w:color="231F20"/>
                              <w:bottom w:val="nil"/>
                              <w:right w:val="nil"/>
                            </w:tcBorders>
                          </w:tcPr>
                          <w:p w:rsidR="00B247C9" w:rsidRDefault="00B247C9"/>
                        </w:tc>
                      </w:tr>
                      <w:tr w:rsidR="00B247C9">
                        <w:trPr>
                          <w:trHeight w:hRule="exact" w:val="395"/>
                        </w:trPr>
                        <w:tc>
                          <w:tcPr>
                            <w:tcW w:w="1485" w:type="dxa"/>
                            <w:gridSpan w:val="2"/>
                            <w:tcBorders>
                              <w:top w:val="nil"/>
                              <w:left w:val="nil"/>
                              <w:bottom w:val="nil"/>
                              <w:right w:val="single" w:sz="8" w:space="0" w:color="231F20"/>
                            </w:tcBorders>
                            <w:shd w:val="clear" w:color="auto" w:fill="FFFFFF"/>
                          </w:tcPr>
                          <w:p w:rsidR="00B247C9" w:rsidRDefault="00B247C9">
                            <w:pPr>
                              <w:spacing w:before="37" w:after="0" w:line="162" w:lineRule="exact"/>
                              <w:ind w:left="161" w:right="83"/>
                              <w:rPr>
                                <w:rFonts w:ascii="Arial" w:eastAsia="Arial" w:hAnsi="Arial" w:cs="Arial"/>
                                <w:sz w:val="15"/>
                                <w:szCs w:val="15"/>
                              </w:rPr>
                            </w:pPr>
                            <w:r>
                              <w:rPr>
                                <w:rFonts w:ascii="Arial" w:eastAsia="Arial" w:hAnsi="Arial" w:cs="Arial"/>
                                <w:color w:val="231F20"/>
                                <w:spacing w:val="-6"/>
                                <w:sz w:val="15"/>
                                <w:szCs w:val="15"/>
                              </w:rPr>
                              <w:t>T</w:t>
                            </w:r>
                            <w:r>
                              <w:rPr>
                                <w:rFonts w:ascii="Arial" w:eastAsia="Arial" w:hAnsi="Arial" w:cs="Arial"/>
                                <w:color w:val="231F20"/>
                                <w:sz w:val="15"/>
                                <w:szCs w:val="15"/>
                              </w:rPr>
                              <w:t xml:space="preserve">reat for TB </w:t>
                            </w:r>
                            <w:r>
                              <w:rPr>
                                <w:rFonts w:ascii="Arial" w:eastAsia="Arial" w:hAnsi="Arial" w:cs="Arial"/>
                                <w:color w:val="231F20"/>
                                <w:w w:val="106"/>
                                <w:sz w:val="15"/>
                                <w:szCs w:val="15"/>
                              </w:rPr>
                              <w:t xml:space="preserve">and </w:t>
                            </w:r>
                            <w:r>
                              <w:rPr>
                                <w:rFonts w:ascii="Arial" w:eastAsia="Arial" w:hAnsi="Arial" w:cs="Arial"/>
                                <w:color w:val="231F20"/>
                                <w:sz w:val="15"/>
                                <w:szCs w:val="15"/>
                              </w:rPr>
                              <w:t xml:space="preserve">give CPT if </w:t>
                            </w:r>
                            <w:r>
                              <w:rPr>
                                <w:rFonts w:ascii="Arial" w:eastAsia="Arial" w:hAnsi="Arial" w:cs="Arial"/>
                                <w:color w:val="231F20"/>
                                <w:w w:val="106"/>
                                <w:sz w:val="15"/>
                                <w:szCs w:val="15"/>
                              </w:rPr>
                              <w:t>HIV+</w:t>
                            </w:r>
                          </w:p>
                        </w:tc>
                      </w:tr>
                    </w:tbl>
                    <w:p w:rsidR="00B247C9" w:rsidRDefault="00B247C9" w:rsidP="00FF2CD0">
                      <w:pPr>
                        <w:spacing w:after="0" w:line="240" w:lineRule="auto"/>
                      </w:pPr>
                    </w:p>
                  </w:txbxContent>
                </v:textbox>
                <w10:wrap anchorx="page"/>
              </v:shape>
            </w:pict>
          </mc:Fallback>
        </mc:AlternateContent>
      </w:r>
      <w:r w:rsidR="00FF2CD0" w:rsidRPr="00C203F3">
        <w:rPr>
          <w:rFonts w:ascii="Arial Narrow" w:eastAsia="Arial" w:hAnsi="Arial Narrow" w:cs="Arial"/>
          <w:b/>
          <w:bCs/>
          <w:color w:val="231F20"/>
          <w:spacing w:val="-3"/>
          <w:sz w:val="24"/>
          <w:szCs w:val="24"/>
        </w:rPr>
        <w:t>V</w:t>
      </w:r>
      <w:r w:rsidR="00FF2CD0" w:rsidRPr="00C203F3">
        <w:rPr>
          <w:rFonts w:ascii="Arial Narrow" w:eastAsia="Arial" w:hAnsi="Arial Narrow" w:cs="Arial"/>
          <w:b/>
          <w:bCs/>
          <w:color w:val="231F20"/>
          <w:sz w:val="24"/>
          <w:szCs w:val="24"/>
        </w:rPr>
        <w:t>isit</w:t>
      </w:r>
      <w:r w:rsidR="00FF2CD0" w:rsidRPr="00C203F3">
        <w:rPr>
          <w:rFonts w:ascii="Arial Narrow" w:eastAsia="Arial" w:hAnsi="Arial Narrow" w:cs="Arial"/>
          <w:b/>
          <w:bCs/>
          <w:color w:val="231F20"/>
          <w:w w:val="102"/>
          <w:sz w:val="24"/>
          <w:szCs w:val="24"/>
        </w:rPr>
        <w:t>2</w:t>
      </w:r>
    </w:p>
    <w:p w:rsidR="00FF2CD0" w:rsidRPr="000C7B47" w:rsidRDefault="00FF2CD0" w:rsidP="00FF2CD0">
      <w:pPr>
        <w:spacing w:before="14" w:after="0" w:line="200" w:lineRule="exact"/>
        <w:rPr>
          <w:rFonts w:ascii="Arial Narrow" w:hAnsi="Arial Narrow"/>
          <w:sz w:val="24"/>
          <w:szCs w:val="24"/>
        </w:rPr>
      </w:pPr>
      <w:r>
        <w:rPr>
          <w:rFonts w:ascii="Arial Narrow" w:hAnsi="Arial Narrow"/>
          <w:sz w:val="24"/>
          <w:szCs w:val="24"/>
        </w:rPr>
        <w:br w:type="column"/>
      </w:r>
      <w:r w:rsidRPr="00C203F3">
        <w:rPr>
          <w:rFonts w:ascii="Arial Narrow" w:eastAsia="Arial" w:hAnsi="Arial Narrow" w:cs="Arial"/>
          <w:color w:val="231F20"/>
          <w:sz w:val="24"/>
          <w:szCs w:val="24"/>
        </w:rPr>
        <w:t>2AFBsputumsamplesforsmear</w:t>
      </w:r>
      <w:r w:rsidRPr="00C203F3">
        <w:rPr>
          <w:rFonts w:ascii="Arial Narrow" w:eastAsia="Arial" w:hAnsi="Arial Narrow" w:cs="Arial"/>
          <w:color w:val="231F20"/>
          <w:w w:val="106"/>
          <w:sz w:val="24"/>
          <w:szCs w:val="24"/>
        </w:rPr>
        <w:t>microscopy</w:t>
      </w:r>
    </w:p>
    <w:p w:rsidR="00FF2CD0" w:rsidRPr="00C203F3" w:rsidRDefault="00FF2CD0" w:rsidP="00FF2CD0">
      <w:pPr>
        <w:spacing w:after="0" w:line="162" w:lineRule="exact"/>
        <w:ind w:left="-32" w:right="1924"/>
        <w:jc w:val="center"/>
        <w:rPr>
          <w:rFonts w:ascii="Arial Narrow" w:eastAsia="Arial" w:hAnsi="Arial Narrow" w:cs="Arial"/>
          <w:sz w:val="24"/>
          <w:szCs w:val="24"/>
        </w:rPr>
      </w:pPr>
      <w:r w:rsidRPr="00C203F3">
        <w:rPr>
          <w:rFonts w:ascii="Arial Narrow" w:eastAsia="Arial" w:hAnsi="Arial Narrow" w:cs="Arial"/>
          <w:color w:val="231F20"/>
          <w:sz w:val="24"/>
          <w:szCs w:val="24"/>
        </w:rPr>
        <w:t>(spotandmorning)ando</w:t>
      </w:r>
      <w:r w:rsidRPr="00C203F3">
        <w:rPr>
          <w:rFonts w:ascii="Arial Narrow" w:eastAsia="Arial" w:hAnsi="Arial Narrow" w:cs="Arial"/>
          <w:color w:val="231F20"/>
          <w:spacing w:val="-3"/>
          <w:sz w:val="24"/>
          <w:szCs w:val="24"/>
        </w:rPr>
        <w:t>f</w:t>
      </w:r>
      <w:r w:rsidRPr="00C203F3">
        <w:rPr>
          <w:rFonts w:ascii="Arial Narrow" w:eastAsia="Arial" w:hAnsi="Arial Narrow" w:cs="Arial"/>
          <w:color w:val="231F20"/>
          <w:sz w:val="24"/>
          <w:szCs w:val="24"/>
        </w:rPr>
        <w:t>ferPITCifHIVstatus</w:t>
      </w:r>
      <w:r w:rsidRPr="00C203F3">
        <w:rPr>
          <w:rFonts w:ascii="Arial Narrow" w:eastAsia="Arial" w:hAnsi="Arial Narrow" w:cs="Arial"/>
          <w:color w:val="231F20"/>
          <w:w w:val="106"/>
          <w:sz w:val="24"/>
          <w:szCs w:val="24"/>
        </w:rPr>
        <w:t>unknown</w:t>
      </w:r>
    </w:p>
    <w:p w:rsidR="00FF2CD0" w:rsidRPr="00C203F3" w:rsidRDefault="00FF2CD0" w:rsidP="00FF2CD0">
      <w:pPr>
        <w:spacing w:before="4" w:after="0" w:line="240" w:lineRule="exact"/>
        <w:rPr>
          <w:rFonts w:ascii="Arial Narrow" w:hAnsi="Arial Narrow"/>
          <w:sz w:val="24"/>
          <w:szCs w:val="24"/>
        </w:rPr>
      </w:pPr>
    </w:p>
    <w:p w:rsidR="00FF2CD0" w:rsidRPr="00C203F3" w:rsidRDefault="00FF2CD0" w:rsidP="00FF2CD0">
      <w:pPr>
        <w:spacing w:after="0" w:line="156" w:lineRule="exact"/>
        <w:ind w:left="3624" w:right="1228" w:firstLine="38"/>
        <w:rPr>
          <w:rFonts w:ascii="Arial Narrow" w:eastAsia="Arial" w:hAnsi="Arial Narrow" w:cs="Arial"/>
          <w:sz w:val="24"/>
          <w:szCs w:val="24"/>
        </w:rPr>
      </w:pPr>
      <w:r w:rsidRPr="00C203F3">
        <w:rPr>
          <w:rFonts w:ascii="Arial Narrow" w:eastAsia="Arial" w:hAnsi="Arial Narrow" w:cs="Arial"/>
          <w:color w:val="231F20"/>
          <w:sz w:val="24"/>
          <w:szCs w:val="24"/>
        </w:rPr>
        <w:t>2AFB</w:t>
      </w:r>
      <w:r w:rsidRPr="00C203F3">
        <w:rPr>
          <w:rFonts w:ascii="Arial Narrow" w:eastAsia="Arial" w:hAnsi="Arial Narrow" w:cs="Arial"/>
          <w:color w:val="231F20"/>
          <w:w w:val="106"/>
          <w:sz w:val="24"/>
          <w:szCs w:val="24"/>
        </w:rPr>
        <w:t xml:space="preserve">sputum </w:t>
      </w:r>
      <w:r w:rsidRPr="00C203F3">
        <w:rPr>
          <w:rFonts w:ascii="Arial Narrow" w:eastAsia="Arial" w:hAnsi="Arial Narrow" w:cs="Arial"/>
          <w:color w:val="231F20"/>
          <w:sz w:val="24"/>
          <w:szCs w:val="24"/>
        </w:rPr>
        <w:t>smear</w:t>
      </w:r>
      <w:r w:rsidRPr="00C203F3">
        <w:rPr>
          <w:rFonts w:ascii="Arial Narrow" w:eastAsia="Arial" w:hAnsi="Arial Narrow" w:cs="Arial"/>
          <w:color w:val="231F20"/>
          <w:w w:val="106"/>
          <w:sz w:val="24"/>
          <w:szCs w:val="24"/>
        </w:rPr>
        <w:t>negative</w:t>
      </w:r>
    </w:p>
    <w:p w:rsidR="00FF2CD0" w:rsidRPr="00C203F3" w:rsidRDefault="00FF2CD0" w:rsidP="00FF2CD0">
      <w:pPr>
        <w:spacing w:after="0"/>
        <w:rPr>
          <w:rFonts w:ascii="Arial Narrow" w:hAnsi="Arial Narrow"/>
          <w:sz w:val="24"/>
          <w:szCs w:val="24"/>
        </w:rPr>
        <w:sectPr w:rsidR="00FF2CD0" w:rsidRPr="00C203F3">
          <w:type w:val="continuous"/>
          <w:pgSz w:w="9240" w:h="12760"/>
          <w:pgMar w:top="420" w:right="0" w:bottom="280" w:left="0" w:header="720" w:footer="720" w:gutter="0"/>
          <w:cols w:num="2" w:space="720" w:equalWidth="0">
            <w:col w:w="2011" w:space="1227"/>
            <w:col w:w="6002"/>
          </w:cols>
        </w:sectPr>
      </w:pPr>
    </w:p>
    <w:p w:rsidR="00FF2CD0" w:rsidRPr="00C203F3" w:rsidRDefault="00FF2CD0" w:rsidP="00FF2CD0">
      <w:pPr>
        <w:spacing w:after="0" w:line="200" w:lineRule="exact"/>
        <w:rPr>
          <w:rFonts w:ascii="Arial Narrow" w:hAnsi="Arial Narrow"/>
          <w:sz w:val="24"/>
          <w:szCs w:val="24"/>
        </w:rPr>
      </w:pPr>
    </w:p>
    <w:p w:rsidR="00FF2CD0" w:rsidRPr="00C203F3" w:rsidRDefault="00FF2CD0" w:rsidP="00FF2CD0">
      <w:pPr>
        <w:spacing w:after="0" w:line="200" w:lineRule="exact"/>
        <w:rPr>
          <w:rFonts w:ascii="Arial Narrow" w:hAnsi="Arial Narrow"/>
          <w:sz w:val="24"/>
          <w:szCs w:val="24"/>
        </w:rPr>
      </w:pPr>
    </w:p>
    <w:p w:rsidR="00FF2CD0" w:rsidRPr="00C203F3" w:rsidRDefault="00FF2CD0" w:rsidP="00FF2CD0">
      <w:pPr>
        <w:spacing w:after="0" w:line="200" w:lineRule="exact"/>
        <w:rPr>
          <w:rFonts w:ascii="Arial Narrow" w:hAnsi="Arial Narrow"/>
          <w:sz w:val="24"/>
          <w:szCs w:val="24"/>
        </w:rPr>
      </w:pPr>
    </w:p>
    <w:p w:rsidR="00FF2CD0" w:rsidRPr="00C203F3" w:rsidRDefault="00FF2CD0" w:rsidP="00FF2CD0">
      <w:pPr>
        <w:spacing w:before="4" w:after="0" w:line="260" w:lineRule="exact"/>
        <w:rPr>
          <w:rFonts w:ascii="Arial Narrow" w:hAnsi="Arial Narrow"/>
          <w:sz w:val="24"/>
          <w:szCs w:val="24"/>
        </w:rPr>
      </w:pPr>
    </w:p>
    <w:p w:rsidR="00FF2CD0" w:rsidRPr="00C203F3" w:rsidRDefault="00FF2CD0" w:rsidP="00FF2CD0">
      <w:pPr>
        <w:spacing w:after="0" w:line="154" w:lineRule="exact"/>
        <w:ind w:right="-20"/>
        <w:jc w:val="right"/>
        <w:rPr>
          <w:rFonts w:ascii="Arial Narrow" w:eastAsia="Arial" w:hAnsi="Arial Narrow" w:cs="Arial"/>
          <w:sz w:val="24"/>
          <w:szCs w:val="24"/>
        </w:rPr>
      </w:pPr>
      <w:r w:rsidRPr="00C203F3">
        <w:rPr>
          <w:rFonts w:ascii="Arial Narrow" w:eastAsia="Arial" w:hAnsi="Arial Narrow" w:cs="Arial"/>
          <w:b/>
          <w:bCs/>
          <w:color w:val="231F20"/>
          <w:spacing w:val="-3"/>
          <w:position w:val="-4"/>
          <w:sz w:val="24"/>
          <w:szCs w:val="24"/>
        </w:rPr>
        <w:t>V</w:t>
      </w:r>
      <w:r w:rsidRPr="00C203F3">
        <w:rPr>
          <w:rFonts w:ascii="Arial Narrow" w:eastAsia="Arial" w:hAnsi="Arial Narrow" w:cs="Arial"/>
          <w:b/>
          <w:bCs/>
          <w:color w:val="231F20"/>
          <w:position w:val="-4"/>
          <w:sz w:val="24"/>
          <w:szCs w:val="24"/>
        </w:rPr>
        <w:t>isit</w:t>
      </w:r>
      <w:r w:rsidRPr="00C203F3">
        <w:rPr>
          <w:rFonts w:ascii="Arial Narrow" w:eastAsia="Arial" w:hAnsi="Arial Narrow" w:cs="Arial"/>
          <w:b/>
          <w:bCs/>
          <w:color w:val="231F20"/>
          <w:w w:val="102"/>
          <w:position w:val="-4"/>
          <w:sz w:val="24"/>
          <w:szCs w:val="24"/>
        </w:rPr>
        <w:t>3</w:t>
      </w:r>
    </w:p>
    <w:p w:rsidR="00FF2CD0" w:rsidRPr="00C203F3" w:rsidRDefault="00FF2CD0" w:rsidP="00FF2CD0">
      <w:pPr>
        <w:spacing w:after="0" w:line="149" w:lineRule="exact"/>
        <w:ind w:right="-20"/>
        <w:rPr>
          <w:rFonts w:ascii="Arial Narrow" w:eastAsia="Arial" w:hAnsi="Arial Narrow" w:cs="Arial"/>
          <w:sz w:val="24"/>
          <w:szCs w:val="24"/>
        </w:rPr>
      </w:pPr>
      <w:r w:rsidRPr="00C203F3">
        <w:rPr>
          <w:rFonts w:ascii="Arial Narrow" w:hAnsi="Arial Narrow"/>
          <w:sz w:val="24"/>
          <w:szCs w:val="24"/>
        </w:rPr>
        <w:br w:type="column"/>
      </w:r>
      <w:r w:rsidRPr="00C203F3">
        <w:rPr>
          <w:rFonts w:ascii="Arial Narrow" w:eastAsia="Arial" w:hAnsi="Arial Narrow" w:cs="Arial"/>
          <w:b/>
          <w:bCs/>
          <w:color w:val="231F20"/>
          <w:sz w:val="24"/>
          <w:szCs w:val="24"/>
        </w:rPr>
        <w:t>IfHIV</w:t>
      </w:r>
      <w:r w:rsidRPr="00C203F3">
        <w:rPr>
          <w:rFonts w:ascii="Arial Narrow" w:eastAsia="Arial" w:hAnsi="Arial Narrow" w:cs="Arial"/>
          <w:b/>
          <w:bCs/>
          <w:color w:val="231F20"/>
          <w:w w:val="106"/>
          <w:sz w:val="24"/>
          <w:szCs w:val="24"/>
        </w:rPr>
        <w:t>positive:</w:t>
      </w:r>
    </w:p>
    <w:p w:rsidR="00FF2CD0" w:rsidRPr="00C203F3" w:rsidRDefault="00FF2CD0" w:rsidP="00FF2CD0">
      <w:pPr>
        <w:spacing w:before="18" w:after="0" w:line="240" w:lineRule="auto"/>
        <w:ind w:right="-64"/>
        <w:rPr>
          <w:rFonts w:ascii="Arial Narrow" w:eastAsia="Arial" w:hAnsi="Arial Narrow" w:cs="Arial"/>
          <w:sz w:val="24"/>
          <w:szCs w:val="24"/>
        </w:rPr>
      </w:pPr>
      <w:r w:rsidRPr="00C203F3">
        <w:rPr>
          <w:rFonts w:ascii="Arial Narrow" w:eastAsia="Arial" w:hAnsi="Arial Narrow" w:cs="Arial"/>
          <w:color w:val="231F20"/>
          <w:sz w:val="24"/>
          <w:szCs w:val="24"/>
        </w:rPr>
        <w:t>•Clinical</w:t>
      </w:r>
      <w:r w:rsidRPr="00C203F3">
        <w:rPr>
          <w:rFonts w:ascii="Arial Narrow" w:eastAsia="Arial" w:hAnsi="Arial Narrow" w:cs="Arial"/>
          <w:color w:val="231F20"/>
          <w:w w:val="106"/>
          <w:sz w:val="24"/>
          <w:szCs w:val="24"/>
        </w:rPr>
        <w:t>assessment</w:t>
      </w:r>
    </w:p>
    <w:p w:rsidR="00FF2CD0" w:rsidRPr="00C203F3" w:rsidRDefault="00FF2CD0" w:rsidP="00FF2CD0">
      <w:pPr>
        <w:spacing w:before="17" w:after="0" w:line="240" w:lineRule="auto"/>
        <w:ind w:right="-20"/>
        <w:rPr>
          <w:rFonts w:ascii="Arial Narrow" w:eastAsia="Arial" w:hAnsi="Arial Narrow" w:cs="Arial"/>
          <w:sz w:val="24"/>
          <w:szCs w:val="24"/>
        </w:rPr>
      </w:pPr>
      <w:r w:rsidRPr="00C203F3">
        <w:rPr>
          <w:rFonts w:ascii="Arial Narrow" w:eastAsia="Arial" w:hAnsi="Arial Narrow" w:cs="Arial"/>
          <w:color w:val="231F20"/>
          <w:sz w:val="24"/>
          <w:szCs w:val="24"/>
        </w:rPr>
        <w:t>•Request</w:t>
      </w:r>
      <w:r w:rsidRPr="00C203F3">
        <w:rPr>
          <w:rFonts w:ascii="Arial Narrow" w:eastAsia="Arial" w:hAnsi="Arial Narrow" w:cs="Arial"/>
          <w:color w:val="231F20"/>
          <w:w w:val="106"/>
          <w:sz w:val="24"/>
          <w:szCs w:val="24"/>
        </w:rPr>
        <w:t>CXR</w:t>
      </w:r>
    </w:p>
    <w:p w:rsidR="00FF2CD0" w:rsidRPr="00C203F3" w:rsidRDefault="00FF2CD0" w:rsidP="00FF2CD0">
      <w:pPr>
        <w:spacing w:before="17" w:after="0" w:line="240" w:lineRule="auto"/>
        <w:ind w:right="-20"/>
        <w:rPr>
          <w:rFonts w:ascii="Arial Narrow" w:eastAsia="Arial" w:hAnsi="Arial Narrow" w:cs="Arial"/>
          <w:sz w:val="24"/>
          <w:szCs w:val="24"/>
        </w:rPr>
      </w:pPr>
      <w:r w:rsidRPr="00C203F3">
        <w:rPr>
          <w:rFonts w:ascii="Arial Narrow" w:eastAsia="Arial" w:hAnsi="Arial Narrow" w:cs="Arial"/>
          <w:color w:val="231F20"/>
          <w:sz w:val="24"/>
          <w:szCs w:val="24"/>
        </w:rPr>
        <w:t>•Give</w:t>
      </w:r>
      <w:r w:rsidRPr="00C203F3">
        <w:rPr>
          <w:rFonts w:ascii="Arial Narrow" w:eastAsia="Arial" w:hAnsi="Arial Narrow" w:cs="Arial"/>
          <w:color w:val="231F20"/>
          <w:w w:val="106"/>
          <w:sz w:val="24"/>
          <w:szCs w:val="24"/>
        </w:rPr>
        <w:t>CPT</w:t>
      </w:r>
    </w:p>
    <w:p w:rsidR="00FF2CD0" w:rsidRPr="00C203F3" w:rsidRDefault="00FF2CD0" w:rsidP="00FF2CD0">
      <w:pPr>
        <w:spacing w:before="3" w:after="0" w:line="140" w:lineRule="exact"/>
        <w:rPr>
          <w:rFonts w:ascii="Arial Narrow" w:hAnsi="Arial Narrow"/>
          <w:sz w:val="24"/>
          <w:szCs w:val="24"/>
        </w:rPr>
      </w:pPr>
      <w:r w:rsidRPr="00C203F3">
        <w:rPr>
          <w:rFonts w:ascii="Arial Narrow" w:hAnsi="Arial Narrow"/>
          <w:sz w:val="24"/>
          <w:szCs w:val="24"/>
        </w:rPr>
        <w:br w:type="column"/>
      </w:r>
    </w:p>
    <w:p w:rsidR="00FF2CD0" w:rsidRPr="00C203F3" w:rsidRDefault="00FF2CD0" w:rsidP="00FF2CD0">
      <w:pPr>
        <w:spacing w:after="0" w:line="240" w:lineRule="auto"/>
        <w:ind w:right="-20"/>
        <w:rPr>
          <w:rFonts w:ascii="Arial Narrow" w:eastAsia="Arial" w:hAnsi="Arial Narrow" w:cs="Arial"/>
          <w:sz w:val="24"/>
          <w:szCs w:val="24"/>
        </w:rPr>
      </w:pPr>
      <w:r w:rsidRPr="00C203F3">
        <w:rPr>
          <w:rFonts w:ascii="Arial Narrow" w:eastAsia="Arial" w:hAnsi="Arial Narrow" w:cs="Arial"/>
          <w:b/>
          <w:bCs/>
          <w:color w:val="231F20"/>
          <w:sz w:val="24"/>
          <w:szCs w:val="24"/>
        </w:rPr>
        <w:t>IfHIVnegativeorPITC</w:t>
      </w:r>
      <w:r w:rsidRPr="00C203F3">
        <w:rPr>
          <w:rFonts w:ascii="Arial Narrow" w:eastAsia="Arial" w:hAnsi="Arial Narrow" w:cs="Arial"/>
          <w:b/>
          <w:bCs/>
          <w:color w:val="231F20"/>
          <w:w w:val="106"/>
          <w:sz w:val="24"/>
          <w:szCs w:val="24"/>
        </w:rPr>
        <w:t>refused:</w:t>
      </w:r>
    </w:p>
    <w:p w:rsidR="00FF2CD0" w:rsidRPr="00C203F3" w:rsidRDefault="00FF2CD0" w:rsidP="00FF2CD0">
      <w:pPr>
        <w:spacing w:before="16" w:after="0" w:line="164" w:lineRule="exact"/>
        <w:ind w:right="-20"/>
        <w:rPr>
          <w:rFonts w:ascii="Arial Narrow" w:eastAsia="Arial" w:hAnsi="Arial Narrow" w:cs="Arial"/>
          <w:sz w:val="24"/>
          <w:szCs w:val="24"/>
        </w:rPr>
      </w:pPr>
      <w:r w:rsidRPr="00C203F3">
        <w:rPr>
          <w:rFonts w:ascii="Arial Narrow" w:eastAsia="Arial" w:hAnsi="Arial Narrow" w:cs="Arial"/>
          <w:color w:val="231F20"/>
          <w:position w:val="-1"/>
          <w:sz w:val="24"/>
          <w:szCs w:val="24"/>
        </w:rPr>
        <w:t>•Clinical</w:t>
      </w:r>
      <w:r w:rsidRPr="00C203F3">
        <w:rPr>
          <w:rFonts w:ascii="Arial Narrow" w:eastAsia="Arial" w:hAnsi="Arial Narrow" w:cs="Arial"/>
          <w:color w:val="231F20"/>
          <w:w w:val="106"/>
          <w:position w:val="-1"/>
          <w:sz w:val="24"/>
          <w:szCs w:val="24"/>
        </w:rPr>
        <w:t>assessment</w:t>
      </w:r>
    </w:p>
    <w:p w:rsidR="00FF2CD0" w:rsidRPr="00C203F3" w:rsidRDefault="00FF2CD0" w:rsidP="00FF2CD0">
      <w:pPr>
        <w:spacing w:after="0" w:line="138" w:lineRule="exact"/>
        <w:ind w:right="-20"/>
        <w:rPr>
          <w:rFonts w:ascii="Arial Narrow" w:eastAsia="Arial" w:hAnsi="Arial Narrow" w:cs="Arial"/>
          <w:sz w:val="24"/>
          <w:szCs w:val="24"/>
        </w:rPr>
      </w:pPr>
      <w:r w:rsidRPr="00C203F3">
        <w:rPr>
          <w:rFonts w:ascii="Arial Narrow" w:eastAsia="Arial" w:hAnsi="Arial Narrow" w:cs="Arial"/>
          <w:color w:val="231F20"/>
          <w:position w:val="-1"/>
          <w:sz w:val="24"/>
          <w:szCs w:val="24"/>
        </w:rPr>
        <w:t>•Providebroadspectrum</w:t>
      </w:r>
      <w:r w:rsidRPr="00C203F3">
        <w:rPr>
          <w:rFonts w:ascii="Arial Narrow" w:eastAsia="Arial" w:hAnsi="Arial Narrow" w:cs="Arial"/>
          <w:color w:val="231F20"/>
          <w:w w:val="106"/>
          <w:position w:val="-1"/>
          <w:sz w:val="24"/>
          <w:szCs w:val="24"/>
        </w:rPr>
        <w:t>antibiotics</w:t>
      </w:r>
    </w:p>
    <w:p w:rsidR="00FF2CD0" w:rsidRPr="00C203F3" w:rsidRDefault="00FF2CD0" w:rsidP="00FF2CD0">
      <w:pPr>
        <w:spacing w:after="0" w:line="146" w:lineRule="exact"/>
        <w:ind w:right="-20"/>
        <w:rPr>
          <w:rFonts w:ascii="Arial Narrow" w:eastAsia="Arial" w:hAnsi="Arial Narrow" w:cs="Arial"/>
          <w:sz w:val="24"/>
          <w:szCs w:val="24"/>
        </w:rPr>
      </w:pPr>
      <w:r w:rsidRPr="00C203F3">
        <w:rPr>
          <w:rFonts w:ascii="Arial Narrow" w:eastAsia="Arial" w:hAnsi="Arial Narrow" w:cs="Arial"/>
          <w:color w:val="231F20"/>
          <w:sz w:val="24"/>
          <w:szCs w:val="24"/>
        </w:rPr>
        <w:t>•Assessafter7</w:t>
      </w:r>
      <w:r w:rsidRPr="00C203F3">
        <w:rPr>
          <w:rFonts w:ascii="Arial Narrow" w:eastAsia="Arial" w:hAnsi="Arial Narrow" w:cs="Arial"/>
          <w:color w:val="231F20"/>
          <w:w w:val="106"/>
          <w:sz w:val="24"/>
          <w:szCs w:val="24"/>
        </w:rPr>
        <w:t>days</w:t>
      </w:r>
    </w:p>
    <w:p w:rsidR="00FF2CD0" w:rsidRPr="00C203F3" w:rsidRDefault="00FF2CD0" w:rsidP="00FF2CD0">
      <w:pPr>
        <w:spacing w:after="0"/>
        <w:rPr>
          <w:rFonts w:ascii="Arial Narrow" w:hAnsi="Arial Narrow"/>
          <w:sz w:val="24"/>
          <w:szCs w:val="24"/>
        </w:rPr>
        <w:sectPr w:rsidR="00FF2CD0" w:rsidRPr="00C203F3">
          <w:type w:val="continuous"/>
          <w:pgSz w:w="9240" w:h="12760"/>
          <w:pgMar w:top="420" w:right="0" w:bottom="280" w:left="0" w:header="720" w:footer="720" w:gutter="0"/>
          <w:cols w:num="3" w:space="720" w:equalWidth="0">
            <w:col w:w="1997" w:space="1377"/>
            <w:col w:w="1517" w:space="792"/>
            <w:col w:w="3557"/>
          </w:cols>
        </w:sectPr>
      </w:pPr>
    </w:p>
    <w:p w:rsidR="00FF2CD0" w:rsidRPr="00C203F3" w:rsidRDefault="00FF2CD0" w:rsidP="00FF2CD0">
      <w:pPr>
        <w:spacing w:before="5" w:after="0" w:line="160" w:lineRule="exact"/>
        <w:rPr>
          <w:rFonts w:ascii="Arial Narrow" w:hAnsi="Arial Narrow"/>
          <w:sz w:val="24"/>
          <w:szCs w:val="24"/>
        </w:rPr>
      </w:pPr>
    </w:p>
    <w:p w:rsidR="00FF2CD0" w:rsidRPr="00C203F3" w:rsidRDefault="00FF2CD0" w:rsidP="00FF2CD0">
      <w:pPr>
        <w:spacing w:after="0" w:line="162" w:lineRule="exact"/>
        <w:ind w:left="1443" w:right="-46"/>
        <w:rPr>
          <w:rFonts w:ascii="Arial Narrow" w:eastAsia="Arial" w:hAnsi="Arial Narrow" w:cs="Arial"/>
          <w:sz w:val="24"/>
          <w:szCs w:val="24"/>
        </w:rPr>
      </w:pPr>
      <w:r w:rsidRPr="00C203F3">
        <w:rPr>
          <w:rFonts w:ascii="Arial Narrow" w:eastAsia="Arial" w:hAnsi="Arial Narrow" w:cs="Arial"/>
          <w:color w:val="231F20"/>
          <w:sz w:val="24"/>
          <w:szCs w:val="24"/>
        </w:rPr>
        <w:t>TBlikely:</w:t>
      </w:r>
      <w:r w:rsidRPr="00C203F3">
        <w:rPr>
          <w:rFonts w:ascii="Arial Narrow" w:eastAsia="Arial" w:hAnsi="Arial Narrow" w:cs="Arial"/>
          <w:color w:val="231F20"/>
          <w:w w:val="106"/>
          <w:sz w:val="24"/>
          <w:szCs w:val="24"/>
        </w:rPr>
        <w:t xml:space="preserve">treat </w:t>
      </w:r>
      <w:r w:rsidRPr="00C203F3">
        <w:rPr>
          <w:rFonts w:ascii="Arial Narrow" w:eastAsia="Arial" w:hAnsi="Arial Narrow" w:cs="Arial"/>
          <w:color w:val="231F20"/>
          <w:sz w:val="24"/>
          <w:szCs w:val="24"/>
        </w:rPr>
        <w:t>for</w:t>
      </w:r>
      <w:r w:rsidRPr="00C203F3">
        <w:rPr>
          <w:rFonts w:ascii="Arial Narrow" w:eastAsia="Arial" w:hAnsi="Arial Narrow" w:cs="Arial"/>
          <w:color w:val="231F20"/>
          <w:w w:val="106"/>
          <w:sz w:val="24"/>
          <w:szCs w:val="24"/>
        </w:rPr>
        <w:t>TB</w:t>
      </w:r>
    </w:p>
    <w:p w:rsidR="00FF2CD0" w:rsidRPr="00C203F3" w:rsidRDefault="00FF2CD0" w:rsidP="00FF2CD0">
      <w:pPr>
        <w:spacing w:before="62" w:after="0" w:line="152" w:lineRule="exact"/>
        <w:ind w:left="388" w:right="-25" w:hanging="373"/>
        <w:rPr>
          <w:rFonts w:ascii="Arial Narrow" w:eastAsia="Arial" w:hAnsi="Arial Narrow" w:cs="Arial"/>
          <w:sz w:val="24"/>
          <w:szCs w:val="24"/>
        </w:rPr>
      </w:pPr>
      <w:r w:rsidRPr="00C203F3">
        <w:rPr>
          <w:rFonts w:ascii="Arial Narrow" w:hAnsi="Arial Narrow"/>
          <w:sz w:val="24"/>
          <w:szCs w:val="24"/>
        </w:rPr>
        <w:br w:type="column"/>
      </w:r>
      <w:r w:rsidRPr="00C203F3">
        <w:rPr>
          <w:rFonts w:ascii="Arial Narrow" w:eastAsia="Arial" w:hAnsi="Arial Narrow" w:cs="Arial"/>
          <w:color w:val="231F20"/>
          <w:sz w:val="24"/>
          <w:szCs w:val="24"/>
        </w:rPr>
        <w:t>CXR</w:t>
      </w:r>
      <w:r w:rsidRPr="00C203F3">
        <w:rPr>
          <w:rFonts w:ascii="Arial Narrow" w:eastAsia="Arial" w:hAnsi="Arial Narrow" w:cs="Arial"/>
          <w:color w:val="231F20"/>
          <w:w w:val="106"/>
          <w:sz w:val="24"/>
          <w:szCs w:val="24"/>
        </w:rPr>
        <w:t>suggestive and</w:t>
      </w:r>
    </w:p>
    <w:p w:rsidR="00FF2CD0" w:rsidRPr="00C203F3" w:rsidRDefault="00FF2CD0" w:rsidP="00FF2CD0">
      <w:pPr>
        <w:spacing w:after="0" w:line="83" w:lineRule="exact"/>
        <w:ind w:right="-64"/>
        <w:rPr>
          <w:rFonts w:ascii="Arial Narrow" w:eastAsia="Arial" w:hAnsi="Arial Narrow" w:cs="Arial"/>
          <w:sz w:val="24"/>
          <w:szCs w:val="24"/>
        </w:rPr>
      </w:pPr>
      <w:r w:rsidRPr="00C203F3">
        <w:rPr>
          <w:rFonts w:ascii="Arial Narrow" w:eastAsia="Arial" w:hAnsi="Arial Narrow" w:cs="Arial"/>
          <w:color w:val="231F20"/>
          <w:position w:val="-6"/>
          <w:sz w:val="24"/>
          <w:szCs w:val="24"/>
        </w:rPr>
        <w:t>clinical</w:t>
      </w:r>
      <w:r w:rsidRPr="00C203F3">
        <w:rPr>
          <w:rFonts w:ascii="Arial Narrow" w:eastAsia="Arial" w:hAnsi="Arial Narrow" w:cs="Arial"/>
          <w:color w:val="231F20"/>
          <w:w w:val="106"/>
          <w:position w:val="-6"/>
          <w:sz w:val="24"/>
          <w:szCs w:val="24"/>
        </w:rPr>
        <w:t>judgment</w:t>
      </w:r>
    </w:p>
    <w:p w:rsidR="00FF2CD0" w:rsidRPr="00C203F3" w:rsidRDefault="00FF2CD0" w:rsidP="00FF2CD0">
      <w:pPr>
        <w:spacing w:before="40" w:after="0" w:line="240" w:lineRule="auto"/>
        <w:ind w:left="18" w:right="-20"/>
        <w:rPr>
          <w:rFonts w:ascii="Arial Narrow" w:eastAsia="Arial" w:hAnsi="Arial Narrow" w:cs="Arial"/>
          <w:sz w:val="24"/>
          <w:szCs w:val="24"/>
        </w:rPr>
      </w:pPr>
      <w:r w:rsidRPr="00C203F3">
        <w:rPr>
          <w:rFonts w:ascii="Arial Narrow" w:hAnsi="Arial Narrow"/>
          <w:sz w:val="24"/>
          <w:szCs w:val="24"/>
        </w:rPr>
        <w:br w:type="column"/>
      </w:r>
      <w:r w:rsidRPr="00C203F3">
        <w:rPr>
          <w:rFonts w:ascii="Arial Narrow" w:eastAsia="Arial" w:hAnsi="Arial Narrow" w:cs="Arial"/>
          <w:color w:val="231F20"/>
          <w:sz w:val="24"/>
          <w:szCs w:val="24"/>
        </w:rPr>
        <w:t>CXR</w:t>
      </w:r>
      <w:r w:rsidRPr="00C203F3">
        <w:rPr>
          <w:rFonts w:ascii="Arial Narrow" w:eastAsia="Arial" w:hAnsi="Arial Narrow" w:cs="Arial"/>
          <w:color w:val="231F20"/>
          <w:w w:val="106"/>
          <w:sz w:val="24"/>
          <w:szCs w:val="24"/>
        </w:rPr>
        <w:t>not</w:t>
      </w:r>
    </w:p>
    <w:p w:rsidR="00FF2CD0" w:rsidRPr="00C203F3" w:rsidRDefault="00FF2CD0" w:rsidP="00FF2CD0">
      <w:pPr>
        <w:spacing w:before="8" w:after="0" w:line="240" w:lineRule="auto"/>
        <w:ind w:right="-61"/>
        <w:rPr>
          <w:rFonts w:ascii="Arial Narrow" w:eastAsia="Arial" w:hAnsi="Arial Narrow" w:cs="Arial"/>
          <w:sz w:val="24"/>
          <w:szCs w:val="24"/>
        </w:rPr>
      </w:pPr>
      <w:r w:rsidRPr="00C203F3">
        <w:rPr>
          <w:rFonts w:ascii="Arial Narrow" w:eastAsia="Arial" w:hAnsi="Arial Narrow" w:cs="Arial"/>
          <w:color w:val="231F20"/>
          <w:w w:val="107"/>
          <w:sz w:val="24"/>
          <w:szCs w:val="24"/>
        </w:rPr>
        <w:t>Suggestive</w:t>
      </w:r>
    </w:p>
    <w:p w:rsidR="00FF2CD0" w:rsidRPr="00C203F3" w:rsidRDefault="00FF2CD0" w:rsidP="00FF2CD0">
      <w:pPr>
        <w:spacing w:before="36" w:after="0" w:line="175" w:lineRule="auto"/>
        <w:ind w:right="-46"/>
        <w:rPr>
          <w:rFonts w:ascii="Arial Narrow" w:eastAsia="Arial" w:hAnsi="Arial Narrow" w:cs="Arial"/>
          <w:sz w:val="24"/>
          <w:szCs w:val="24"/>
        </w:rPr>
      </w:pPr>
      <w:r w:rsidRPr="00C203F3">
        <w:rPr>
          <w:rFonts w:ascii="Arial Narrow" w:hAnsi="Arial Narrow"/>
          <w:sz w:val="24"/>
          <w:szCs w:val="24"/>
        </w:rPr>
        <w:br w:type="column"/>
      </w:r>
      <w:r w:rsidRPr="00C203F3">
        <w:rPr>
          <w:rFonts w:ascii="Arial Narrow" w:eastAsia="Arial" w:hAnsi="Arial Narrow" w:cs="Arial"/>
          <w:color w:val="231F20"/>
          <w:sz w:val="24"/>
          <w:szCs w:val="24"/>
        </w:rPr>
        <w:t>•</w:t>
      </w:r>
      <w:r w:rsidRPr="00C203F3">
        <w:rPr>
          <w:rFonts w:ascii="Arial Narrow" w:eastAsia="Arial" w:hAnsi="Arial Narrow" w:cs="Arial"/>
          <w:color w:val="231F20"/>
          <w:position w:val="1"/>
          <w:sz w:val="24"/>
          <w:szCs w:val="24"/>
        </w:rPr>
        <w:t>Provide</w:t>
      </w:r>
      <w:r w:rsidRPr="00C203F3">
        <w:rPr>
          <w:rFonts w:ascii="Arial Narrow" w:eastAsia="Arial" w:hAnsi="Arial Narrow" w:cs="Arial"/>
          <w:color w:val="231F20"/>
          <w:w w:val="106"/>
          <w:position w:val="1"/>
          <w:sz w:val="24"/>
          <w:szCs w:val="24"/>
        </w:rPr>
        <w:t xml:space="preserve">broad </w:t>
      </w:r>
      <w:r w:rsidRPr="00C203F3">
        <w:rPr>
          <w:rFonts w:ascii="Arial Narrow" w:eastAsia="Arial" w:hAnsi="Arial Narrow" w:cs="Arial"/>
          <w:color w:val="231F20"/>
          <w:w w:val="106"/>
          <w:sz w:val="24"/>
          <w:szCs w:val="24"/>
        </w:rPr>
        <w:t>spectrum antibiotics</w:t>
      </w:r>
    </w:p>
    <w:p w:rsidR="00FF2CD0" w:rsidRPr="00C203F3" w:rsidRDefault="00FF2CD0" w:rsidP="00FF2CD0">
      <w:pPr>
        <w:spacing w:before="14" w:after="0" w:line="142" w:lineRule="exact"/>
        <w:ind w:right="-46" w:firstLine="323"/>
        <w:rPr>
          <w:rFonts w:ascii="Arial Narrow" w:eastAsia="Arial" w:hAnsi="Arial Narrow" w:cs="Arial"/>
          <w:sz w:val="24"/>
          <w:szCs w:val="24"/>
        </w:rPr>
      </w:pPr>
      <w:r w:rsidRPr="00C203F3">
        <w:rPr>
          <w:rFonts w:ascii="Arial Narrow" w:hAnsi="Arial Narrow"/>
          <w:sz w:val="24"/>
          <w:szCs w:val="24"/>
        </w:rPr>
        <w:br w:type="column"/>
      </w:r>
      <w:r w:rsidRPr="00C203F3">
        <w:rPr>
          <w:rFonts w:ascii="Arial Narrow" w:eastAsia="Arial" w:hAnsi="Arial Narrow" w:cs="Arial"/>
          <w:color w:val="231F20"/>
          <w:w w:val="106"/>
          <w:sz w:val="24"/>
          <w:szCs w:val="24"/>
        </w:rPr>
        <w:t>No improvement</w:t>
      </w:r>
    </w:p>
    <w:p w:rsidR="00FF2CD0" w:rsidRPr="00C203F3" w:rsidRDefault="00FF2CD0" w:rsidP="00FF2CD0">
      <w:pPr>
        <w:spacing w:before="18" w:after="0" w:line="124" w:lineRule="exact"/>
        <w:ind w:left="19" w:right="991" w:hanging="19"/>
        <w:rPr>
          <w:rFonts w:ascii="Arial Narrow" w:eastAsia="Arial" w:hAnsi="Arial Narrow" w:cs="Arial"/>
          <w:sz w:val="24"/>
          <w:szCs w:val="24"/>
        </w:rPr>
      </w:pPr>
      <w:r w:rsidRPr="00C203F3">
        <w:rPr>
          <w:rFonts w:ascii="Arial Narrow" w:hAnsi="Arial Narrow"/>
          <w:sz w:val="24"/>
          <w:szCs w:val="24"/>
        </w:rPr>
        <w:br w:type="column"/>
      </w:r>
      <w:r w:rsidRPr="00C203F3">
        <w:rPr>
          <w:rFonts w:ascii="Arial Narrow" w:eastAsia="Arial" w:hAnsi="Arial Narrow" w:cs="Arial"/>
          <w:color w:val="231F20"/>
          <w:sz w:val="24"/>
          <w:szCs w:val="24"/>
        </w:rPr>
        <w:t>If</w:t>
      </w:r>
      <w:r w:rsidRPr="00C203F3">
        <w:rPr>
          <w:rFonts w:ascii="Arial Narrow" w:eastAsia="Arial" w:hAnsi="Arial Narrow" w:cs="Arial"/>
          <w:color w:val="231F20"/>
          <w:w w:val="107"/>
          <w:sz w:val="24"/>
          <w:szCs w:val="24"/>
        </w:rPr>
        <w:t xml:space="preserve">improved: </w:t>
      </w:r>
      <w:r w:rsidRPr="00C203F3">
        <w:rPr>
          <w:rFonts w:ascii="Arial Narrow" w:eastAsia="Arial" w:hAnsi="Arial Narrow" w:cs="Arial"/>
          <w:color w:val="231F20"/>
          <w:sz w:val="24"/>
          <w:szCs w:val="24"/>
        </w:rPr>
        <w:t>TB</w:t>
      </w:r>
      <w:r w:rsidRPr="00C203F3">
        <w:rPr>
          <w:rFonts w:ascii="Arial Narrow" w:eastAsia="Arial" w:hAnsi="Arial Narrow" w:cs="Arial"/>
          <w:color w:val="231F20"/>
          <w:w w:val="107"/>
          <w:sz w:val="24"/>
          <w:szCs w:val="24"/>
        </w:rPr>
        <w:t>unlikely</w:t>
      </w:r>
    </w:p>
    <w:p w:rsidR="00FF2CD0" w:rsidRPr="00C203F3" w:rsidRDefault="00FF2CD0" w:rsidP="00FF2CD0">
      <w:pPr>
        <w:spacing w:after="0"/>
        <w:rPr>
          <w:rFonts w:ascii="Arial Narrow" w:hAnsi="Arial Narrow"/>
          <w:sz w:val="24"/>
          <w:szCs w:val="24"/>
        </w:rPr>
        <w:sectPr w:rsidR="00FF2CD0" w:rsidRPr="00C203F3">
          <w:type w:val="continuous"/>
          <w:pgSz w:w="9240" w:h="12760"/>
          <w:pgMar w:top="420" w:right="0" w:bottom="280" w:left="0" w:header="720" w:footer="720" w:gutter="0"/>
          <w:cols w:num="6" w:space="720" w:equalWidth="0">
            <w:col w:w="2457" w:space="248"/>
            <w:col w:w="1183" w:space="148"/>
            <w:col w:w="670" w:space="236"/>
            <w:col w:w="1044" w:space="387"/>
            <w:col w:w="925" w:space="168"/>
            <w:col w:w="1774"/>
          </w:cols>
        </w:sectPr>
      </w:pPr>
    </w:p>
    <w:p w:rsidR="00FF2CD0" w:rsidRPr="00C203F3" w:rsidRDefault="00FF2CD0" w:rsidP="00FF2CD0">
      <w:pPr>
        <w:spacing w:after="0" w:line="161" w:lineRule="exact"/>
        <w:ind w:left="1443" w:right="-64"/>
        <w:rPr>
          <w:rFonts w:ascii="Arial Narrow" w:eastAsia="Arial" w:hAnsi="Arial Narrow" w:cs="Arial"/>
          <w:sz w:val="24"/>
          <w:szCs w:val="24"/>
        </w:rPr>
      </w:pPr>
      <w:r w:rsidRPr="00C203F3">
        <w:rPr>
          <w:rFonts w:ascii="Arial Narrow" w:eastAsia="Arial" w:hAnsi="Arial Narrow" w:cs="Arial"/>
          <w:color w:val="231F20"/>
          <w:sz w:val="24"/>
          <w:szCs w:val="24"/>
        </w:rPr>
        <w:t>Andgive</w:t>
      </w:r>
      <w:r w:rsidRPr="00C203F3">
        <w:rPr>
          <w:rFonts w:ascii="Arial Narrow" w:eastAsia="Arial" w:hAnsi="Arial Narrow" w:cs="Arial"/>
          <w:color w:val="231F20"/>
          <w:w w:val="106"/>
          <w:sz w:val="24"/>
          <w:szCs w:val="24"/>
        </w:rPr>
        <w:t>CPT</w:t>
      </w:r>
    </w:p>
    <w:p w:rsidR="00FF2CD0" w:rsidRDefault="00FF2CD0" w:rsidP="00FF2CD0">
      <w:pPr>
        <w:spacing w:before="10" w:after="0" w:line="240" w:lineRule="auto"/>
        <w:ind w:right="-64"/>
        <w:rPr>
          <w:rFonts w:ascii="Arial Narrow" w:eastAsia="Arial" w:hAnsi="Arial Narrow" w:cs="Arial"/>
          <w:color w:val="231F20"/>
          <w:sz w:val="24"/>
          <w:szCs w:val="24"/>
        </w:rPr>
      </w:pPr>
      <w:r w:rsidRPr="00C203F3">
        <w:rPr>
          <w:rFonts w:ascii="Arial Narrow" w:hAnsi="Arial Narrow"/>
          <w:sz w:val="24"/>
          <w:szCs w:val="24"/>
        </w:rPr>
        <w:br w:type="column"/>
      </w:r>
      <w:r w:rsidRPr="00C203F3">
        <w:rPr>
          <w:rFonts w:ascii="Arial Narrow" w:eastAsia="Arial" w:hAnsi="Arial Narrow" w:cs="Arial"/>
          <w:color w:val="231F20"/>
          <w:sz w:val="24"/>
          <w:szCs w:val="24"/>
        </w:rPr>
        <w:t>Suggestive for</w:t>
      </w:r>
    </w:p>
    <w:p w:rsidR="00FF2CD0" w:rsidRDefault="00FF2CD0" w:rsidP="00FF2CD0">
      <w:pPr>
        <w:spacing w:before="10" w:after="0" w:line="240" w:lineRule="auto"/>
        <w:ind w:right="-64"/>
        <w:rPr>
          <w:rFonts w:ascii="Arial Narrow" w:eastAsia="Arial" w:hAnsi="Arial Narrow" w:cs="Arial"/>
          <w:color w:val="231F20"/>
          <w:sz w:val="24"/>
          <w:szCs w:val="24"/>
        </w:rPr>
      </w:pPr>
    </w:p>
    <w:p w:rsidR="00FF2CD0" w:rsidRPr="00C203F3" w:rsidRDefault="00FF2CD0" w:rsidP="00FF2CD0">
      <w:pPr>
        <w:spacing w:before="10" w:after="0" w:line="240" w:lineRule="auto"/>
        <w:ind w:right="-64"/>
        <w:rPr>
          <w:rFonts w:ascii="Arial Narrow" w:eastAsia="Arial" w:hAnsi="Arial Narrow" w:cs="Arial"/>
          <w:sz w:val="24"/>
          <w:szCs w:val="24"/>
        </w:rPr>
      </w:pPr>
      <w:r w:rsidRPr="00C203F3">
        <w:rPr>
          <w:rFonts w:ascii="Arial Narrow" w:eastAsia="Arial" w:hAnsi="Arial Narrow" w:cs="Arial"/>
          <w:color w:val="231F20"/>
          <w:w w:val="106"/>
          <w:sz w:val="24"/>
          <w:szCs w:val="24"/>
        </w:rPr>
        <w:t>TB</w:t>
      </w:r>
    </w:p>
    <w:p w:rsidR="00FF2CD0" w:rsidRPr="00C203F3" w:rsidRDefault="00FF2CD0" w:rsidP="00FF2CD0">
      <w:pPr>
        <w:spacing w:after="0" w:line="106" w:lineRule="exact"/>
        <w:ind w:right="-65"/>
        <w:rPr>
          <w:rFonts w:ascii="Arial Narrow" w:eastAsia="Arial" w:hAnsi="Arial Narrow" w:cs="Arial"/>
          <w:sz w:val="24"/>
          <w:szCs w:val="24"/>
        </w:rPr>
      </w:pPr>
      <w:r w:rsidRPr="00C203F3">
        <w:rPr>
          <w:rFonts w:ascii="Arial Narrow" w:hAnsi="Arial Narrow"/>
          <w:sz w:val="24"/>
          <w:szCs w:val="24"/>
        </w:rPr>
        <w:br w:type="column"/>
      </w:r>
      <w:r w:rsidRPr="00C203F3">
        <w:rPr>
          <w:rFonts w:ascii="Arial Narrow" w:eastAsia="Arial" w:hAnsi="Arial Narrow" w:cs="Arial"/>
          <w:color w:val="231F20"/>
          <w:position w:val="-2"/>
          <w:sz w:val="24"/>
          <w:szCs w:val="24"/>
        </w:rPr>
        <w:t>•</w:t>
      </w:r>
      <w:r w:rsidRPr="00C203F3">
        <w:rPr>
          <w:rFonts w:ascii="Arial Narrow" w:eastAsia="Arial" w:hAnsi="Arial Narrow" w:cs="Arial"/>
          <w:color w:val="231F20"/>
          <w:sz w:val="24"/>
          <w:szCs w:val="24"/>
        </w:rPr>
        <w:t>Assessafter</w:t>
      </w:r>
      <w:r w:rsidRPr="00C203F3">
        <w:rPr>
          <w:rFonts w:ascii="Arial Narrow" w:eastAsia="Arial" w:hAnsi="Arial Narrow" w:cs="Arial"/>
          <w:color w:val="231F20"/>
          <w:w w:val="106"/>
          <w:sz w:val="24"/>
          <w:szCs w:val="24"/>
        </w:rPr>
        <w:t>7</w:t>
      </w:r>
    </w:p>
    <w:p w:rsidR="00FF2CD0" w:rsidRPr="00C203F3" w:rsidRDefault="00FF2CD0" w:rsidP="00FF2CD0">
      <w:pPr>
        <w:spacing w:after="0" w:line="135" w:lineRule="exact"/>
        <w:ind w:right="-20"/>
        <w:rPr>
          <w:rFonts w:ascii="Arial Narrow" w:eastAsia="Arial" w:hAnsi="Arial Narrow" w:cs="Arial"/>
          <w:sz w:val="24"/>
          <w:szCs w:val="24"/>
        </w:rPr>
      </w:pPr>
      <w:r w:rsidRPr="00C203F3">
        <w:rPr>
          <w:rFonts w:ascii="Arial Narrow" w:eastAsia="Arial" w:hAnsi="Arial Narrow" w:cs="Arial"/>
          <w:color w:val="231F20"/>
          <w:w w:val="106"/>
          <w:sz w:val="24"/>
          <w:szCs w:val="24"/>
        </w:rPr>
        <w:t>days</w:t>
      </w:r>
    </w:p>
    <w:p w:rsidR="00FF2CD0" w:rsidRPr="00C203F3" w:rsidRDefault="00FF2CD0" w:rsidP="00FF2CD0">
      <w:pPr>
        <w:spacing w:after="0" w:line="101" w:lineRule="exact"/>
        <w:ind w:left="91" w:right="1169"/>
        <w:jc w:val="center"/>
        <w:rPr>
          <w:rFonts w:ascii="Arial Narrow" w:eastAsia="Arial" w:hAnsi="Arial Narrow" w:cs="Arial"/>
          <w:sz w:val="24"/>
          <w:szCs w:val="24"/>
        </w:rPr>
      </w:pPr>
      <w:r w:rsidRPr="00C203F3">
        <w:rPr>
          <w:rFonts w:ascii="Arial Narrow" w:hAnsi="Arial Narrow"/>
          <w:sz w:val="24"/>
          <w:szCs w:val="24"/>
        </w:rPr>
        <w:br w:type="column"/>
      </w:r>
      <w:r w:rsidRPr="00C203F3">
        <w:rPr>
          <w:rFonts w:ascii="Arial Narrow" w:eastAsia="Arial" w:hAnsi="Arial Narrow" w:cs="Arial"/>
          <w:color w:val="231F20"/>
          <w:sz w:val="24"/>
          <w:szCs w:val="24"/>
        </w:rPr>
        <w:t>Reassess clinicall</w:t>
      </w:r>
      <w:r w:rsidRPr="00C203F3">
        <w:rPr>
          <w:rFonts w:ascii="Arial Narrow" w:eastAsia="Arial" w:hAnsi="Arial Narrow" w:cs="Arial"/>
          <w:color w:val="231F20"/>
          <w:spacing w:val="-10"/>
          <w:sz w:val="24"/>
          <w:szCs w:val="24"/>
        </w:rPr>
        <w:t>y</w:t>
      </w:r>
      <w:r w:rsidRPr="00C203F3">
        <w:rPr>
          <w:rFonts w:ascii="Arial Narrow" w:eastAsia="Arial" w:hAnsi="Arial Narrow" w:cs="Arial"/>
          <w:color w:val="231F20"/>
          <w:sz w:val="24"/>
          <w:szCs w:val="24"/>
        </w:rPr>
        <w:t xml:space="preserve">, </w:t>
      </w:r>
      <w:r w:rsidRPr="00C203F3">
        <w:rPr>
          <w:rFonts w:ascii="Arial Narrow" w:eastAsia="Arial" w:hAnsi="Arial Narrow" w:cs="Arial"/>
          <w:color w:val="231F20"/>
          <w:w w:val="107"/>
          <w:sz w:val="24"/>
          <w:szCs w:val="24"/>
        </w:rPr>
        <w:t>repeat</w:t>
      </w:r>
    </w:p>
    <w:p w:rsidR="00FF2CD0" w:rsidRPr="00C203F3" w:rsidRDefault="00FF2CD0" w:rsidP="00FF2CD0">
      <w:pPr>
        <w:spacing w:after="0" w:line="135" w:lineRule="exact"/>
        <w:ind w:left="-30" w:right="976"/>
        <w:jc w:val="center"/>
        <w:rPr>
          <w:rFonts w:ascii="Arial Narrow" w:eastAsia="Arial" w:hAnsi="Arial Narrow" w:cs="Arial"/>
          <w:sz w:val="24"/>
          <w:szCs w:val="24"/>
        </w:rPr>
      </w:pPr>
      <w:r w:rsidRPr="00C203F3">
        <w:rPr>
          <w:rFonts w:ascii="Arial Narrow" w:eastAsia="Arial" w:hAnsi="Arial Narrow" w:cs="Arial"/>
          <w:color w:val="231F20"/>
          <w:spacing w:val="-1"/>
          <w:sz w:val="24"/>
          <w:szCs w:val="24"/>
        </w:rPr>
        <w:t>Sputu</w:t>
      </w:r>
      <w:r w:rsidRPr="00C203F3">
        <w:rPr>
          <w:rFonts w:ascii="Arial Narrow" w:eastAsia="Arial" w:hAnsi="Arial Narrow" w:cs="Arial"/>
          <w:color w:val="231F20"/>
          <w:sz w:val="24"/>
          <w:szCs w:val="24"/>
        </w:rPr>
        <w:t>m</w:t>
      </w:r>
      <w:r w:rsidRPr="00C203F3">
        <w:rPr>
          <w:rFonts w:ascii="Arial Narrow" w:eastAsia="Arial" w:hAnsi="Arial Narrow" w:cs="Arial"/>
          <w:color w:val="231F20"/>
          <w:spacing w:val="-1"/>
          <w:sz w:val="24"/>
          <w:szCs w:val="24"/>
        </w:rPr>
        <w:t>o</w:t>
      </w:r>
      <w:r w:rsidRPr="00C203F3">
        <w:rPr>
          <w:rFonts w:ascii="Arial Narrow" w:eastAsia="Arial" w:hAnsi="Arial Narrow" w:cs="Arial"/>
          <w:color w:val="231F20"/>
          <w:sz w:val="24"/>
          <w:szCs w:val="24"/>
        </w:rPr>
        <w:t>r</w:t>
      </w:r>
      <w:r w:rsidRPr="00C203F3">
        <w:rPr>
          <w:rFonts w:ascii="Arial Narrow" w:eastAsia="Arial" w:hAnsi="Arial Narrow" w:cs="Arial"/>
          <w:color w:val="231F20"/>
          <w:spacing w:val="-1"/>
          <w:sz w:val="24"/>
          <w:szCs w:val="24"/>
        </w:rPr>
        <w:t>T</w:t>
      </w:r>
      <w:r w:rsidRPr="00C203F3">
        <w:rPr>
          <w:rFonts w:ascii="Arial Narrow" w:eastAsia="Arial" w:hAnsi="Arial Narrow" w:cs="Arial"/>
          <w:color w:val="231F20"/>
          <w:sz w:val="24"/>
          <w:szCs w:val="24"/>
        </w:rPr>
        <w:t>B</w:t>
      </w:r>
      <w:r w:rsidRPr="00C203F3">
        <w:rPr>
          <w:rFonts w:ascii="Arial Narrow" w:eastAsia="Arial" w:hAnsi="Arial Narrow" w:cs="Arial"/>
          <w:color w:val="231F20"/>
          <w:spacing w:val="-1"/>
          <w:sz w:val="24"/>
          <w:szCs w:val="24"/>
        </w:rPr>
        <w:t>an</w:t>
      </w:r>
      <w:r w:rsidRPr="00C203F3">
        <w:rPr>
          <w:rFonts w:ascii="Arial Narrow" w:eastAsia="Arial" w:hAnsi="Arial Narrow" w:cs="Arial"/>
          <w:color w:val="231F20"/>
          <w:sz w:val="24"/>
          <w:szCs w:val="24"/>
        </w:rPr>
        <w:t>d</w:t>
      </w:r>
      <w:r w:rsidRPr="00C203F3">
        <w:rPr>
          <w:rFonts w:ascii="Arial Narrow" w:eastAsia="Arial" w:hAnsi="Arial Narrow" w:cs="Arial"/>
          <w:color w:val="231F20"/>
          <w:spacing w:val="-1"/>
          <w:sz w:val="24"/>
          <w:szCs w:val="24"/>
        </w:rPr>
        <w:t>reques</w:t>
      </w:r>
      <w:r w:rsidRPr="00C203F3">
        <w:rPr>
          <w:rFonts w:ascii="Arial Narrow" w:eastAsia="Arial" w:hAnsi="Arial Narrow" w:cs="Arial"/>
          <w:color w:val="231F20"/>
          <w:sz w:val="24"/>
          <w:szCs w:val="24"/>
        </w:rPr>
        <w:t>t</w:t>
      </w:r>
      <w:r w:rsidRPr="00C203F3">
        <w:rPr>
          <w:rFonts w:ascii="Arial Narrow" w:eastAsia="Arial" w:hAnsi="Arial Narrow" w:cs="Arial"/>
          <w:color w:val="231F20"/>
          <w:spacing w:val="-1"/>
          <w:w w:val="107"/>
          <w:sz w:val="24"/>
          <w:szCs w:val="24"/>
        </w:rPr>
        <w:t>CX</w:t>
      </w:r>
      <w:r w:rsidRPr="00C203F3">
        <w:rPr>
          <w:rFonts w:ascii="Arial Narrow" w:eastAsia="Arial" w:hAnsi="Arial Narrow" w:cs="Arial"/>
          <w:color w:val="231F20"/>
          <w:w w:val="107"/>
          <w:sz w:val="24"/>
          <w:szCs w:val="24"/>
        </w:rPr>
        <w:t>R</w:t>
      </w:r>
    </w:p>
    <w:p w:rsidR="00FF2CD0" w:rsidRPr="00C203F3" w:rsidRDefault="00FF2CD0" w:rsidP="00FF2CD0">
      <w:pPr>
        <w:spacing w:after="0"/>
        <w:jc w:val="center"/>
        <w:rPr>
          <w:rFonts w:ascii="Arial Narrow" w:hAnsi="Arial Narrow"/>
          <w:sz w:val="24"/>
          <w:szCs w:val="24"/>
        </w:rPr>
        <w:sectPr w:rsidR="00FF2CD0" w:rsidRPr="00C203F3">
          <w:type w:val="continuous"/>
          <w:pgSz w:w="9240" w:h="12760"/>
          <w:pgMar w:top="420" w:right="0" w:bottom="280" w:left="0" w:header="720" w:footer="720" w:gutter="0"/>
          <w:cols w:num="4" w:space="720" w:equalWidth="0">
            <w:col w:w="2413" w:space="237"/>
            <w:col w:w="1243" w:space="1050"/>
            <w:col w:w="1062" w:space="248"/>
            <w:col w:w="2987"/>
          </w:cols>
        </w:sectPr>
      </w:pPr>
    </w:p>
    <w:p w:rsidR="00FF2CD0" w:rsidRPr="00C203F3" w:rsidRDefault="00FF2CD0" w:rsidP="00FF2CD0">
      <w:pPr>
        <w:spacing w:before="2" w:after="0" w:line="140" w:lineRule="exact"/>
        <w:rPr>
          <w:rFonts w:ascii="Arial Narrow" w:hAnsi="Arial Narrow"/>
          <w:sz w:val="24"/>
          <w:szCs w:val="24"/>
        </w:rPr>
      </w:pPr>
    </w:p>
    <w:p w:rsidR="00FF2CD0" w:rsidRPr="00C203F3" w:rsidRDefault="00FF2CD0" w:rsidP="00FF2CD0">
      <w:pPr>
        <w:spacing w:after="0"/>
        <w:rPr>
          <w:rFonts w:ascii="Arial Narrow" w:hAnsi="Arial Narrow"/>
          <w:sz w:val="24"/>
          <w:szCs w:val="24"/>
        </w:rPr>
        <w:sectPr w:rsidR="00FF2CD0" w:rsidRPr="00C203F3">
          <w:type w:val="continuous"/>
          <w:pgSz w:w="9240" w:h="12760"/>
          <w:pgMar w:top="420" w:right="0" w:bottom="280" w:left="0" w:header="720" w:footer="720" w:gutter="0"/>
          <w:cols w:space="720"/>
        </w:sectPr>
      </w:pPr>
    </w:p>
    <w:p w:rsidR="00FF2CD0" w:rsidRPr="00C203F3" w:rsidRDefault="00FF2CD0" w:rsidP="00FF2CD0">
      <w:pPr>
        <w:spacing w:before="39" w:after="0" w:line="240" w:lineRule="auto"/>
        <w:ind w:right="-20"/>
        <w:jc w:val="right"/>
        <w:rPr>
          <w:rFonts w:ascii="Arial Narrow" w:eastAsia="Arial" w:hAnsi="Arial Narrow" w:cs="Arial"/>
          <w:sz w:val="24"/>
          <w:szCs w:val="24"/>
        </w:rPr>
      </w:pPr>
      <w:r w:rsidRPr="00C203F3">
        <w:rPr>
          <w:rFonts w:ascii="Arial Narrow" w:eastAsia="Arial" w:hAnsi="Arial Narrow" w:cs="Arial"/>
          <w:b/>
          <w:bCs/>
          <w:color w:val="231F20"/>
          <w:spacing w:val="-3"/>
          <w:sz w:val="24"/>
          <w:szCs w:val="24"/>
        </w:rPr>
        <w:t>V</w:t>
      </w:r>
      <w:r w:rsidRPr="00C203F3">
        <w:rPr>
          <w:rFonts w:ascii="Arial Narrow" w:eastAsia="Arial" w:hAnsi="Arial Narrow" w:cs="Arial"/>
          <w:b/>
          <w:bCs/>
          <w:color w:val="231F20"/>
          <w:sz w:val="24"/>
          <w:szCs w:val="24"/>
        </w:rPr>
        <w:t>isit</w:t>
      </w:r>
      <w:r w:rsidRPr="00C203F3">
        <w:rPr>
          <w:rFonts w:ascii="Arial Narrow" w:eastAsia="Arial" w:hAnsi="Arial Narrow" w:cs="Arial"/>
          <w:b/>
          <w:bCs/>
          <w:color w:val="231F20"/>
          <w:w w:val="102"/>
          <w:sz w:val="24"/>
          <w:szCs w:val="24"/>
        </w:rPr>
        <w:t>4</w:t>
      </w:r>
    </w:p>
    <w:p w:rsidR="00FF2CD0" w:rsidRPr="00C203F3" w:rsidRDefault="00FF2CD0" w:rsidP="00FF2CD0">
      <w:pPr>
        <w:spacing w:before="9" w:after="0" w:line="170" w:lineRule="exact"/>
        <w:rPr>
          <w:rFonts w:ascii="Arial Narrow" w:hAnsi="Arial Narrow"/>
          <w:sz w:val="24"/>
          <w:szCs w:val="24"/>
        </w:rPr>
      </w:pPr>
      <w:r w:rsidRPr="00C203F3">
        <w:rPr>
          <w:rFonts w:ascii="Arial Narrow" w:hAnsi="Arial Narrow"/>
          <w:sz w:val="24"/>
          <w:szCs w:val="24"/>
        </w:rPr>
        <w:br w:type="column"/>
      </w:r>
    </w:p>
    <w:p w:rsidR="00FF2CD0" w:rsidRPr="00C203F3" w:rsidRDefault="00FF2CD0" w:rsidP="00FF2CD0">
      <w:pPr>
        <w:spacing w:after="0" w:line="162" w:lineRule="exact"/>
        <w:ind w:left="19" w:right="-46" w:hanging="19"/>
        <w:rPr>
          <w:rFonts w:ascii="Arial Narrow" w:eastAsia="Arial" w:hAnsi="Arial Narrow" w:cs="Arial"/>
          <w:sz w:val="24"/>
          <w:szCs w:val="24"/>
        </w:rPr>
      </w:pPr>
      <w:r w:rsidRPr="00C203F3">
        <w:rPr>
          <w:rFonts w:ascii="Arial Narrow" w:eastAsia="Arial" w:hAnsi="Arial Narrow" w:cs="Arial"/>
          <w:color w:val="231F20"/>
          <w:sz w:val="24"/>
          <w:szCs w:val="24"/>
        </w:rPr>
        <w:t>If</w:t>
      </w:r>
      <w:r w:rsidRPr="00C203F3">
        <w:rPr>
          <w:rFonts w:ascii="Arial Narrow" w:eastAsia="Arial" w:hAnsi="Arial Narrow" w:cs="Arial"/>
          <w:color w:val="231F20"/>
          <w:w w:val="106"/>
          <w:sz w:val="24"/>
          <w:szCs w:val="24"/>
        </w:rPr>
        <w:t xml:space="preserve">improved: </w:t>
      </w:r>
      <w:r w:rsidRPr="00C203F3">
        <w:rPr>
          <w:rFonts w:ascii="Arial Narrow" w:eastAsia="Arial" w:hAnsi="Arial Narrow" w:cs="Arial"/>
          <w:color w:val="231F20"/>
          <w:sz w:val="24"/>
          <w:szCs w:val="24"/>
        </w:rPr>
        <w:t>TB</w:t>
      </w:r>
      <w:r w:rsidRPr="00C203F3">
        <w:rPr>
          <w:rFonts w:ascii="Arial Narrow" w:eastAsia="Arial" w:hAnsi="Arial Narrow" w:cs="Arial"/>
          <w:color w:val="231F20"/>
          <w:w w:val="106"/>
          <w:sz w:val="24"/>
          <w:szCs w:val="24"/>
        </w:rPr>
        <w:t>unlikely</w:t>
      </w:r>
    </w:p>
    <w:p w:rsidR="00FF2CD0" w:rsidRPr="00C203F3" w:rsidRDefault="00FF2CD0" w:rsidP="00FF2CD0">
      <w:pPr>
        <w:spacing w:before="7" w:after="0" w:line="170" w:lineRule="exact"/>
        <w:rPr>
          <w:rFonts w:ascii="Arial Narrow" w:hAnsi="Arial Narrow"/>
          <w:sz w:val="24"/>
          <w:szCs w:val="24"/>
        </w:rPr>
      </w:pPr>
      <w:r w:rsidRPr="00C203F3">
        <w:rPr>
          <w:rFonts w:ascii="Arial Narrow" w:hAnsi="Arial Narrow"/>
          <w:sz w:val="24"/>
          <w:szCs w:val="24"/>
        </w:rPr>
        <w:br w:type="column"/>
      </w:r>
    </w:p>
    <w:p w:rsidR="00FF2CD0" w:rsidRPr="00C203F3" w:rsidRDefault="00FF2CD0" w:rsidP="00FF2CD0">
      <w:pPr>
        <w:spacing w:after="0" w:line="240" w:lineRule="auto"/>
        <w:ind w:right="-64"/>
        <w:rPr>
          <w:rFonts w:ascii="Arial Narrow" w:eastAsia="Arial" w:hAnsi="Arial Narrow" w:cs="Arial"/>
          <w:sz w:val="24"/>
          <w:szCs w:val="24"/>
        </w:rPr>
      </w:pPr>
      <w:r w:rsidRPr="00C203F3">
        <w:rPr>
          <w:rFonts w:ascii="Arial Narrow" w:eastAsia="Arial" w:hAnsi="Arial Narrow" w:cs="Arial"/>
          <w:color w:val="231F20"/>
          <w:sz w:val="24"/>
          <w:szCs w:val="24"/>
        </w:rPr>
        <w:t>No</w:t>
      </w:r>
      <w:r w:rsidRPr="00C203F3">
        <w:rPr>
          <w:rFonts w:ascii="Arial Narrow" w:eastAsia="Arial" w:hAnsi="Arial Narrow" w:cs="Arial"/>
          <w:color w:val="231F20"/>
          <w:w w:val="106"/>
          <w:sz w:val="24"/>
          <w:szCs w:val="24"/>
        </w:rPr>
        <w:t>improvement</w:t>
      </w:r>
    </w:p>
    <w:p w:rsidR="00FF2CD0" w:rsidRPr="00C203F3" w:rsidRDefault="00FF2CD0" w:rsidP="00FF2CD0">
      <w:pPr>
        <w:spacing w:before="2" w:after="0" w:line="170" w:lineRule="exact"/>
        <w:rPr>
          <w:rFonts w:ascii="Arial Narrow" w:hAnsi="Arial Narrow"/>
          <w:sz w:val="24"/>
          <w:szCs w:val="24"/>
        </w:rPr>
      </w:pPr>
      <w:r w:rsidRPr="00C203F3">
        <w:rPr>
          <w:rFonts w:ascii="Arial Narrow" w:hAnsi="Arial Narrow"/>
          <w:sz w:val="24"/>
          <w:szCs w:val="24"/>
        </w:rPr>
        <w:br w:type="column"/>
      </w:r>
    </w:p>
    <w:p w:rsidR="00FF2CD0" w:rsidRPr="00C203F3" w:rsidRDefault="00FF2CD0" w:rsidP="00FF2CD0">
      <w:pPr>
        <w:spacing w:after="0" w:line="162" w:lineRule="exact"/>
        <w:ind w:right="-46"/>
        <w:rPr>
          <w:rFonts w:ascii="Arial Narrow" w:eastAsia="Arial" w:hAnsi="Arial Narrow" w:cs="Arial"/>
          <w:sz w:val="24"/>
          <w:szCs w:val="24"/>
        </w:rPr>
      </w:pPr>
      <w:r w:rsidRPr="00C203F3">
        <w:rPr>
          <w:rFonts w:ascii="Arial Narrow" w:eastAsia="Arial" w:hAnsi="Arial Narrow" w:cs="Arial"/>
          <w:color w:val="231F20"/>
          <w:sz w:val="24"/>
          <w:szCs w:val="24"/>
        </w:rPr>
        <w:t>IfTB</w:t>
      </w:r>
      <w:r w:rsidRPr="00C203F3">
        <w:rPr>
          <w:rFonts w:ascii="Arial Narrow" w:eastAsia="Arial" w:hAnsi="Arial Narrow" w:cs="Arial"/>
          <w:color w:val="231F20"/>
          <w:w w:val="106"/>
          <w:sz w:val="24"/>
          <w:szCs w:val="24"/>
        </w:rPr>
        <w:t xml:space="preserve">unlikely: </w:t>
      </w:r>
      <w:r w:rsidRPr="00C203F3">
        <w:rPr>
          <w:rFonts w:ascii="Arial Narrow" w:eastAsia="Arial" w:hAnsi="Arial Narrow" w:cs="Arial"/>
          <w:color w:val="231F20"/>
          <w:sz w:val="24"/>
          <w:szCs w:val="24"/>
        </w:rPr>
        <w:t>reassess</w:t>
      </w:r>
      <w:r w:rsidRPr="00C203F3">
        <w:rPr>
          <w:rFonts w:ascii="Arial Narrow" w:eastAsia="Arial" w:hAnsi="Arial Narrow" w:cs="Arial"/>
          <w:color w:val="231F20"/>
          <w:w w:val="106"/>
          <w:sz w:val="24"/>
          <w:szCs w:val="24"/>
        </w:rPr>
        <w:t>for other</w:t>
      </w:r>
    </w:p>
    <w:p w:rsidR="00FF2CD0" w:rsidRPr="00C203F3" w:rsidRDefault="00FF2CD0" w:rsidP="00FF2CD0">
      <w:pPr>
        <w:spacing w:before="1" w:after="0" w:line="160" w:lineRule="exact"/>
        <w:rPr>
          <w:rFonts w:ascii="Arial Narrow" w:hAnsi="Arial Narrow"/>
          <w:sz w:val="24"/>
          <w:szCs w:val="24"/>
        </w:rPr>
      </w:pPr>
      <w:r w:rsidRPr="00C203F3">
        <w:rPr>
          <w:rFonts w:ascii="Arial Narrow" w:hAnsi="Arial Narrow"/>
          <w:sz w:val="24"/>
          <w:szCs w:val="24"/>
        </w:rPr>
        <w:br w:type="column"/>
      </w:r>
    </w:p>
    <w:p w:rsidR="00FF2CD0" w:rsidRPr="00C203F3" w:rsidRDefault="00FF2CD0" w:rsidP="00FF2CD0">
      <w:pPr>
        <w:spacing w:after="0" w:line="240" w:lineRule="auto"/>
        <w:ind w:right="-20"/>
        <w:rPr>
          <w:rFonts w:ascii="Arial Narrow" w:eastAsia="Arial" w:hAnsi="Arial Narrow" w:cs="Arial"/>
          <w:sz w:val="24"/>
          <w:szCs w:val="24"/>
        </w:rPr>
      </w:pPr>
      <w:r w:rsidRPr="00C203F3">
        <w:rPr>
          <w:rFonts w:ascii="Arial Narrow" w:eastAsia="Arial" w:hAnsi="Arial Narrow" w:cs="Arial"/>
          <w:color w:val="231F20"/>
          <w:sz w:val="24"/>
          <w:szCs w:val="24"/>
        </w:rPr>
        <w:t>IfTB</w:t>
      </w:r>
      <w:r w:rsidRPr="00C203F3">
        <w:rPr>
          <w:rFonts w:ascii="Arial Narrow" w:eastAsia="Arial" w:hAnsi="Arial Narrow" w:cs="Arial"/>
          <w:color w:val="231F20"/>
          <w:w w:val="106"/>
          <w:sz w:val="24"/>
          <w:szCs w:val="24"/>
        </w:rPr>
        <w:t>likely:</w:t>
      </w:r>
    </w:p>
    <w:p w:rsidR="00FF2CD0" w:rsidRPr="00C203F3" w:rsidRDefault="00FF2CD0" w:rsidP="00FF2CD0">
      <w:pPr>
        <w:spacing w:after="0" w:line="162" w:lineRule="exact"/>
        <w:ind w:right="-20"/>
        <w:rPr>
          <w:rFonts w:ascii="Arial Narrow" w:eastAsia="Arial" w:hAnsi="Arial Narrow" w:cs="Arial"/>
          <w:sz w:val="24"/>
          <w:szCs w:val="24"/>
        </w:rPr>
      </w:pPr>
      <w:r w:rsidRPr="00C203F3">
        <w:rPr>
          <w:rFonts w:ascii="Arial Narrow" w:eastAsia="Arial" w:hAnsi="Arial Narrow" w:cs="Arial"/>
          <w:color w:val="231F20"/>
          <w:sz w:val="24"/>
          <w:szCs w:val="24"/>
        </w:rPr>
        <w:t>Treatfor</w:t>
      </w:r>
      <w:r w:rsidRPr="00C203F3">
        <w:rPr>
          <w:rFonts w:ascii="Arial Narrow" w:eastAsia="Arial" w:hAnsi="Arial Narrow" w:cs="Arial"/>
          <w:color w:val="231F20"/>
          <w:w w:val="106"/>
          <w:sz w:val="24"/>
          <w:szCs w:val="24"/>
        </w:rPr>
        <w:t>TB</w:t>
      </w:r>
    </w:p>
    <w:p w:rsidR="00FF2CD0" w:rsidRPr="00C203F3" w:rsidRDefault="00FF2CD0" w:rsidP="00FF2CD0">
      <w:pPr>
        <w:spacing w:after="0"/>
        <w:rPr>
          <w:rFonts w:ascii="Arial Narrow" w:hAnsi="Arial Narrow"/>
          <w:sz w:val="24"/>
          <w:szCs w:val="24"/>
        </w:rPr>
        <w:sectPr w:rsidR="00FF2CD0" w:rsidRPr="00C203F3">
          <w:type w:val="continuous"/>
          <w:pgSz w:w="9240" w:h="12760"/>
          <w:pgMar w:top="420" w:right="0" w:bottom="280" w:left="0" w:header="720" w:footer="720" w:gutter="0"/>
          <w:cols w:num="5" w:space="720" w:equalWidth="0">
            <w:col w:w="1997" w:space="1655"/>
            <w:col w:w="836" w:space="309"/>
            <w:col w:w="1174" w:space="248"/>
            <w:col w:w="958" w:space="203"/>
            <w:col w:w="1860"/>
          </w:cols>
        </w:sectPr>
      </w:pPr>
    </w:p>
    <w:p w:rsidR="00FF2CD0" w:rsidRPr="00C203F3" w:rsidRDefault="00FF2CD0" w:rsidP="00FF2CD0">
      <w:pPr>
        <w:spacing w:before="90" w:after="0" w:line="152" w:lineRule="exact"/>
        <w:ind w:left="4149" w:right="-46" w:hanging="444"/>
        <w:rPr>
          <w:rFonts w:ascii="Arial Narrow" w:eastAsia="Arial" w:hAnsi="Arial Narrow" w:cs="Arial"/>
          <w:sz w:val="24"/>
          <w:szCs w:val="24"/>
        </w:rPr>
      </w:pPr>
      <w:r w:rsidRPr="00C203F3">
        <w:rPr>
          <w:rFonts w:ascii="Arial Narrow" w:eastAsia="Arial" w:hAnsi="Arial Narrow" w:cs="Arial"/>
          <w:color w:val="231F20"/>
          <w:sz w:val="24"/>
          <w:szCs w:val="24"/>
        </w:rPr>
        <w:t>Reassess clinicallyand</w:t>
      </w:r>
      <w:r w:rsidRPr="00C203F3">
        <w:rPr>
          <w:rFonts w:ascii="Arial Narrow" w:eastAsia="Arial" w:hAnsi="Arial Narrow" w:cs="Arial"/>
          <w:color w:val="231F20"/>
          <w:w w:val="106"/>
          <w:sz w:val="24"/>
          <w:szCs w:val="24"/>
        </w:rPr>
        <w:t xml:space="preserve">repeat </w:t>
      </w:r>
      <w:r w:rsidRPr="00C203F3">
        <w:rPr>
          <w:rFonts w:ascii="Arial Narrow" w:eastAsia="Arial" w:hAnsi="Arial Narrow" w:cs="Arial"/>
          <w:color w:val="231F20"/>
          <w:sz w:val="24"/>
          <w:szCs w:val="24"/>
        </w:rPr>
        <w:t>sputumfor</w:t>
      </w:r>
      <w:r w:rsidRPr="00C203F3">
        <w:rPr>
          <w:rFonts w:ascii="Arial Narrow" w:eastAsia="Arial" w:hAnsi="Arial Narrow" w:cs="Arial"/>
          <w:color w:val="231F20"/>
          <w:w w:val="106"/>
          <w:sz w:val="24"/>
          <w:szCs w:val="24"/>
        </w:rPr>
        <w:t>AFB</w:t>
      </w:r>
    </w:p>
    <w:p w:rsidR="00FF2CD0" w:rsidRPr="00C203F3" w:rsidRDefault="00FF2CD0" w:rsidP="00FF2CD0">
      <w:pPr>
        <w:spacing w:after="0" w:line="152" w:lineRule="exact"/>
        <w:ind w:right="-20"/>
        <w:rPr>
          <w:rFonts w:ascii="Arial Narrow" w:eastAsia="Arial" w:hAnsi="Arial Narrow" w:cs="Arial"/>
          <w:sz w:val="24"/>
          <w:szCs w:val="24"/>
        </w:rPr>
      </w:pPr>
      <w:r w:rsidRPr="00C203F3">
        <w:rPr>
          <w:rFonts w:ascii="Arial Narrow" w:hAnsi="Arial Narrow"/>
          <w:sz w:val="24"/>
          <w:szCs w:val="24"/>
        </w:rPr>
        <w:br w:type="column"/>
      </w:r>
      <w:r w:rsidRPr="00C203F3">
        <w:rPr>
          <w:rFonts w:ascii="Arial Narrow" w:eastAsia="Arial" w:hAnsi="Arial Narrow" w:cs="Arial"/>
          <w:color w:val="231F20"/>
          <w:w w:val="106"/>
          <w:sz w:val="24"/>
          <w:szCs w:val="24"/>
        </w:rPr>
        <w:t>Conditions</w:t>
      </w:r>
    </w:p>
    <w:p w:rsidR="00FF2CD0" w:rsidRPr="00C203F3" w:rsidRDefault="00FF2CD0" w:rsidP="00FF2CD0">
      <w:pPr>
        <w:spacing w:after="0"/>
        <w:rPr>
          <w:rFonts w:ascii="Arial Narrow" w:hAnsi="Arial Narrow"/>
          <w:sz w:val="24"/>
          <w:szCs w:val="24"/>
        </w:rPr>
        <w:sectPr w:rsidR="00FF2CD0" w:rsidRPr="00C203F3">
          <w:type w:val="continuous"/>
          <w:pgSz w:w="9240" w:h="12760"/>
          <w:pgMar w:top="420" w:right="0" w:bottom="280" w:left="0" w:header="720" w:footer="720" w:gutter="0"/>
          <w:cols w:num="2" w:space="720" w:equalWidth="0">
            <w:col w:w="5857" w:space="363"/>
            <w:col w:w="3020"/>
          </w:cols>
        </w:sectPr>
      </w:pPr>
    </w:p>
    <w:p w:rsidR="00FF2CD0" w:rsidRPr="00C203F3" w:rsidRDefault="00FF2CD0" w:rsidP="00FF2CD0">
      <w:pPr>
        <w:spacing w:before="9" w:after="0" w:line="170" w:lineRule="exact"/>
        <w:rPr>
          <w:rFonts w:ascii="Arial Narrow" w:hAnsi="Arial Narrow"/>
          <w:sz w:val="24"/>
          <w:szCs w:val="24"/>
        </w:rPr>
      </w:pPr>
    </w:p>
    <w:p w:rsidR="00FF2CD0" w:rsidRPr="00C203F3" w:rsidRDefault="00FF2CD0" w:rsidP="00FF2CD0">
      <w:pPr>
        <w:spacing w:after="0"/>
        <w:rPr>
          <w:rFonts w:ascii="Arial Narrow" w:hAnsi="Arial Narrow"/>
          <w:sz w:val="24"/>
          <w:szCs w:val="24"/>
        </w:rPr>
        <w:sectPr w:rsidR="00FF2CD0" w:rsidRPr="00C203F3">
          <w:type w:val="continuous"/>
          <w:pgSz w:w="9240" w:h="12760"/>
          <w:pgMar w:top="420" w:right="0" w:bottom="280" w:left="0" w:header="720" w:footer="720" w:gutter="0"/>
          <w:cols w:space="720"/>
        </w:sectPr>
      </w:pPr>
    </w:p>
    <w:p w:rsidR="00FF2CD0" w:rsidRPr="00C203F3" w:rsidRDefault="00FF2CD0" w:rsidP="00FF2CD0">
      <w:pPr>
        <w:spacing w:before="39" w:after="0" w:line="240" w:lineRule="auto"/>
        <w:ind w:right="-20"/>
        <w:jc w:val="right"/>
        <w:rPr>
          <w:rFonts w:ascii="Arial Narrow" w:eastAsia="Arial" w:hAnsi="Arial Narrow" w:cs="Arial"/>
          <w:sz w:val="24"/>
          <w:szCs w:val="24"/>
        </w:rPr>
      </w:pPr>
      <w:r w:rsidRPr="00C203F3">
        <w:rPr>
          <w:rFonts w:ascii="Arial Narrow" w:eastAsia="Arial" w:hAnsi="Arial Narrow" w:cs="Arial"/>
          <w:b/>
          <w:bCs/>
          <w:color w:val="231F20"/>
          <w:spacing w:val="-3"/>
          <w:sz w:val="24"/>
          <w:szCs w:val="24"/>
        </w:rPr>
        <w:t>V</w:t>
      </w:r>
      <w:r w:rsidRPr="00C203F3">
        <w:rPr>
          <w:rFonts w:ascii="Arial Narrow" w:eastAsia="Arial" w:hAnsi="Arial Narrow" w:cs="Arial"/>
          <w:b/>
          <w:bCs/>
          <w:color w:val="231F20"/>
          <w:sz w:val="24"/>
          <w:szCs w:val="24"/>
        </w:rPr>
        <w:t>isit</w:t>
      </w:r>
      <w:r w:rsidRPr="00C203F3">
        <w:rPr>
          <w:rFonts w:ascii="Arial Narrow" w:eastAsia="Arial" w:hAnsi="Arial Narrow" w:cs="Arial"/>
          <w:b/>
          <w:bCs/>
          <w:color w:val="231F20"/>
          <w:w w:val="102"/>
          <w:sz w:val="24"/>
          <w:szCs w:val="24"/>
        </w:rPr>
        <w:t>5</w:t>
      </w:r>
    </w:p>
    <w:p w:rsidR="00FF2CD0" w:rsidRPr="00C203F3" w:rsidRDefault="00FF2CD0" w:rsidP="00FF2CD0">
      <w:pPr>
        <w:spacing w:before="6" w:after="0" w:line="200" w:lineRule="exact"/>
        <w:rPr>
          <w:rFonts w:ascii="Arial Narrow" w:hAnsi="Arial Narrow"/>
          <w:sz w:val="24"/>
          <w:szCs w:val="24"/>
        </w:rPr>
      </w:pPr>
      <w:r w:rsidRPr="00C203F3">
        <w:rPr>
          <w:rFonts w:ascii="Arial Narrow" w:hAnsi="Arial Narrow"/>
          <w:sz w:val="24"/>
          <w:szCs w:val="24"/>
        </w:rPr>
        <w:br w:type="column"/>
      </w:r>
    </w:p>
    <w:p w:rsidR="00FF2CD0" w:rsidRPr="00C203F3" w:rsidRDefault="00FF2CD0" w:rsidP="00FF2CD0">
      <w:pPr>
        <w:spacing w:after="0" w:line="251" w:lineRule="auto"/>
        <w:ind w:right="-46"/>
        <w:rPr>
          <w:rFonts w:ascii="Arial Narrow" w:eastAsia="Arial" w:hAnsi="Arial Narrow" w:cs="Arial"/>
          <w:sz w:val="24"/>
          <w:szCs w:val="24"/>
        </w:rPr>
      </w:pPr>
      <w:r w:rsidRPr="00C203F3">
        <w:rPr>
          <w:rFonts w:ascii="Arial Narrow" w:eastAsia="Arial" w:hAnsi="Arial Narrow" w:cs="Arial"/>
          <w:color w:val="231F20"/>
          <w:sz w:val="24"/>
          <w:szCs w:val="24"/>
        </w:rPr>
        <w:t>If</w:t>
      </w:r>
      <w:r>
        <w:rPr>
          <w:rFonts w:ascii="Arial Narrow" w:eastAsia="Arial" w:hAnsi="Arial Narrow" w:cs="Arial"/>
          <w:color w:val="231F20"/>
          <w:sz w:val="24"/>
          <w:szCs w:val="24"/>
        </w:rPr>
        <w:t xml:space="preserve"> </w:t>
      </w:r>
      <w:r w:rsidRPr="00C203F3">
        <w:rPr>
          <w:rFonts w:ascii="Arial Narrow" w:eastAsia="Arial" w:hAnsi="Arial Narrow" w:cs="Arial"/>
          <w:color w:val="231F20"/>
          <w:sz w:val="24"/>
          <w:szCs w:val="24"/>
        </w:rPr>
        <w:t>TB</w:t>
      </w:r>
      <w:r>
        <w:rPr>
          <w:rFonts w:ascii="Arial Narrow" w:eastAsia="Arial" w:hAnsi="Arial Narrow" w:cs="Arial"/>
          <w:color w:val="231F20"/>
          <w:sz w:val="24"/>
          <w:szCs w:val="24"/>
        </w:rPr>
        <w:t xml:space="preserve"> </w:t>
      </w:r>
      <w:r w:rsidRPr="00C203F3">
        <w:rPr>
          <w:rFonts w:ascii="Arial Narrow" w:eastAsia="Arial" w:hAnsi="Arial Narrow" w:cs="Arial"/>
          <w:color w:val="231F20"/>
          <w:sz w:val="24"/>
          <w:szCs w:val="24"/>
        </w:rPr>
        <w:t>unlikely:</w:t>
      </w:r>
      <w:r w:rsidRPr="00C203F3">
        <w:rPr>
          <w:rFonts w:ascii="Arial Narrow" w:eastAsia="Arial" w:hAnsi="Arial Narrow" w:cs="Arial"/>
          <w:color w:val="231F20"/>
          <w:w w:val="106"/>
          <w:sz w:val="24"/>
          <w:szCs w:val="24"/>
        </w:rPr>
        <w:t>re</w:t>
      </w:r>
      <w:r>
        <w:rPr>
          <w:rFonts w:ascii="Arial Narrow" w:eastAsia="Arial" w:hAnsi="Arial Narrow" w:cs="Arial"/>
          <w:color w:val="231F20"/>
          <w:w w:val="106"/>
          <w:sz w:val="24"/>
          <w:szCs w:val="24"/>
        </w:rPr>
        <w:t>-</w:t>
      </w:r>
      <w:r w:rsidRPr="00C203F3">
        <w:rPr>
          <w:rFonts w:ascii="Arial Narrow" w:eastAsia="Arial" w:hAnsi="Arial Narrow" w:cs="Arial"/>
          <w:color w:val="231F20"/>
          <w:w w:val="106"/>
          <w:sz w:val="24"/>
          <w:szCs w:val="24"/>
        </w:rPr>
        <w:t xml:space="preserve">assess </w:t>
      </w:r>
      <w:r w:rsidRPr="00C203F3">
        <w:rPr>
          <w:rFonts w:ascii="Arial Narrow" w:eastAsia="Arial" w:hAnsi="Arial Narrow" w:cs="Arial"/>
          <w:color w:val="231F20"/>
          <w:sz w:val="24"/>
          <w:szCs w:val="24"/>
        </w:rPr>
        <w:t>for</w:t>
      </w:r>
      <w:r>
        <w:rPr>
          <w:rFonts w:ascii="Arial Narrow" w:eastAsia="Arial" w:hAnsi="Arial Narrow" w:cs="Arial"/>
          <w:color w:val="231F20"/>
          <w:sz w:val="24"/>
          <w:szCs w:val="24"/>
        </w:rPr>
        <w:t xml:space="preserve"> </w:t>
      </w:r>
      <w:r w:rsidRPr="00C203F3">
        <w:rPr>
          <w:rFonts w:ascii="Arial Narrow" w:eastAsia="Arial" w:hAnsi="Arial Narrow" w:cs="Arial"/>
          <w:color w:val="231F20"/>
          <w:sz w:val="24"/>
          <w:szCs w:val="24"/>
        </w:rPr>
        <w:t>other</w:t>
      </w:r>
      <w:r>
        <w:rPr>
          <w:rFonts w:ascii="Arial Narrow" w:eastAsia="Arial" w:hAnsi="Arial Narrow" w:cs="Arial"/>
          <w:color w:val="231F20"/>
          <w:sz w:val="24"/>
          <w:szCs w:val="24"/>
        </w:rPr>
        <w:t xml:space="preserve"> </w:t>
      </w:r>
      <w:r w:rsidRPr="00C203F3">
        <w:rPr>
          <w:rFonts w:ascii="Arial Narrow" w:eastAsia="Arial" w:hAnsi="Arial Narrow" w:cs="Arial"/>
          <w:color w:val="231F20"/>
          <w:w w:val="106"/>
          <w:sz w:val="24"/>
          <w:szCs w:val="24"/>
        </w:rPr>
        <w:t>conditions</w:t>
      </w:r>
    </w:p>
    <w:p w:rsidR="00FF2CD0" w:rsidRPr="00C203F3" w:rsidRDefault="00FF2CD0" w:rsidP="00FF2CD0">
      <w:pPr>
        <w:spacing w:before="8" w:after="0" w:line="190" w:lineRule="exact"/>
        <w:rPr>
          <w:rFonts w:ascii="Arial Narrow" w:hAnsi="Arial Narrow"/>
          <w:sz w:val="24"/>
          <w:szCs w:val="24"/>
        </w:rPr>
      </w:pPr>
      <w:r w:rsidRPr="00C203F3">
        <w:rPr>
          <w:rFonts w:ascii="Arial Narrow" w:hAnsi="Arial Narrow"/>
          <w:sz w:val="24"/>
          <w:szCs w:val="24"/>
        </w:rPr>
        <w:br w:type="column"/>
      </w:r>
    </w:p>
    <w:p w:rsidR="00FF2CD0" w:rsidRPr="00C203F3" w:rsidRDefault="00FF2CD0" w:rsidP="00FF2CD0">
      <w:pPr>
        <w:spacing w:after="0" w:line="240" w:lineRule="auto"/>
        <w:ind w:right="-20"/>
        <w:rPr>
          <w:rFonts w:ascii="Arial Narrow" w:eastAsia="Arial" w:hAnsi="Arial Narrow" w:cs="Arial"/>
          <w:sz w:val="24"/>
          <w:szCs w:val="24"/>
        </w:rPr>
      </w:pPr>
      <w:r w:rsidRPr="00C203F3">
        <w:rPr>
          <w:rFonts w:ascii="Arial Narrow" w:eastAsia="Arial" w:hAnsi="Arial Narrow" w:cs="Arial"/>
          <w:color w:val="231F20"/>
          <w:sz w:val="24"/>
          <w:szCs w:val="24"/>
        </w:rPr>
        <w:t>If</w:t>
      </w:r>
      <w:r>
        <w:rPr>
          <w:rFonts w:ascii="Arial Narrow" w:eastAsia="Arial" w:hAnsi="Arial Narrow" w:cs="Arial"/>
          <w:color w:val="231F20"/>
          <w:sz w:val="24"/>
          <w:szCs w:val="24"/>
        </w:rPr>
        <w:t xml:space="preserve"> </w:t>
      </w:r>
      <w:r w:rsidRPr="00C203F3">
        <w:rPr>
          <w:rFonts w:ascii="Arial Narrow" w:eastAsia="Arial" w:hAnsi="Arial Narrow" w:cs="Arial"/>
          <w:color w:val="231F20"/>
          <w:sz w:val="24"/>
          <w:szCs w:val="24"/>
        </w:rPr>
        <w:t>TB</w:t>
      </w:r>
      <w:r>
        <w:rPr>
          <w:rFonts w:ascii="Arial Narrow" w:eastAsia="Arial" w:hAnsi="Arial Narrow" w:cs="Arial"/>
          <w:color w:val="231F20"/>
          <w:sz w:val="24"/>
          <w:szCs w:val="24"/>
        </w:rPr>
        <w:t xml:space="preserve"> </w:t>
      </w:r>
      <w:r w:rsidRPr="00C203F3">
        <w:rPr>
          <w:rFonts w:ascii="Arial Narrow" w:eastAsia="Arial" w:hAnsi="Arial Narrow" w:cs="Arial"/>
          <w:color w:val="231F20"/>
          <w:w w:val="106"/>
          <w:sz w:val="24"/>
          <w:szCs w:val="24"/>
        </w:rPr>
        <w:t>likely:</w:t>
      </w:r>
    </w:p>
    <w:p w:rsidR="00FF2CD0" w:rsidRPr="00C203F3" w:rsidRDefault="00FF2CD0" w:rsidP="00FF2CD0">
      <w:pPr>
        <w:spacing w:before="8" w:after="0" w:line="240" w:lineRule="auto"/>
        <w:ind w:right="-20"/>
        <w:rPr>
          <w:rFonts w:ascii="Arial Narrow" w:eastAsia="Arial" w:hAnsi="Arial Narrow" w:cs="Arial"/>
          <w:sz w:val="24"/>
          <w:szCs w:val="24"/>
        </w:rPr>
      </w:pPr>
      <w:r w:rsidRPr="00C203F3">
        <w:rPr>
          <w:rFonts w:ascii="Arial Narrow" w:eastAsia="Arial" w:hAnsi="Arial Narrow" w:cs="Arial"/>
          <w:color w:val="231F20"/>
          <w:sz w:val="24"/>
          <w:szCs w:val="24"/>
        </w:rPr>
        <w:t>Treat</w:t>
      </w:r>
      <w:r>
        <w:rPr>
          <w:rFonts w:ascii="Arial Narrow" w:eastAsia="Arial" w:hAnsi="Arial Narrow" w:cs="Arial"/>
          <w:color w:val="231F20"/>
          <w:sz w:val="24"/>
          <w:szCs w:val="24"/>
        </w:rPr>
        <w:t xml:space="preserve"> </w:t>
      </w:r>
      <w:r w:rsidRPr="00C203F3">
        <w:rPr>
          <w:rFonts w:ascii="Arial Narrow" w:eastAsia="Arial" w:hAnsi="Arial Narrow" w:cs="Arial"/>
          <w:color w:val="231F20"/>
          <w:sz w:val="24"/>
          <w:szCs w:val="24"/>
        </w:rPr>
        <w:t>for</w:t>
      </w:r>
      <w:r w:rsidRPr="00C203F3">
        <w:rPr>
          <w:rFonts w:ascii="Arial Narrow" w:eastAsia="Arial" w:hAnsi="Arial Narrow" w:cs="Arial"/>
          <w:color w:val="231F20"/>
          <w:w w:val="106"/>
          <w:sz w:val="24"/>
          <w:szCs w:val="24"/>
        </w:rPr>
        <w:t>TB</w:t>
      </w:r>
    </w:p>
    <w:p w:rsidR="00FF2CD0" w:rsidRPr="00C203F3" w:rsidRDefault="00FF2CD0" w:rsidP="00FF2CD0">
      <w:pPr>
        <w:spacing w:after="0"/>
        <w:rPr>
          <w:rFonts w:ascii="Arial Narrow" w:hAnsi="Arial Narrow"/>
          <w:sz w:val="24"/>
          <w:szCs w:val="24"/>
        </w:rPr>
        <w:sectPr w:rsidR="00FF2CD0" w:rsidRPr="00C203F3">
          <w:type w:val="continuous"/>
          <w:pgSz w:w="9240" w:h="12760"/>
          <w:pgMar w:top="420" w:right="0" w:bottom="280" w:left="0" w:header="720" w:footer="720" w:gutter="0"/>
          <w:cols w:num="3" w:space="720" w:equalWidth="0">
            <w:col w:w="1992" w:space="627"/>
            <w:col w:w="1643" w:space="332"/>
            <w:col w:w="4646"/>
          </w:cols>
        </w:sectPr>
      </w:pPr>
    </w:p>
    <w:p w:rsidR="00FF2CD0" w:rsidRPr="00C203F3" w:rsidRDefault="00FF2CD0" w:rsidP="00FF2CD0">
      <w:pPr>
        <w:spacing w:before="6" w:after="0" w:line="120" w:lineRule="exact"/>
        <w:rPr>
          <w:rFonts w:ascii="Arial Narrow" w:hAnsi="Arial Narrow"/>
          <w:sz w:val="24"/>
          <w:szCs w:val="24"/>
        </w:rPr>
      </w:pPr>
    </w:p>
    <w:p w:rsidR="00FF2CD0" w:rsidRPr="00C203F3" w:rsidRDefault="00FF2CD0" w:rsidP="00FF2CD0">
      <w:pPr>
        <w:spacing w:after="0" w:line="200" w:lineRule="exact"/>
        <w:rPr>
          <w:rFonts w:ascii="Arial Narrow" w:hAnsi="Arial Narrow"/>
          <w:sz w:val="24"/>
          <w:szCs w:val="24"/>
        </w:rPr>
      </w:pPr>
    </w:p>
    <w:p w:rsidR="00FF2CD0" w:rsidRPr="00C203F3" w:rsidRDefault="00FF2CD0" w:rsidP="00FF2CD0">
      <w:pPr>
        <w:spacing w:after="0" w:line="200" w:lineRule="exact"/>
        <w:rPr>
          <w:rFonts w:ascii="Arial Narrow" w:hAnsi="Arial Narrow"/>
          <w:sz w:val="24"/>
          <w:szCs w:val="24"/>
        </w:rPr>
      </w:pPr>
    </w:p>
    <w:p w:rsidR="00FF2CD0" w:rsidRPr="00C203F3" w:rsidRDefault="00FF2CD0" w:rsidP="00FF2CD0">
      <w:pPr>
        <w:spacing w:before="31" w:after="0" w:line="240" w:lineRule="auto"/>
        <w:ind w:right="1380"/>
        <w:jc w:val="right"/>
        <w:rPr>
          <w:rFonts w:ascii="Arial Narrow" w:eastAsia="Times New Roman" w:hAnsi="Arial Narrow" w:cs="Times New Roman"/>
          <w:sz w:val="24"/>
          <w:szCs w:val="24"/>
        </w:rPr>
      </w:pPr>
      <w:r w:rsidRPr="00C203F3">
        <w:rPr>
          <w:rFonts w:ascii="Arial Narrow" w:eastAsia="Times New Roman" w:hAnsi="Arial Narrow" w:cs="Times New Roman"/>
          <w:color w:val="FFFFFF"/>
          <w:sz w:val="24"/>
          <w:szCs w:val="24"/>
        </w:rPr>
        <w:t>303</w:t>
      </w:r>
    </w:p>
    <w:p w:rsidR="00FF2CD0" w:rsidRPr="00C203F3" w:rsidRDefault="00FF2CD0" w:rsidP="00FF2CD0">
      <w:pPr>
        <w:spacing w:after="0"/>
        <w:jc w:val="right"/>
        <w:rPr>
          <w:rFonts w:ascii="Arial Narrow" w:hAnsi="Arial Narrow"/>
          <w:sz w:val="24"/>
          <w:szCs w:val="24"/>
        </w:rPr>
        <w:sectPr w:rsidR="00FF2CD0" w:rsidRPr="00C203F3">
          <w:type w:val="continuous"/>
          <w:pgSz w:w="9240" w:h="12760"/>
          <w:pgMar w:top="420" w:right="0" w:bottom="280" w:left="0" w:header="720" w:footer="720" w:gutter="0"/>
          <w:cols w:space="720"/>
        </w:sectPr>
      </w:pPr>
    </w:p>
    <w:p w:rsidR="00FF2CD0" w:rsidRPr="00C203F3" w:rsidRDefault="00FF2CD0" w:rsidP="00FF2CD0">
      <w:pPr>
        <w:spacing w:before="2" w:after="0" w:line="200" w:lineRule="exact"/>
        <w:rPr>
          <w:rFonts w:ascii="Arial Narrow" w:hAnsi="Arial Narrow"/>
          <w:sz w:val="24"/>
          <w:szCs w:val="24"/>
        </w:rPr>
      </w:pPr>
    </w:p>
    <w:tbl>
      <w:tblPr>
        <w:tblW w:w="0" w:type="auto"/>
        <w:tblInd w:w="96" w:type="dxa"/>
        <w:tblLayout w:type="fixed"/>
        <w:tblCellMar>
          <w:left w:w="0" w:type="dxa"/>
          <w:right w:w="0" w:type="dxa"/>
        </w:tblCellMar>
        <w:tblLook w:val="01E0" w:firstRow="1" w:lastRow="1" w:firstColumn="1" w:lastColumn="1" w:noHBand="0" w:noVBand="0"/>
      </w:tblPr>
      <w:tblGrid>
        <w:gridCol w:w="1410"/>
        <w:gridCol w:w="849"/>
        <w:gridCol w:w="171"/>
        <w:gridCol w:w="865"/>
        <w:gridCol w:w="856"/>
        <w:gridCol w:w="349"/>
        <w:gridCol w:w="1440"/>
        <w:gridCol w:w="990"/>
        <w:gridCol w:w="1530"/>
      </w:tblGrid>
      <w:tr w:rsidR="00FF2CD0" w:rsidRPr="00C203F3" w:rsidTr="00FF2CD0">
        <w:trPr>
          <w:trHeight w:hRule="exact" w:val="444"/>
        </w:trPr>
        <w:tc>
          <w:tcPr>
            <w:tcW w:w="8460" w:type="dxa"/>
            <w:gridSpan w:val="9"/>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spacing w:before="11" w:after="0" w:line="240" w:lineRule="auto"/>
              <w:ind w:left="1827" w:right="-20"/>
              <w:rPr>
                <w:rFonts w:ascii="Arial Narrow" w:eastAsia="Arial" w:hAnsi="Arial Narrow" w:cs="Arial"/>
                <w:sz w:val="24"/>
                <w:szCs w:val="24"/>
              </w:rPr>
            </w:pPr>
            <w:r w:rsidRPr="00C203F3">
              <w:rPr>
                <w:rFonts w:ascii="Arial Narrow" w:eastAsia="Arial" w:hAnsi="Arial Narrow" w:cs="Arial"/>
                <w:b/>
                <w:bCs/>
                <w:color w:val="00ACED"/>
                <w:w w:val="86"/>
                <w:sz w:val="24"/>
                <w:szCs w:val="24"/>
              </w:rPr>
              <w:t>Chat</w:t>
            </w:r>
            <w:r>
              <w:rPr>
                <w:rFonts w:ascii="Arial Narrow" w:eastAsia="Arial" w:hAnsi="Arial Narrow" w:cs="Arial"/>
                <w:b/>
                <w:bCs/>
                <w:color w:val="00ACED"/>
                <w:w w:val="86"/>
                <w:sz w:val="24"/>
                <w:szCs w:val="24"/>
              </w:rPr>
              <w:t xml:space="preserve"> </w:t>
            </w:r>
            <w:r w:rsidRPr="00C203F3">
              <w:rPr>
                <w:rFonts w:ascii="Arial Narrow" w:eastAsia="Arial" w:hAnsi="Arial Narrow" w:cs="Arial"/>
                <w:b/>
                <w:bCs/>
                <w:color w:val="00ACED"/>
                <w:w w:val="86"/>
                <w:sz w:val="24"/>
                <w:szCs w:val="24"/>
              </w:rPr>
              <w:t>for</w:t>
            </w:r>
            <w:r>
              <w:rPr>
                <w:rFonts w:ascii="Arial Narrow" w:eastAsia="Arial" w:hAnsi="Arial Narrow" w:cs="Arial"/>
                <w:b/>
                <w:bCs/>
                <w:color w:val="00ACED"/>
                <w:w w:val="86"/>
                <w:sz w:val="24"/>
                <w:szCs w:val="24"/>
              </w:rPr>
              <w:t xml:space="preserve"> </w:t>
            </w:r>
            <w:r w:rsidRPr="00C203F3">
              <w:rPr>
                <w:rFonts w:ascii="Arial Narrow" w:eastAsia="Arial" w:hAnsi="Arial Narrow" w:cs="Arial"/>
                <w:b/>
                <w:bCs/>
                <w:color w:val="00ACED"/>
                <w:w w:val="86"/>
                <w:sz w:val="24"/>
                <w:szCs w:val="24"/>
              </w:rPr>
              <w:t>the</w:t>
            </w:r>
            <w:r>
              <w:rPr>
                <w:rFonts w:ascii="Arial Narrow" w:eastAsia="Arial" w:hAnsi="Arial Narrow" w:cs="Arial"/>
                <w:b/>
                <w:bCs/>
                <w:color w:val="00ACED"/>
                <w:w w:val="86"/>
                <w:sz w:val="24"/>
                <w:szCs w:val="24"/>
              </w:rPr>
              <w:t xml:space="preserve"> </w:t>
            </w:r>
            <w:r w:rsidRPr="00C203F3">
              <w:rPr>
                <w:rFonts w:ascii="Arial Narrow" w:eastAsia="Arial" w:hAnsi="Arial Narrow" w:cs="Arial"/>
                <w:b/>
                <w:bCs/>
                <w:color w:val="00ACED"/>
                <w:w w:val="86"/>
                <w:sz w:val="24"/>
                <w:szCs w:val="24"/>
              </w:rPr>
              <w:t>Diagnosis</w:t>
            </w:r>
            <w:r>
              <w:rPr>
                <w:rFonts w:ascii="Arial Narrow" w:eastAsia="Arial" w:hAnsi="Arial Narrow" w:cs="Arial"/>
                <w:b/>
                <w:bCs/>
                <w:color w:val="00ACED"/>
                <w:w w:val="86"/>
                <w:sz w:val="24"/>
                <w:szCs w:val="24"/>
              </w:rPr>
              <w:t xml:space="preserve"> </w:t>
            </w:r>
            <w:r w:rsidRPr="00C203F3">
              <w:rPr>
                <w:rFonts w:ascii="Arial Narrow" w:eastAsia="Arial" w:hAnsi="Arial Narrow" w:cs="Arial"/>
                <w:b/>
                <w:bCs/>
                <w:color w:val="00ACED"/>
                <w:w w:val="86"/>
                <w:sz w:val="24"/>
                <w:szCs w:val="24"/>
              </w:rPr>
              <w:t>of</w:t>
            </w:r>
            <w:r>
              <w:rPr>
                <w:rFonts w:ascii="Arial Narrow" w:eastAsia="Arial" w:hAnsi="Arial Narrow" w:cs="Arial"/>
                <w:b/>
                <w:bCs/>
                <w:color w:val="00ACED"/>
                <w:w w:val="86"/>
                <w:sz w:val="24"/>
                <w:szCs w:val="24"/>
              </w:rPr>
              <w:t xml:space="preserve"> </w:t>
            </w:r>
            <w:r w:rsidRPr="00C203F3">
              <w:rPr>
                <w:rFonts w:ascii="Arial Narrow" w:eastAsia="Arial" w:hAnsi="Arial Narrow" w:cs="Arial"/>
                <w:b/>
                <w:bCs/>
                <w:color w:val="00ACED"/>
                <w:w w:val="86"/>
                <w:sz w:val="24"/>
                <w:szCs w:val="24"/>
              </w:rPr>
              <w:t>TB</w:t>
            </w:r>
            <w:r>
              <w:rPr>
                <w:rFonts w:ascii="Arial Narrow" w:eastAsia="Arial" w:hAnsi="Arial Narrow" w:cs="Arial"/>
                <w:b/>
                <w:bCs/>
                <w:color w:val="00ACED"/>
                <w:w w:val="86"/>
                <w:sz w:val="24"/>
                <w:szCs w:val="24"/>
              </w:rPr>
              <w:t xml:space="preserve"> </w:t>
            </w:r>
            <w:r w:rsidRPr="00C203F3">
              <w:rPr>
                <w:rFonts w:ascii="Arial Narrow" w:eastAsia="Arial" w:hAnsi="Arial Narrow" w:cs="Arial"/>
                <w:b/>
                <w:bCs/>
                <w:color w:val="00ACED"/>
                <w:w w:val="86"/>
                <w:sz w:val="24"/>
                <w:szCs w:val="24"/>
              </w:rPr>
              <w:t>in</w:t>
            </w:r>
            <w:r>
              <w:rPr>
                <w:rFonts w:ascii="Arial Narrow" w:eastAsia="Arial" w:hAnsi="Arial Narrow" w:cs="Arial"/>
                <w:b/>
                <w:bCs/>
                <w:color w:val="00ACED"/>
                <w:w w:val="86"/>
                <w:sz w:val="24"/>
                <w:szCs w:val="24"/>
              </w:rPr>
              <w:t xml:space="preserve"> </w:t>
            </w:r>
            <w:r w:rsidRPr="00C203F3">
              <w:rPr>
                <w:rFonts w:ascii="Arial Narrow" w:eastAsia="Arial" w:hAnsi="Arial Narrow" w:cs="Arial"/>
                <w:b/>
                <w:bCs/>
                <w:color w:val="00ACED"/>
                <w:sz w:val="24"/>
                <w:szCs w:val="24"/>
              </w:rPr>
              <w:t>Children</w:t>
            </w:r>
          </w:p>
        </w:tc>
      </w:tr>
      <w:tr w:rsidR="00FF2CD0" w:rsidRPr="00C203F3" w:rsidTr="00FF2CD0">
        <w:trPr>
          <w:trHeight w:hRule="exact" w:val="435"/>
        </w:trPr>
        <w:tc>
          <w:tcPr>
            <w:tcW w:w="1410"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849"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6" w:after="0" w:line="240" w:lineRule="auto"/>
              <w:ind w:left="72" w:right="-20"/>
              <w:rPr>
                <w:rFonts w:ascii="Arial Narrow" w:eastAsia="Times New Roman" w:hAnsi="Arial Narrow" w:cs="Times New Roman"/>
                <w:sz w:val="24"/>
                <w:szCs w:val="24"/>
              </w:rPr>
            </w:pPr>
            <w:r w:rsidRPr="00C203F3">
              <w:rPr>
                <w:rFonts w:ascii="Arial Narrow" w:eastAsia="Times New Roman" w:hAnsi="Arial Narrow" w:cs="Times New Roman"/>
                <w:color w:val="231F1F"/>
                <w:w w:val="126"/>
                <w:sz w:val="24"/>
                <w:szCs w:val="24"/>
              </w:rPr>
              <w:t>0</w:t>
            </w:r>
          </w:p>
        </w:tc>
        <w:tc>
          <w:tcPr>
            <w:tcW w:w="1036" w:type="dxa"/>
            <w:gridSpan w:val="2"/>
            <w:tcBorders>
              <w:top w:val="single" w:sz="5" w:space="0" w:color="1F1C1F"/>
              <w:left w:val="single" w:sz="5" w:space="0" w:color="1F1C1F"/>
              <w:bottom w:val="single" w:sz="5" w:space="0" w:color="1F1C1F"/>
              <w:right w:val="single" w:sz="5" w:space="0" w:color="183B4B"/>
            </w:tcBorders>
          </w:tcPr>
          <w:p w:rsidR="00FF2CD0" w:rsidRPr="00C203F3" w:rsidRDefault="00FF2CD0" w:rsidP="00FF2CD0">
            <w:pPr>
              <w:spacing w:before="7" w:after="0" w:line="240" w:lineRule="auto"/>
              <w:ind w:left="86" w:right="-20"/>
              <w:rPr>
                <w:rFonts w:ascii="Arial Narrow" w:eastAsia="Times New Roman" w:hAnsi="Arial Narrow" w:cs="Times New Roman"/>
                <w:sz w:val="24"/>
                <w:szCs w:val="24"/>
              </w:rPr>
            </w:pPr>
            <w:r w:rsidRPr="00C203F3">
              <w:rPr>
                <w:rFonts w:ascii="Arial Narrow" w:eastAsia="Times New Roman" w:hAnsi="Arial Narrow" w:cs="Times New Roman"/>
                <w:color w:val="231F1F"/>
                <w:w w:val="162"/>
                <w:sz w:val="24"/>
                <w:szCs w:val="24"/>
              </w:rPr>
              <w:t>1</w:t>
            </w:r>
          </w:p>
        </w:tc>
        <w:tc>
          <w:tcPr>
            <w:tcW w:w="856" w:type="dxa"/>
            <w:tcBorders>
              <w:top w:val="single" w:sz="5" w:space="0" w:color="1F1C1F"/>
              <w:left w:val="single" w:sz="5" w:space="0" w:color="183B4B"/>
              <w:bottom w:val="single" w:sz="5" w:space="0" w:color="1F1C1F"/>
              <w:right w:val="single" w:sz="5" w:space="0" w:color="1F1C1F"/>
            </w:tcBorders>
          </w:tcPr>
          <w:p w:rsidR="00FF2CD0" w:rsidRPr="00C203F3" w:rsidRDefault="00FF2CD0" w:rsidP="00FF2CD0">
            <w:pPr>
              <w:spacing w:before="25" w:after="0" w:line="240" w:lineRule="auto"/>
              <w:ind w:left="86" w:right="-20"/>
              <w:rPr>
                <w:rFonts w:ascii="Arial Narrow" w:eastAsia="Arial" w:hAnsi="Arial Narrow" w:cs="Arial"/>
                <w:sz w:val="24"/>
                <w:szCs w:val="24"/>
              </w:rPr>
            </w:pPr>
            <w:r w:rsidRPr="00C203F3">
              <w:rPr>
                <w:rFonts w:ascii="Arial Narrow" w:eastAsia="Arial" w:hAnsi="Arial Narrow" w:cs="Arial"/>
                <w:color w:val="231F1F"/>
                <w:w w:val="101"/>
                <w:sz w:val="24"/>
                <w:szCs w:val="24"/>
              </w:rPr>
              <w:t>2</w:t>
            </w:r>
          </w:p>
        </w:tc>
        <w:tc>
          <w:tcPr>
            <w:tcW w:w="1789" w:type="dxa"/>
            <w:gridSpan w:val="2"/>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spacing w:before="16" w:after="0" w:line="240" w:lineRule="auto"/>
              <w:ind w:left="79" w:right="-20"/>
              <w:rPr>
                <w:rFonts w:ascii="Arial Narrow" w:eastAsia="Times New Roman" w:hAnsi="Arial Narrow" w:cs="Times New Roman"/>
                <w:sz w:val="24"/>
                <w:szCs w:val="24"/>
              </w:rPr>
            </w:pPr>
            <w:r w:rsidRPr="00C203F3">
              <w:rPr>
                <w:rFonts w:ascii="Arial Narrow" w:eastAsia="Times New Roman" w:hAnsi="Arial Narrow" w:cs="Times New Roman"/>
                <w:color w:val="231F1F"/>
                <w:w w:val="131"/>
                <w:sz w:val="24"/>
                <w:szCs w:val="24"/>
              </w:rPr>
              <w:t>3</w:t>
            </w:r>
          </w:p>
        </w:tc>
        <w:tc>
          <w:tcPr>
            <w:tcW w:w="990" w:type="dxa"/>
            <w:tcBorders>
              <w:top w:val="single" w:sz="5" w:space="0" w:color="1F1C1F"/>
              <w:left w:val="single" w:sz="8" w:space="0" w:color="1F1C1F"/>
              <w:bottom w:val="single" w:sz="5" w:space="0" w:color="1F1C1F"/>
              <w:right w:val="single" w:sz="5" w:space="0" w:color="1F1C1F"/>
            </w:tcBorders>
          </w:tcPr>
          <w:p w:rsidR="00FF2CD0" w:rsidRPr="00C203F3" w:rsidRDefault="00FF2CD0" w:rsidP="00FF2CD0">
            <w:pPr>
              <w:spacing w:before="25" w:after="0" w:line="240" w:lineRule="auto"/>
              <w:ind w:left="79" w:right="-20"/>
              <w:rPr>
                <w:rFonts w:ascii="Arial Narrow" w:eastAsia="Arial" w:hAnsi="Arial Narrow" w:cs="Arial"/>
                <w:sz w:val="24"/>
                <w:szCs w:val="24"/>
              </w:rPr>
            </w:pPr>
            <w:r w:rsidRPr="00C203F3">
              <w:rPr>
                <w:rFonts w:ascii="Arial Narrow" w:eastAsia="Arial" w:hAnsi="Arial Narrow" w:cs="Arial"/>
                <w:color w:val="231F1F"/>
                <w:w w:val="106"/>
                <w:sz w:val="24"/>
                <w:szCs w:val="24"/>
              </w:rPr>
              <w:t>4</w:t>
            </w:r>
          </w:p>
        </w:tc>
        <w:tc>
          <w:tcPr>
            <w:tcW w:w="1530"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spacing w:before="25" w:after="0" w:line="240" w:lineRule="auto"/>
              <w:ind w:left="79" w:right="-20"/>
              <w:rPr>
                <w:rFonts w:ascii="Arial Narrow" w:eastAsia="Arial" w:hAnsi="Arial Narrow" w:cs="Arial"/>
                <w:sz w:val="24"/>
                <w:szCs w:val="24"/>
              </w:rPr>
            </w:pPr>
            <w:r w:rsidRPr="00C203F3">
              <w:rPr>
                <w:rFonts w:ascii="Arial Narrow" w:eastAsia="Arial" w:hAnsi="Arial Narrow" w:cs="Arial"/>
                <w:color w:val="231F1F"/>
                <w:sz w:val="24"/>
                <w:szCs w:val="24"/>
              </w:rPr>
              <w:t>Score</w:t>
            </w:r>
          </w:p>
        </w:tc>
      </w:tr>
      <w:tr w:rsidR="00FF2CD0" w:rsidRPr="00C203F3" w:rsidTr="00FF2CD0">
        <w:trPr>
          <w:trHeight w:hRule="exact" w:val="624"/>
        </w:trPr>
        <w:tc>
          <w:tcPr>
            <w:tcW w:w="8460" w:type="dxa"/>
            <w:gridSpan w:val="9"/>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spacing w:before="8" w:after="0" w:line="240" w:lineRule="auto"/>
              <w:ind w:left="2961" w:right="2938"/>
              <w:jc w:val="center"/>
              <w:rPr>
                <w:rFonts w:ascii="Arial Narrow" w:eastAsia="Arial" w:hAnsi="Arial Narrow" w:cs="Arial"/>
                <w:sz w:val="24"/>
                <w:szCs w:val="24"/>
              </w:rPr>
            </w:pPr>
            <w:r w:rsidRPr="00C203F3">
              <w:rPr>
                <w:rFonts w:ascii="Arial Narrow" w:eastAsia="Arial" w:hAnsi="Arial Narrow" w:cs="Arial"/>
                <w:b/>
                <w:bCs/>
                <w:color w:val="231F1F"/>
                <w:w w:val="95"/>
                <w:sz w:val="24"/>
                <w:szCs w:val="24"/>
              </w:rPr>
              <w:t>General</w:t>
            </w:r>
            <w:r>
              <w:rPr>
                <w:rFonts w:ascii="Arial Narrow" w:eastAsia="Arial" w:hAnsi="Arial Narrow" w:cs="Arial"/>
                <w:b/>
                <w:bCs/>
                <w:color w:val="231F1F"/>
                <w:w w:val="95"/>
                <w:sz w:val="24"/>
                <w:szCs w:val="24"/>
              </w:rPr>
              <w:t xml:space="preserve"> </w:t>
            </w:r>
            <w:r w:rsidRPr="00C203F3">
              <w:rPr>
                <w:rFonts w:ascii="Arial Narrow" w:eastAsia="Arial" w:hAnsi="Arial Narrow" w:cs="Arial"/>
                <w:b/>
                <w:bCs/>
                <w:color w:val="231F1F"/>
                <w:w w:val="93"/>
                <w:sz w:val="24"/>
                <w:szCs w:val="24"/>
              </w:rPr>
              <w:t>Features</w:t>
            </w:r>
          </w:p>
        </w:tc>
      </w:tr>
      <w:tr w:rsidR="00FF2CD0" w:rsidRPr="00C203F3" w:rsidTr="00FF2CD0">
        <w:trPr>
          <w:trHeight w:hRule="exact" w:val="984"/>
        </w:trPr>
        <w:tc>
          <w:tcPr>
            <w:tcW w:w="1410"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7" w:after="0" w:line="240" w:lineRule="auto"/>
              <w:ind w:left="86" w:right="-20"/>
              <w:rPr>
                <w:rFonts w:ascii="Arial Narrow" w:eastAsia="Arial" w:hAnsi="Arial Narrow" w:cs="Arial"/>
                <w:sz w:val="24"/>
                <w:szCs w:val="24"/>
              </w:rPr>
            </w:pPr>
            <w:r w:rsidRPr="00C203F3">
              <w:rPr>
                <w:rFonts w:ascii="Arial Narrow" w:eastAsia="Arial" w:hAnsi="Arial Narrow" w:cs="Arial"/>
                <w:color w:val="231F1F"/>
                <w:w w:val="109"/>
                <w:sz w:val="24"/>
                <w:szCs w:val="24"/>
              </w:rPr>
              <w:t>Duration</w:t>
            </w:r>
            <w:r>
              <w:rPr>
                <w:rFonts w:ascii="Arial Narrow" w:eastAsia="Arial" w:hAnsi="Arial Narrow" w:cs="Arial"/>
                <w:color w:val="231F1F"/>
                <w:w w:val="109"/>
                <w:sz w:val="24"/>
                <w:szCs w:val="24"/>
              </w:rPr>
              <w:t xml:space="preserve"> </w:t>
            </w:r>
            <w:r w:rsidRPr="00C203F3">
              <w:rPr>
                <w:rFonts w:ascii="Arial Narrow" w:eastAsia="Arial" w:hAnsi="Arial Narrow" w:cs="Arial"/>
                <w:color w:val="231F1F"/>
                <w:w w:val="114"/>
                <w:sz w:val="24"/>
                <w:szCs w:val="24"/>
              </w:rPr>
              <w:t>of</w:t>
            </w:r>
          </w:p>
          <w:p w:rsidR="00FF2CD0" w:rsidRPr="00C203F3" w:rsidRDefault="00FF2CD0" w:rsidP="00FF2CD0">
            <w:pPr>
              <w:spacing w:before="43" w:after="0" w:line="240" w:lineRule="auto"/>
              <w:ind w:left="86" w:right="-20"/>
              <w:rPr>
                <w:rFonts w:ascii="Arial Narrow" w:eastAsia="Arial" w:hAnsi="Arial Narrow" w:cs="Arial"/>
                <w:sz w:val="24"/>
                <w:szCs w:val="24"/>
              </w:rPr>
            </w:pPr>
            <w:r w:rsidRPr="00C203F3">
              <w:rPr>
                <w:rFonts w:ascii="Arial Narrow" w:eastAsia="Arial" w:hAnsi="Arial Narrow" w:cs="Arial"/>
                <w:color w:val="231F1F"/>
                <w:w w:val="104"/>
                <w:sz w:val="24"/>
                <w:szCs w:val="24"/>
              </w:rPr>
              <w:t>illness</w:t>
            </w:r>
          </w:p>
        </w:tc>
        <w:tc>
          <w:tcPr>
            <w:tcW w:w="1020"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7" w:after="0" w:line="240" w:lineRule="auto"/>
              <w:ind w:left="86" w:right="-20"/>
              <w:rPr>
                <w:rFonts w:ascii="Arial Narrow" w:eastAsia="Arial" w:hAnsi="Arial Narrow" w:cs="Arial"/>
                <w:sz w:val="24"/>
                <w:szCs w:val="24"/>
              </w:rPr>
            </w:pPr>
            <w:r w:rsidRPr="00C203F3">
              <w:rPr>
                <w:rFonts w:ascii="Arial Narrow" w:eastAsia="Arial" w:hAnsi="Arial Narrow" w:cs="Arial"/>
                <w:color w:val="231F1F"/>
                <w:w w:val="93"/>
                <w:sz w:val="24"/>
                <w:szCs w:val="24"/>
              </w:rPr>
              <w:t>Less</w:t>
            </w:r>
            <w:r>
              <w:rPr>
                <w:rFonts w:ascii="Arial Narrow" w:eastAsia="Arial" w:hAnsi="Arial Narrow" w:cs="Arial"/>
                <w:color w:val="231F1F"/>
                <w:w w:val="93"/>
                <w:sz w:val="24"/>
                <w:szCs w:val="24"/>
              </w:rPr>
              <w:t xml:space="preserve"> </w:t>
            </w:r>
            <w:r w:rsidRPr="00C203F3">
              <w:rPr>
                <w:rFonts w:ascii="Arial Narrow" w:eastAsia="Arial" w:hAnsi="Arial Narrow" w:cs="Arial"/>
                <w:color w:val="231F1F"/>
                <w:w w:val="112"/>
                <w:sz w:val="24"/>
                <w:szCs w:val="24"/>
              </w:rPr>
              <w:t>than</w:t>
            </w:r>
          </w:p>
          <w:p w:rsidR="00FF2CD0" w:rsidRPr="00C203F3" w:rsidRDefault="00FF2CD0" w:rsidP="00FF2CD0">
            <w:pPr>
              <w:spacing w:before="43" w:after="0" w:line="240" w:lineRule="auto"/>
              <w:ind w:left="86" w:right="-20"/>
              <w:rPr>
                <w:rFonts w:ascii="Arial Narrow" w:eastAsia="Arial" w:hAnsi="Arial Narrow" w:cs="Arial"/>
                <w:sz w:val="24"/>
                <w:szCs w:val="24"/>
              </w:rPr>
            </w:pPr>
            <w:r w:rsidRPr="00C203F3">
              <w:rPr>
                <w:rFonts w:ascii="Arial Narrow" w:eastAsia="Arial" w:hAnsi="Arial Narrow" w:cs="Arial"/>
                <w:color w:val="231F1F"/>
                <w:sz w:val="24"/>
                <w:szCs w:val="24"/>
              </w:rPr>
              <w:t>2</w:t>
            </w:r>
            <w:r w:rsidRPr="00C203F3">
              <w:rPr>
                <w:rFonts w:ascii="Arial Narrow" w:eastAsia="Arial" w:hAnsi="Arial Narrow" w:cs="Arial"/>
                <w:color w:val="231F1F"/>
                <w:w w:val="105"/>
                <w:sz w:val="24"/>
                <w:szCs w:val="24"/>
              </w:rPr>
              <w:t>weeks</w:t>
            </w:r>
          </w:p>
        </w:tc>
        <w:tc>
          <w:tcPr>
            <w:tcW w:w="865"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7" w:after="0" w:line="240" w:lineRule="auto"/>
              <w:ind w:left="86" w:right="-20"/>
              <w:rPr>
                <w:rFonts w:ascii="Arial Narrow" w:eastAsia="Arial" w:hAnsi="Arial Narrow" w:cs="Arial"/>
                <w:sz w:val="24"/>
                <w:szCs w:val="24"/>
              </w:rPr>
            </w:pPr>
            <w:r w:rsidRPr="00C203F3">
              <w:rPr>
                <w:rFonts w:ascii="Arial Narrow" w:eastAsia="Arial" w:hAnsi="Arial Narrow" w:cs="Arial"/>
                <w:color w:val="231F1F"/>
                <w:w w:val="110"/>
                <w:sz w:val="24"/>
                <w:szCs w:val="24"/>
              </w:rPr>
              <w:t>2-4weeks</w:t>
            </w:r>
          </w:p>
        </w:tc>
        <w:tc>
          <w:tcPr>
            <w:tcW w:w="1205"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440"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spacing w:before="17" w:after="0" w:line="240" w:lineRule="auto"/>
              <w:ind w:left="79" w:right="-20"/>
              <w:rPr>
                <w:rFonts w:ascii="Arial Narrow" w:eastAsia="Arial" w:hAnsi="Arial Narrow" w:cs="Arial"/>
                <w:sz w:val="24"/>
                <w:szCs w:val="24"/>
              </w:rPr>
            </w:pPr>
            <w:r w:rsidRPr="00C203F3">
              <w:rPr>
                <w:rFonts w:ascii="Arial Narrow" w:eastAsia="Arial" w:hAnsi="Arial Narrow" w:cs="Arial"/>
                <w:color w:val="231F1F"/>
                <w:w w:val="123"/>
                <w:sz w:val="24"/>
                <w:szCs w:val="24"/>
              </w:rPr>
              <w:t>Morethan4</w:t>
            </w:r>
          </w:p>
          <w:p w:rsidR="00FF2CD0" w:rsidRPr="00C203F3" w:rsidRDefault="00FF2CD0" w:rsidP="00FF2CD0">
            <w:pPr>
              <w:spacing w:before="43" w:after="0" w:line="240" w:lineRule="auto"/>
              <w:ind w:left="79" w:right="-20"/>
              <w:rPr>
                <w:rFonts w:ascii="Arial Narrow" w:eastAsia="Arial" w:hAnsi="Arial Narrow" w:cs="Arial"/>
                <w:sz w:val="24"/>
                <w:szCs w:val="24"/>
              </w:rPr>
            </w:pPr>
            <w:r w:rsidRPr="00C203F3">
              <w:rPr>
                <w:rFonts w:ascii="Arial Narrow" w:eastAsia="Arial" w:hAnsi="Arial Narrow" w:cs="Arial"/>
                <w:color w:val="231F1F"/>
                <w:w w:val="103"/>
                <w:sz w:val="24"/>
                <w:szCs w:val="24"/>
              </w:rPr>
              <w:t>weeks</w:t>
            </w:r>
          </w:p>
        </w:tc>
        <w:tc>
          <w:tcPr>
            <w:tcW w:w="990" w:type="dxa"/>
            <w:tcBorders>
              <w:top w:val="single" w:sz="5" w:space="0" w:color="1F1C1F"/>
              <w:left w:val="single" w:sz="8"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530"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rPr>
                <w:rFonts w:ascii="Arial Narrow" w:hAnsi="Arial Narrow"/>
                <w:sz w:val="24"/>
                <w:szCs w:val="24"/>
              </w:rPr>
            </w:pPr>
          </w:p>
        </w:tc>
      </w:tr>
      <w:tr w:rsidR="00FF2CD0" w:rsidRPr="00C203F3" w:rsidTr="00FF2CD0">
        <w:trPr>
          <w:trHeight w:hRule="exact" w:val="1434"/>
        </w:trPr>
        <w:tc>
          <w:tcPr>
            <w:tcW w:w="1410"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25" w:after="0" w:line="280" w:lineRule="auto"/>
              <w:ind w:left="72" w:right="149" w:firstLine="14"/>
              <w:rPr>
                <w:rFonts w:ascii="Arial Narrow" w:eastAsia="Arial" w:hAnsi="Arial Narrow" w:cs="Arial"/>
                <w:sz w:val="24"/>
                <w:szCs w:val="24"/>
              </w:rPr>
            </w:pPr>
            <w:r w:rsidRPr="00C203F3">
              <w:rPr>
                <w:rFonts w:ascii="Arial Narrow" w:eastAsia="Arial" w:hAnsi="Arial Narrow" w:cs="Arial"/>
                <w:color w:val="231F1F"/>
                <w:sz w:val="24"/>
                <w:szCs w:val="24"/>
              </w:rPr>
              <w:t>Failure</w:t>
            </w:r>
            <w:r>
              <w:rPr>
                <w:rFonts w:ascii="Arial Narrow" w:eastAsia="Arial" w:hAnsi="Arial Narrow" w:cs="Arial"/>
                <w:color w:val="231F1F"/>
                <w:sz w:val="24"/>
                <w:szCs w:val="24"/>
              </w:rPr>
              <w:t xml:space="preserve"> </w:t>
            </w:r>
            <w:r w:rsidRPr="00C203F3">
              <w:rPr>
                <w:rFonts w:ascii="Arial Narrow" w:eastAsia="Arial" w:hAnsi="Arial Narrow" w:cs="Arial"/>
                <w:color w:val="231F1F"/>
                <w:sz w:val="24"/>
                <w:szCs w:val="24"/>
              </w:rPr>
              <w:t>to</w:t>
            </w:r>
            <w:r>
              <w:rPr>
                <w:rFonts w:ascii="Arial Narrow" w:eastAsia="Arial" w:hAnsi="Arial Narrow" w:cs="Arial"/>
                <w:color w:val="231F1F"/>
                <w:sz w:val="24"/>
                <w:szCs w:val="24"/>
              </w:rPr>
              <w:t xml:space="preserve"> </w:t>
            </w:r>
            <w:r w:rsidRPr="00C203F3">
              <w:rPr>
                <w:rFonts w:ascii="Arial Narrow" w:eastAsia="Arial" w:hAnsi="Arial Narrow" w:cs="Arial"/>
                <w:color w:val="231F1F"/>
                <w:w w:val="112"/>
                <w:sz w:val="24"/>
                <w:szCs w:val="24"/>
              </w:rPr>
              <w:t xml:space="preserve">thrive </w:t>
            </w:r>
            <w:r w:rsidRPr="00C203F3">
              <w:rPr>
                <w:rFonts w:ascii="Arial Narrow" w:eastAsia="Arial" w:hAnsi="Arial Narrow" w:cs="Arial"/>
                <w:color w:val="231F1F"/>
                <w:sz w:val="24"/>
                <w:szCs w:val="24"/>
              </w:rPr>
              <w:t>or weight</w:t>
            </w:r>
            <w:r>
              <w:rPr>
                <w:rFonts w:ascii="Arial Narrow" w:eastAsia="Arial" w:hAnsi="Arial Narrow" w:cs="Arial"/>
                <w:color w:val="231F1F"/>
                <w:sz w:val="24"/>
                <w:szCs w:val="24"/>
              </w:rPr>
              <w:t xml:space="preserve"> </w:t>
            </w:r>
            <w:r w:rsidRPr="00C203F3">
              <w:rPr>
                <w:rFonts w:ascii="Arial Narrow" w:eastAsia="Arial" w:hAnsi="Arial Narrow" w:cs="Arial"/>
                <w:color w:val="231F1F"/>
                <w:w w:val="103"/>
                <w:sz w:val="24"/>
                <w:szCs w:val="24"/>
              </w:rPr>
              <w:t>loss</w:t>
            </w:r>
          </w:p>
        </w:tc>
        <w:tc>
          <w:tcPr>
            <w:tcW w:w="1020"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7" w:after="0" w:line="290" w:lineRule="auto"/>
              <w:ind w:left="72" w:right="204"/>
              <w:rPr>
                <w:rFonts w:ascii="Arial Narrow" w:eastAsia="Arial" w:hAnsi="Arial Narrow" w:cs="Arial"/>
                <w:sz w:val="24"/>
                <w:szCs w:val="24"/>
              </w:rPr>
            </w:pPr>
            <w:r w:rsidRPr="00C203F3">
              <w:rPr>
                <w:rFonts w:ascii="Arial Narrow" w:eastAsia="Arial" w:hAnsi="Arial Narrow" w:cs="Arial"/>
                <w:color w:val="231F1F"/>
                <w:w w:val="109"/>
                <w:sz w:val="24"/>
                <w:szCs w:val="24"/>
              </w:rPr>
              <w:t xml:space="preserve">Weight </w:t>
            </w:r>
            <w:r w:rsidRPr="00C203F3">
              <w:rPr>
                <w:rFonts w:ascii="Arial Narrow" w:eastAsia="Arial" w:hAnsi="Arial Narrow" w:cs="Arial"/>
                <w:color w:val="231F1F"/>
                <w:w w:val="107"/>
                <w:sz w:val="24"/>
                <w:szCs w:val="24"/>
              </w:rPr>
              <w:t>gain</w:t>
            </w:r>
          </w:p>
        </w:tc>
        <w:tc>
          <w:tcPr>
            <w:tcW w:w="865"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205"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25" w:after="0" w:line="285" w:lineRule="auto"/>
              <w:ind w:left="72" w:right="239" w:firstLine="14"/>
              <w:rPr>
                <w:rFonts w:ascii="Arial Narrow" w:eastAsia="Arial" w:hAnsi="Arial Narrow" w:cs="Arial"/>
                <w:sz w:val="24"/>
                <w:szCs w:val="24"/>
              </w:rPr>
            </w:pPr>
            <w:r w:rsidRPr="00C203F3">
              <w:rPr>
                <w:rFonts w:ascii="Arial Narrow" w:eastAsia="Arial" w:hAnsi="Arial Narrow" w:cs="Arial"/>
                <w:color w:val="231F1F"/>
                <w:w w:val="107"/>
                <w:sz w:val="24"/>
                <w:szCs w:val="24"/>
              </w:rPr>
              <w:t xml:space="preserve">No </w:t>
            </w:r>
            <w:r w:rsidRPr="00C203F3">
              <w:rPr>
                <w:rFonts w:ascii="Arial Narrow" w:eastAsia="Arial" w:hAnsi="Arial Narrow" w:cs="Arial"/>
                <w:color w:val="231F1F"/>
                <w:w w:val="111"/>
                <w:sz w:val="24"/>
                <w:szCs w:val="24"/>
              </w:rPr>
              <w:t xml:space="preserve">weight </w:t>
            </w:r>
            <w:r w:rsidRPr="00C203F3">
              <w:rPr>
                <w:rFonts w:ascii="Arial Narrow" w:eastAsia="Arial" w:hAnsi="Arial Narrow" w:cs="Arial"/>
                <w:color w:val="231F1F"/>
                <w:w w:val="107"/>
                <w:sz w:val="24"/>
                <w:szCs w:val="24"/>
              </w:rPr>
              <w:t>gain</w:t>
            </w:r>
          </w:p>
        </w:tc>
        <w:tc>
          <w:tcPr>
            <w:tcW w:w="1440"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rPr>
                <w:rFonts w:ascii="Arial Narrow" w:hAnsi="Arial Narrow"/>
                <w:sz w:val="24"/>
                <w:szCs w:val="24"/>
              </w:rPr>
            </w:pPr>
          </w:p>
        </w:tc>
        <w:tc>
          <w:tcPr>
            <w:tcW w:w="990" w:type="dxa"/>
            <w:tcBorders>
              <w:top w:val="single" w:sz="5" w:space="0" w:color="1F1C1F"/>
              <w:left w:val="single" w:sz="8" w:space="0" w:color="1F1C1F"/>
              <w:bottom w:val="single" w:sz="5" w:space="0" w:color="1F1C1F"/>
              <w:right w:val="single" w:sz="5" w:space="0" w:color="1F1C1F"/>
            </w:tcBorders>
          </w:tcPr>
          <w:p w:rsidR="00FF2CD0" w:rsidRPr="00C203F3" w:rsidRDefault="00FF2CD0" w:rsidP="00FF2CD0">
            <w:pPr>
              <w:spacing w:before="17" w:after="0" w:line="290" w:lineRule="auto"/>
              <w:ind w:left="79" w:right="172"/>
              <w:rPr>
                <w:rFonts w:ascii="Arial Narrow" w:eastAsia="Arial" w:hAnsi="Arial Narrow" w:cs="Arial"/>
                <w:sz w:val="24"/>
                <w:szCs w:val="24"/>
              </w:rPr>
            </w:pPr>
            <w:r w:rsidRPr="00C203F3">
              <w:rPr>
                <w:rFonts w:ascii="Arial Narrow" w:eastAsia="Arial" w:hAnsi="Arial Narrow" w:cs="Arial"/>
                <w:color w:val="231F1F"/>
                <w:w w:val="108"/>
                <w:sz w:val="24"/>
                <w:szCs w:val="24"/>
              </w:rPr>
              <w:t xml:space="preserve">Weight </w:t>
            </w:r>
            <w:r w:rsidRPr="00C203F3">
              <w:rPr>
                <w:rFonts w:ascii="Arial Narrow" w:eastAsia="Arial" w:hAnsi="Arial Narrow" w:cs="Arial"/>
                <w:color w:val="231F1F"/>
                <w:w w:val="103"/>
                <w:sz w:val="24"/>
                <w:szCs w:val="24"/>
              </w:rPr>
              <w:t>loss</w:t>
            </w:r>
          </w:p>
        </w:tc>
        <w:tc>
          <w:tcPr>
            <w:tcW w:w="1530"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rPr>
                <w:rFonts w:ascii="Arial Narrow" w:hAnsi="Arial Narrow"/>
                <w:sz w:val="24"/>
                <w:szCs w:val="24"/>
              </w:rPr>
            </w:pPr>
          </w:p>
        </w:tc>
      </w:tr>
      <w:tr w:rsidR="00FF2CD0" w:rsidRPr="00C203F3" w:rsidTr="00FF2CD0">
        <w:trPr>
          <w:trHeight w:hRule="exact" w:val="1065"/>
        </w:trPr>
        <w:tc>
          <w:tcPr>
            <w:tcW w:w="1410"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7" w:after="0" w:line="240" w:lineRule="auto"/>
              <w:ind w:left="72" w:right="-20"/>
              <w:rPr>
                <w:rFonts w:ascii="Arial Narrow" w:eastAsia="Arial" w:hAnsi="Arial Narrow" w:cs="Arial"/>
                <w:sz w:val="24"/>
                <w:szCs w:val="24"/>
              </w:rPr>
            </w:pPr>
            <w:r w:rsidRPr="00C203F3">
              <w:rPr>
                <w:rFonts w:ascii="Arial Narrow" w:eastAsia="Arial" w:hAnsi="Arial Narrow" w:cs="Arial"/>
                <w:color w:val="231F1F"/>
                <w:w w:val="95"/>
                <w:sz w:val="24"/>
                <w:szCs w:val="24"/>
              </w:rPr>
              <w:t>TB</w:t>
            </w:r>
            <w:r>
              <w:rPr>
                <w:rFonts w:ascii="Arial Narrow" w:eastAsia="Arial" w:hAnsi="Arial Narrow" w:cs="Arial"/>
                <w:color w:val="231F1F"/>
                <w:w w:val="95"/>
                <w:sz w:val="24"/>
                <w:szCs w:val="24"/>
              </w:rPr>
              <w:t xml:space="preserve"> </w:t>
            </w:r>
            <w:r w:rsidRPr="00C203F3">
              <w:rPr>
                <w:rFonts w:ascii="Arial Narrow" w:eastAsia="Arial" w:hAnsi="Arial Narrow" w:cs="Arial"/>
                <w:color w:val="231F1F"/>
                <w:w w:val="109"/>
                <w:sz w:val="24"/>
                <w:szCs w:val="24"/>
              </w:rPr>
              <w:t>contact</w:t>
            </w:r>
          </w:p>
        </w:tc>
        <w:tc>
          <w:tcPr>
            <w:tcW w:w="1020"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7" w:after="0" w:line="240" w:lineRule="auto"/>
              <w:ind w:left="86" w:right="-20"/>
              <w:rPr>
                <w:rFonts w:ascii="Arial Narrow" w:eastAsia="Arial" w:hAnsi="Arial Narrow" w:cs="Arial"/>
                <w:sz w:val="24"/>
                <w:szCs w:val="24"/>
              </w:rPr>
            </w:pPr>
            <w:r w:rsidRPr="00C203F3">
              <w:rPr>
                <w:rFonts w:ascii="Arial Narrow" w:eastAsia="Arial" w:hAnsi="Arial Narrow" w:cs="Arial"/>
                <w:color w:val="231F1F"/>
                <w:w w:val="106"/>
                <w:sz w:val="24"/>
                <w:szCs w:val="24"/>
              </w:rPr>
              <w:t>None</w:t>
            </w:r>
          </w:p>
        </w:tc>
        <w:tc>
          <w:tcPr>
            <w:tcW w:w="865"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7" w:after="0" w:line="240" w:lineRule="auto"/>
              <w:ind w:left="86" w:right="-20"/>
              <w:rPr>
                <w:rFonts w:ascii="Arial Narrow" w:eastAsia="Arial" w:hAnsi="Arial Narrow" w:cs="Arial"/>
                <w:sz w:val="24"/>
                <w:szCs w:val="24"/>
              </w:rPr>
            </w:pPr>
            <w:r w:rsidRPr="00C203F3">
              <w:rPr>
                <w:rFonts w:ascii="Arial Narrow" w:eastAsia="Arial" w:hAnsi="Arial Narrow" w:cs="Arial"/>
                <w:color w:val="231F1F"/>
                <w:sz w:val="24"/>
                <w:szCs w:val="24"/>
              </w:rPr>
              <w:t>Report</w:t>
            </w:r>
            <w:r>
              <w:rPr>
                <w:rFonts w:ascii="Arial Narrow" w:eastAsia="Arial" w:hAnsi="Arial Narrow" w:cs="Arial"/>
                <w:color w:val="231F1F"/>
                <w:sz w:val="24"/>
                <w:szCs w:val="24"/>
              </w:rPr>
              <w:t xml:space="preserve"> </w:t>
            </w:r>
            <w:r w:rsidRPr="00C203F3">
              <w:rPr>
                <w:rFonts w:ascii="Arial Narrow" w:eastAsia="Arial" w:hAnsi="Arial Narrow" w:cs="Arial"/>
                <w:color w:val="231F1F"/>
                <w:w w:val="116"/>
                <w:sz w:val="24"/>
                <w:szCs w:val="24"/>
              </w:rPr>
              <w:t>not</w:t>
            </w:r>
          </w:p>
          <w:p w:rsidR="00FF2CD0" w:rsidRPr="00C203F3" w:rsidRDefault="00FF2CD0" w:rsidP="00FF2CD0">
            <w:pPr>
              <w:spacing w:before="43" w:after="0" w:line="240" w:lineRule="auto"/>
              <w:ind w:left="86" w:right="-20"/>
              <w:rPr>
                <w:rFonts w:ascii="Arial Narrow" w:eastAsia="Arial" w:hAnsi="Arial Narrow" w:cs="Arial"/>
                <w:sz w:val="24"/>
                <w:szCs w:val="24"/>
              </w:rPr>
            </w:pPr>
            <w:r w:rsidRPr="00C203F3">
              <w:rPr>
                <w:rFonts w:ascii="Arial Narrow" w:eastAsia="Arial" w:hAnsi="Arial Narrow" w:cs="Arial"/>
                <w:color w:val="231F1F"/>
                <w:w w:val="110"/>
                <w:sz w:val="24"/>
                <w:szCs w:val="24"/>
              </w:rPr>
              <w:t>proven</w:t>
            </w:r>
          </w:p>
        </w:tc>
        <w:tc>
          <w:tcPr>
            <w:tcW w:w="1205"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440"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spacing w:before="17" w:after="0" w:line="240" w:lineRule="auto"/>
              <w:ind w:left="79" w:right="-20"/>
              <w:rPr>
                <w:rFonts w:ascii="Arial Narrow" w:eastAsia="Arial" w:hAnsi="Arial Narrow" w:cs="Arial"/>
                <w:sz w:val="24"/>
                <w:szCs w:val="24"/>
              </w:rPr>
            </w:pPr>
            <w:r w:rsidRPr="00C203F3">
              <w:rPr>
                <w:rFonts w:ascii="Arial Narrow" w:eastAsia="Arial" w:hAnsi="Arial Narrow" w:cs="Arial"/>
                <w:color w:val="231F1F"/>
                <w:sz w:val="24"/>
                <w:szCs w:val="24"/>
              </w:rPr>
              <w:t>Proven</w:t>
            </w:r>
            <w:r>
              <w:rPr>
                <w:rFonts w:ascii="Arial Narrow" w:eastAsia="Arial" w:hAnsi="Arial Narrow" w:cs="Arial"/>
                <w:color w:val="231F1F"/>
                <w:sz w:val="24"/>
                <w:szCs w:val="24"/>
              </w:rPr>
              <w:t xml:space="preserve"> </w:t>
            </w:r>
            <w:r w:rsidRPr="00C203F3">
              <w:rPr>
                <w:rFonts w:ascii="Arial Narrow" w:eastAsia="Arial" w:hAnsi="Arial Narrow" w:cs="Arial"/>
                <w:color w:val="231F1F"/>
                <w:w w:val="104"/>
                <w:sz w:val="24"/>
                <w:szCs w:val="24"/>
              </w:rPr>
              <w:t>smear</w:t>
            </w:r>
          </w:p>
          <w:p w:rsidR="00FF2CD0" w:rsidRPr="00C203F3" w:rsidRDefault="00FF2CD0" w:rsidP="00FF2CD0">
            <w:pPr>
              <w:spacing w:before="43" w:after="0" w:line="240" w:lineRule="auto"/>
              <w:ind w:left="79" w:right="-20"/>
              <w:rPr>
                <w:rFonts w:ascii="Arial Narrow" w:eastAsia="Arial" w:hAnsi="Arial Narrow" w:cs="Arial"/>
                <w:sz w:val="24"/>
                <w:szCs w:val="24"/>
              </w:rPr>
            </w:pPr>
            <w:r w:rsidRPr="00C203F3">
              <w:rPr>
                <w:rFonts w:ascii="Arial Narrow" w:eastAsia="Arial" w:hAnsi="Arial Narrow" w:cs="Arial"/>
                <w:color w:val="231F1F"/>
                <w:sz w:val="24"/>
                <w:szCs w:val="24"/>
              </w:rPr>
              <w:t>+/EP</w:t>
            </w:r>
          </w:p>
        </w:tc>
        <w:tc>
          <w:tcPr>
            <w:tcW w:w="990" w:type="dxa"/>
            <w:tcBorders>
              <w:top w:val="single" w:sz="5" w:space="0" w:color="1F1C1F"/>
              <w:left w:val="single" w:sz="8" w:space="0" w:color="1F1C1F"/>
              <w:bottom w:val="single" w:sz="5" w:space="0" w:color="1F1C1F"/>
              <w:right w:val="single" w:sz="5" w:space="0" w:color="1F1C1F"/>
            </w:tcBorders>
          </w:tcPr>
          <w:p w:rsidR="00FF2CD0" w:rsidRPr="00C203F3" w:rsidRDefault="00FF2CD0" w:rsidP="00FF2CD0">
            <w:pPr>
              <w:spacing w:before="17" w:after="0" w:line="240" w:lineRule="auto"/>
              <w:ind w:left="79" w:right="-20"/>
              <w:rPr>
                <w:rFonts w:ascii="Arial Narrow" w:eastAsia="Arial" w:hAnsi="Arial Narrow" w:cs="Arial"/>
                <w:sz w:val="24"/>
                <w:szCs w:val="24"/>
              </w:rPr>
            </w:pPr>
            <w:r w:rsidRPr="00C203F3">
              <w:rPr>
                <w:rFonts w:ascii="Arial Narrow" w:eastAsia="Arial" w:hAnsi="Arial Narrow" w:cs="Arial"/>
                <w:color w:val="231F1F"/>
                <w:w w:val="105"/>
                <w:sz w:val="24"/>
                <w:szCs w:val="24"/>
              </w:rPr>
              <w:t>Proven</w:t>
            </w:r>
          </w:p>
          <w:p w:rsidR="00FF2CD0" w:rsidRPr="00C203F3" w:rsidRDefault="00FF2CD0" w:rsidP="00FF2CD0">
            <w:pPr>
              <w:spacing w:before="43" w:after="0" w:line="240" w:lineRule="auto"/>
              <w:ind w:left="79" w:right="-20"/>
              <w:rPr>
                <w:rFonts w:ascii="Arial Narrow" w:eastAsia="Arial" w:hAnsi="Arial Narrow" w:cs="Arial"/>
                <w:sz w:val="24"/>
                <w:szCs w:val="24"/>
              </w:rPr>
            </w:pPr>
            <w:r w:rsidRPr="00C203F3">
              <w:rPr>
                <w:rFonts w:ascii="Arial Narrow" w:eastAsia="Arial" w:hAnsi="Arial Narrow" w:cs="Arial"/>
                <w:color w:val="231F1F"/>
                <w:w w:val="112"/>
                <w:sz w:val="24"/>
                <w:szCs w:val="24"/>
              </w:rPr>
              <w:t>smear+</w:t>
            </w:r>
          </w:p>
        </w:tc>
        <w:tc>
          <w:tcPr>
            <w:tcW w:w="1530"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rPr>
                <w:rFonts w:ascii="Arial Narrow" w:hAnsi="Arial Narrow"/>
                <w:sz w:val="24"/>
                <w:szCs w:val="24"/>
              </w:rPr>
            </w:pPr>
          </w:p>
        </w:tc>
      </w:tr>
      <w:tr w:rsidR="00FF2CD0" w:rsidRPr="00C203F3" w:rsidTr="00FF2CD0">
        <w:trPr>
          <w:trHeight w:hRule="exact" w:val="552"/>
        </w:trPr>
        <w:tc>
          <w:tcPr>
            <w:tcW w:w="1410"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7" w:after="0" w:line="240" w:lineRule="auto"/>
              <w:ind w:left="72" w:right="-20"/>
              <w:rPr>
                <w:rFonts w:ascii="Arial Narrow" w:eastAsia="Arial" w:hAnsi="Arial Narrow" w:cs="Arial"/>
                <w:sz w:val="24"/>
                <w:szCs w:val="24"/>
              </w:rPr>
            </w:pPr>
            <w:r w:rsidRPr="00C203F3">
              <w:rPr>
                <w:rFonts w:ascii="Arial Narrow" w:eastAsia="Arial" w:hAnsi="Arial Narrow" w:cs="Arial"/>
                <w:color w:val="231F1F"/>
                <w:sz w:val="24"/>
                <w:szCs w:val="24"/>
              </w:rPr>
              <w:t>Tuberculin</w:t>
            </w:r>
            <w:r>
              <w:rPr>
                <w:rFonts w:ascii="Arial Narrow" w:eastAsia="Arial" w:hAnsi="Arial Narrow" w:cs="Arial"/>
                <w:color w:val="231F1F"/>
                <w:sz w:val="24"/>
                <w:szCs w:val="24"/>
              </w:rPr>
              <w:t xml:space="preserve"> </w:t>
            </w:r>
            <w:r w:rsidRPr="00C203F3">
              <w:rPr>
                <w:rFonts w:ascii="Arial Narrow" w:eastAsia="Arial" w:hAnsi="Arial Narrow" w:cs="Arial"/>
                <w:color w:val="231F1F"/>
                <w:w w:val="114"/>
                <w:sz w:val="24"/>
                <w:szCs w:val="24"/>
              </w:rPr>
              <w:t>test</w:t>
            </w:r>
          </w:p>
        </w:tc>
        <w:tc>
          <w:tcPr>
            <w:tcW w:w="1020"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865"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205"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440"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spacing w:before="17" w:after="0" w:line="240" w:lineRule="auto"/>
              <w:ind w:left="79" w:right="-20"/>
              <w:rPr>
                <w:rFonts w:ascii="Arial Narrow" w:eastAsia="Arial" w:hAnsi="Arial Narrow" w:cs="Arial"/>
                <w:sz w:val="24"/>
                <w:szCs w:val="24"/>
              </w:rPr>
            </w:pPr>
            <w:r w:rsidRPr="00C203F3">
              <w:rPr>
                <w:rFonts w:ascii="Arial Narrow" w:eastAsia="Arial" w:hAnsi="Arial Narrow" w:cs="Arial"/>
                <w:color w:val="231F1F"/>
                <w:w w:val="105"/>
                <w:sz w:val="24"/>
                <w:szCs w:val="24"/>
              </w:rPr>
              <w:t>Positive</w:t>
            </w:r>
          </w:p>
        </w:tc>
        <w:tc>
          <w:tcPr>
            <w:tcW w:w="990" w:type="dxa"/>
            <w:tcBorders>
              <w:top w:val="single" w:sz="5" w:space="0" w:color="1F1C1F"/>
              <w:left w:val="single" w:sz="8"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530"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rPr>
                <w:rFonts w:ascii="Arial Narrow" w:hAnsi="Arial Narrow"/>
                <w:sz w:val="24"/>
                <w:szCs w:val="24"/>
              </w:rPr>
            </w:pPr>
          </w:p>
        </w:tc>
      </w:tr>
      <w:tr w:rsidR="00FF2CD0" w:rsidRPr="00C203F3" w:rsidTr="00FF2CD0">
        <w:trPr>
          <w:trHeight w:hRule="exact" w:val="804"/>
        </w:trPr>
        <w:tc>
          <w:tcPr>
            <w:tcW w:w="1410"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7" w:after="0" w:line="240" w:lineRule="auto"/>
              <w:ind w:left="86" w:right="-20"/>
              <w:rPr>
                <w:rFonts w:ascii="Arial Narrow" w:eastAsia="Arial" w:hAnsi="Arial Narrow" w:cs="Arial"/>
                <w:sz w:val="24"/>
                <w:szCs w:val="24"/>
              </w:rPr>
            </w:pPr>
            <w:r w:rsidRPr="00C203F3">
              <w:rPr>
                <w:rFonts w:ascii="Arial Narrow" w:eastAsia="Arial" w:hAnsi="Arial Narrow" w:cs="Arial"/>
                <w:color w:val="231F1F"/>
                <w:w w:val="107"/>
                <w:sz w:val="24"/>
                <w:szCs w:val="24"/>
              </w:rPr>
              <w:t>Mal</w:t>
            </w:r>
            <w:r w:rsidRPr="00C203F3">
              <w:rPr>
                <w:rFonts w:ascii="Arial Narrow" w:eastAsia="Arial" w:hAnsi="Arial Narrow" w:cs="Arial"/>
                <w:color w:val="231F1F"/>
                <w:spacing w:val="-3"/>
                <w:w w:val="108"/>
                <w:sz w:val="24"/>
                <w:szCs w:val="24"/>
              </w:rPr>
              <w:t>n</w:t>
            </w:r>
            <w:r w:rsidRPr="00C203F3">
              <w:rPr>
                <w:rFonts w:ascii="Arial Narrow" w:eastAsia="Arial" w:hAnsi="Arial Narrow" w:cs="Arial"/>
                <w:color w:val="231F1F"/>
                <w:w w:val="116"/>
                <w:sz w:val="24"/>
                <w:szCs w:val="24"/>
              </w:rPr>
              <w:t>utrition</w:t>
            </w:r>
          </w:p>
        </w:tc>
        <w:tc>
          <w:tcPr>
            <w:tcW w:w="1020"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865"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205"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440"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spacing w:before="17" w:after="0" w:line="240" w:lineRule="auto"/>
              <w:ind w:left="79" w:right="-20"/>
              <w:rPr>
                <w:rFonts w:ascii="Arial Narrow" w:eastAsia="Arial" w:hAnsi="Arial Narrow" w:cs="Arial"/>
                <w:sz w:val="24"/>
                <w:szCs w:val="24"/>
              </w:rPr>
            </w:pPr>
            <w:r w:rsidRPr="00C203F3">
              <w:rPr>
                <w:rFonts w:ascii="Arial Narrow" w:eastAsia="Arial" w:hAnsi="Arial Narrow" w:cs="Arial"/>
                <w:color w:val="231F1F"/>
                <w:sz w:val="24"/>
                <w:szCs w:val="24"/>
              </w:rPr>
              <w:t>Not</w:t>
            </w:r>
            <w:r>
              <w:rPr>
                <w:rFonts w:ascii="Arial Narrow" w:eastAsia="Arial" w:hAnsi="Arial Narrow" w:cs="Arial"/>
                <w:color w:val="231F1F"/>
                <w:sz w:val="24"/>
                <w:szCs w:val="24"/>
              </w:rPr>
              <w:t xml:space="preserve"> </w:t>
            </w:r>
            <w:r w:rsidRPr="00C203F3">
              <w:rPr>
                <w:rFonts w:ascii="Arial Narrow" w:eastAsia="Arial" w:hAnsi="Arial Narrow" w:cs="Arial"/>
                <w:color w:val="231F1F"/>
                <w:w w:val="110"/>
                <w:sz w:val="24"/>
                <w:szCs w:val="24"/>
              </w:rPr>
              <w:t>improved</w:t>
            </w:r>
          </w:p>
          <w:p w:rsidR="00FF2CD0" w:rsidRPr="00C203F3" w:rsidRDefault="00FF2CD0" w:rsidP="00FF2CD0">
            <w:pPr>
              <w:spacing w:before="43" w:after="0" w:line="240" w:lineRule="auto"/>
              <w:ind w:left="79" w:right="-20"/>
              <w:rPr>
                <w:rFonts w:ascii="Arial Narrow" w:eastAsia="Arial" w:hAnsi="Arial Narrow" w:cs="Arial"/>
                <w:sz w:val="24"/>
                <w:szCs w:val="24"/>
              </w:rPr>
            </w:pPr>
            <w:r w:rsidRPr="00C203F3">
              <w:rPr>
                <w:rFonts w:ascii="Arial Narrow" w:eastAsia="Arial" w:hAnsi="Arial Narrow" w:cs="Arial"/>
                <w:color w:val="231F1F"/>
                <w:sz w:val="24"/>
                <w:szCs w:val="24"/>
              </w:rPr>
              <w:t>after4</w:t>
            </w:r>
            <w:r w:rsidRPr="00C203F3">
              <w:rPr>
                <w:rFonts w:ascii="Arial Narrow" w:eastAsia="Arial" w:hAnsi="Arial Narrow" w:cs="Arial"/>
                <w:color w:val="231F1F"/>
                <w:w w:val="103"/>
                <w:sz w:val="24"/>
                <w:szCs w:val="24"/>
              </w:rPr>
              <w:t>weeks</w:t>
            </w:r>
          </w:p>
        </w:tc>
        <w:tc>
          <w:tcPr>
            <w:tcW w:w="990" w:type="dxa"/>
            <w:tcBorders>
              <w:top w:val="single" w:sz="5" w:space="0" w:color="1F1C1F"/>
              <w:left w:val="single" w:sz="8"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530"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rPr>
                <w:rFonts w:ascii="Arial Narrow" w:hAnsi="Arial Narrow"/>
                <w:sz w:val="24"/>
                <w:szCs w:val="24"/>
              </w:rPr>
            </w:pPr>
          </w:p>
        </w:tc>
      </w:tr>
      <w:tr w:rsidR="00FF2CD0" w:rsidRPr="00C203F3" w:rsidTr="00FF2CD0">
        <w:trPr>
          <w:trHeight w:hRule="exact" w:val="1092"/>
        </w:trPr>
        <w:tc>
          <w:tcPr>
            <w:tcW w:w="1410"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25" w:after="0" w:line="280" w:lineRule="auto"/>
              <w:ind w:left="72" w:right="282"/>
              <w:rPr>
                <w:rFonts w:ascii="Arial Narrow" w:eastAsia="Arial" w:hAnsi="Arial Narrow" w:cs="Arial"/>
                <w:sz w:val="24"/>
                <w:szCs w:val="24"/>
              </w:rPr>
            </w:pPr>
            <w:r w:rsidRPr="00C203F3">
              <w:rPr>
                <w:rFonts w:ascii="Arial Narrow" w:eastAsia="Arial" w:hAnsi="Arial Narrow" w:cs="Arial"/>
                <w:color w:val="231F1F"/>
                <w:sz w:val="24"/>
                <w:szCs w:val="24"/>
              </w:rPr>
              <w:t>Chronic</w:t>
            </w:r>
            <w:r>
              <w:rPr>
                <w:rFonts w:ascii="Arial Narrow" w:eastAsia="Arial" w:hAnsi="Arial Narrow" w:cs="Arial"/>
                <w:color w:val="231F1F"/>
                <w:sz w:val="24"/>
                <w:szCs w:val="24"/>
              </w:rPr>
              <w:t xml:space="preserve"> </w:t>
            </w:r>
            <w:r w:rsidRPr="00C203F3">
              <w:rPr>
                <w:rFonts w:ascii="Arial Narrow" w:eastAsia="Arial" w:hAnsi="Arial Narrow" w:cs="Arial"/>
                <w:color w:val="231F1F"/>
                <w:w w:val="114"/>
                <w:sz w:val="24"/>
                <w:szCs w:val="24"/>
              </w:rPr>
              <w:t xml:space="preserve">infant </w:t>
            </w:r>
            <w:r w:rsidRPr="00C203F3">
              <w:rPr>
                <w:rFonts w:ascii="Arial Narrow" w:eastAsia="Arial" w:hAnsi="Arial Narrow" w:cs="Arial"/>
                <w:color w:val="231F1F"/>
                <w:w w:val="102"/>
                <w:sz w:val="24"/>
                <w:szCs w:val="24"/>
              </w:rPr>
              <w:t>disease</w:t>
            </w:r>
          </w:p>
        </w:tc>
        <w:tc>
          <w:tcPr>
            <w:tcW w:w="1020"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865"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205"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440"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spacing w:before="25" w:after="0" w:line="280" w:lineRule="auto"/>
              <w:ind w:left="79" w:right="51"/>
              <w:rPr>
                <w:rFonts w:ascii="Arial Narrow" w:eastAsia="Arial" w:hAnsi="Arial Narrow" w:cs="Arial"/>
                <w:sz w:val="24"/>
                <w:szCs w:val="24"/>
              </w:rPr>
            </w:pPr>
            <w:r w:rsidRPr="00C203F3">
              <w:rPr>
                <w:rFonts w:ascii="Arial Narrow" w:eastAsia="Arial" w:hAnsi="Arial Narrow" w:cs="Arial"/>
                <w:color w:val="231F1F"/>
                <w:sz w:val="24"/>
                <w:szCs w:val="24"/>
              </w:rPr>
              <w:t>Not</w:t>
            </w:r>
            <w:r>
              <w:rPr>
                <w:rFonts w:ascii="Arial Narrow" w:eastAsia="Arial" w:hAnsi="Arial Narrow" w:cs="Arial"/>
                <w:color w:val="231F1F"/>
                <w:sz w:val="24"/>
                <w:szCs w:val="24"/>
              </w:rPr>
              <w:t xml:space="preserve"> </w:t>
            </w:r>
            <w:r w:rsidRPr="00C203F3">
              <w:rPr>
                <w:rFonts w:ascii="Arial Narrow" w:eastAsia="Arial" w:hAnsi="Arial Narrow" w:cs="Arial"/>
                <w:color w:val="231F1F"/>
                <w:w w:val="110"/>
                <w:sz w:val="24"/>
                <w:szCs w:val="24"/>
              </w:rPr>
              <w:t xml:space="preserve">improved </w:t>
            </w:r>
            <w:r w:rsidRPr="00C203F3">
              <w:rPr>
                <w:rFonts w:ascii="Arial Narrow" w:eastAsia="Arial" w:hAnsi="Arial Narrow" w:cs="Arial"/>
                <w:color w:val="231F1F"/>
                <w:sz w:val="24"/>
                <w:szCs w:val="24"/>
              </w:rPr>
              <w:t>after4</w:t>
            </w:r>
            <w:r w:rsidRPr="00C203F3">
              <w:rPr>
                <w:rFonts w:ascii="Arial Narrow" w:eastAsia="Arial" w:hAnsi="Arial Narrow" w:cs="Arial"/>
                <w:color w:val="231F1F"/>
                <w:w w:val="103"/>
                <w:sz w:val="24"/>
                <w:szCs w:val="24"/>
              </w:rPr>
              <w:t>weeks</w:t>
            </w:r>
          </w:p>
        </w:tc>
        <w:tc>
          <w:tcPr>
            <w:tcW w:w="990" w:type="dxa"/>
            <w:tcBorders>
              <w:top w:val="single" w:sz="5" w:space="0" w:color="1F1C1F"/>
              <w:left w:val="single" w:sz="8"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530"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rPr>
                <w:rFonts w:ascii="Arial Narrow" w:hAnsi="Arial Narrow"/>
                <w:sz w:val="24"/>
                <w:szCs w:val="24"/>
              </w:rPr>
            </w:pPr>
          </w:p>
        </w:tc>
      </w:tr>
      <w:tr w:rsidR="00FF2CD0" w:rsidRPr="00C203F3" w:rsidTr="00FF2CD0">
        <w:trPr>
          <w:trHeight w:hRule="exact" w:val="1020"/>
        </w:trPr>
        <w:tc>
          <w:tcPr>
            <w:tcW w:w="1410"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0" w:after="0" w:line="240" w:lineRule="auto"/>
              <w:ind w:left="86" w:right="-20"/>
              <w:rPr>
                <w:rFonts w:ascii="Arial Narrow" w:eastAsia="Arial" w:hAnsi="Arial Narrow" w:cs="Arial"/>
                <w:sz w:val="24"/>
                <w:szCs w:val="24"/>
              </w:rPr>
            </w:pPr>
            <w:r w:rsidRPr="00C203F3">
              <w:rPr>
                <w:rFonts w:ascii="Arial Narrow" w:eastAsia="Arial" w:hAnsi="Arial Narrow" w:cs="Arial"/>
                <w:color w:val="231F1F"/>
                <w:w w:val="109"/>
                <w:sz w:val="24"/>
                <w:szCs w:val="24"/>
              </w:rPr>
              <w:t>Duration</w:t>
            </w:r>
            <w:r>
              <w:rPr>
                <w:rFonts w:ascii="Arial Narrow" w:eastAsia="Arial" w:hAnsi="Arial Narrow" w:cs="Arial"/>
                <w:color w:val="231F1F"/>
                <w:w w:val="109"/>
                <w:sz w:val="24"/>
                <w:szCs w:val="24"/>
              </w:rPr>
              <w:t xml:space="preserve"> </w:t>
            </w:r>
            <w:r w:rsidRPr="00C203F3">
              <w:rPr>
                <w:rFonts w:ascii="Arial Narrow" w:eastAsia="Arial" w:hAnsi="Arial Narrow" w:cs="Arial"/>
                <w:color w:val="231F1F"/>
                <w:w w:val="114"/>
                <w:sz w:val="24"/>
                <w:szCs w:val="24"/>
              </w:rPr>
              <w:t>of</w:t>
            </w:r>
          </w:p>
          <w:p w:rsidR="00FF2CD0" w:rsidRPr="00C203F3" w:rsidRDefault="00FF2CD0" w:rsidP="00FF2CD0">
            <w:pPr>
              <w:spacing w:before="43" w:after="0" w:line="240" w:lineRule="auto"/>
              <w:ind w:left="86" w:right="-20"/>
              <w:rPr>
                <w:rFonts w:ascii="Arial Narrow" w:eastAsia="Arial" w:hAnsi="Arial Narrow" w:cs="Arial"/>
                <w:sz w:val="24"/>
                <w:szCs w:val="24"/>
              </w:rPr>
            </w:pPr>
            <w:r w:rsidRPr="00C203F3">
              <w:rPr>
                <w:rFonts w:ascii="Arial Narrow" w:eastAsia="Arial" w:hAnsi="Arial Narrow" w:cs="Arial"/>
                <w:color w:val="231F1F"/>
                <w:w w:val="104"/>
                <w:sz w:val="24"/>
                <w:szCs w:val="24"/>
              </w:rPr>
              <w:t>illness</w:t>
            </w:r>
          </w:p>
        </w:tc>
        <w:tc>
          <w:tcPr>
            <w:tcW w:w="1020"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865"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0" w:after="0" w:line="240" w:lineRule="auto"/>
              <w:ind w:left="86" w:right="-20"/>
              <w:rPr>
                <w:rFonts w:ascii="Arial Narrow" w:eastAsia="Arial" w:hAnsi="Arial Narrow" w:cs="Arial"/>
                <w:sz w:val="24"/>
                <w:szCs w:val="24"/>
              </w:rPr>
            </w:pPr>
            <w:r w:rsidRPr="00C203F3">
              <w:rPr>
                <w:rFonts w:ascii="Arial Narrow" w:eastAsia="Arial" w:hAnsi="Arial Narrow" w:cs="Arial"/>
                <w:color w:val="231F1F"/>
                <w:w w:val="106"/>
                <w:sz w:val="24"/>
                <w:szCs w:val="24"/>
              </w:rPr>
              <w:t>Recurrent</w:t>
            </w:r>
          </w:p>
        </w:tc>
        <w:tc>
          <w:tcPr>
            <w:tcW w:w="1205"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440"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spacing w:before="10" w:after="0" w:line="240" w:lineRule="auto"/>
              <w:ind w:left="79" w:right="-20"/>
              <w:rPr>
                <w:rFonts w:ascii="Arial Narrow" w:eastAsia="Arial" w:hAnsi="Arial Narrow" w:cs="Arial"/>
                <w:sz w:val="24"/>
                <w:szCs w:val="24"/>
              </w:rPr>
            </w:pPr>
            <w:r w:rsidRPr="00C203F3">
              <w:rPr>
                <w:rFonts w:ascii="Arial Narrow" w:eastAsia="Arial" w:hAnsi="Arial Narrow" w:cs="Arial"/>
                <w:color w:val="231F1F"/>
                <w:sz w:val="24"/>
                <w:szCs w:val="24"/>
              </w:rPr>
              <w:t>No</w:t>
            </w:r>
            <w:r>
              <w:rPr>
                <w:rFonts w:ascii="Arial Narrow" w:eastAsia="Arial" w:hAnsi="Arial Narrow" w:cs="Arial"/>
                <w:color w:val="231F1F"/>
                <w:sz w:val="24"/>
                <w:szCs w:val="24"/>
              </w:rPr>
              <w:t xml:space="preserve"> </w:t>
            </w:r>
            <w:r w:rsidRPr="00C203F3">
              <w:rPr>
                <w:rFonts w:ascii="Arial Narrow" w:eastAsia="Arial" w:hAnsi="Arial Narrow" w:cs="Arial"/>
                <w:color w:val="231F1F"/>
                <w:w w:val="104"/>
                <w:sz w:val="24"/>
                <w:szCs w:val="24"/>
              </w:rPr>
              <w:t>response</w:t>
            </w:r>
          </w:p>
          <w:p w:rsidR="00FF2CD0" w:rsidRPr="00C203F3" w:rsidRDefault="00FF2CD0" w:rsidP="00FF2CD0">
            <w:pPr>
              <w:spacing w:before="43" w:after="0" w:line="240" w:lineRule="auto"/>
              <w:ind w:left="79" w:right="-20"/>
              <w:rPr>
                <w:rFonts w:ascii="Arial Narrow" w:eastAsia="Arial" w:hAnsi="Arial Narrow" w:cs="Arial"/>
                <w:sz w:val="24"/>
                <w:szCs w:val="24"/>
              </w:rPr>
            </w:pPr>
            <w:r w:rsidRPr="00C203F3">
              <w:rPr>
                <w:rFonts w:ascii="Arial Narrow" w:eastAsia="Arial" w:hAnsi="Arial Narrow" w:cs="Arial"/>
                <w:color w:val="231F1F"/>
                <w:sz w:val="24"/>
                <w:szCs w:val="24"/>
              </w:rPr>
              <w:t>To</w:t>
            </w:r>
            <w:r>
              <w:rPr>
                <w:rFonts w:ascii="Arial Narrow" w:eastAsia="Arial" w:hAnsi="Arial Narrow" w:cs="Arial"/>
                <w:color w:val="231F1F"/>
                <w:sz w:val="24"/>
                <w:szCs w:val="24"/>
              </w:rPr>
              <w:t xml:space="preserve"> </w:t>
            </w:r>
            <w:r w:rsidRPr="00C203F3">
              <w:rPr>
                <w:rFonts w:ascii="Arial Narrow" w:eastAsia="Arial" w:hAnsi="Arial Narrow" w:cs="Arial"/>
                <w:color w:val="231F1F"/>
                <w:w w:val="111"/>
                <w:sz w:val="24"/>
                <w:szCs w:val="24"/>
              </w:rPr>
              <w:t>antibiotic</w:t>
            </w:r>
          </w:p>
        </w:tc>
        <w:tc>
          <w:tcPr>
            <w:tcW w:w="990" w:type="dxa"/>
            <w:tcBorders>
              <w:top w:val="single" w:sz="5" w:space="0" w:color="1F1C1F"/>
              <w:left w:val="single" w:sz="8"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530"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rPr>
                <w:rFonts w:ascii="Arial Narrow" w:hAnsi="Arial Narrow"/>
                <w:sz w:val="24"/>
                <w:szCs w:val="24"/>
              </w:rPr>
            </w:pPr>
          </w:p>
        </w:tc>
      </w:tr>
    </w:tbl>
    <w:p w:rsidR="00FF2CD0" w:rsidRPr="00C203F3" w:rsidRDefault="00FF2CD0" w:rsidP="00FF2CD0">
      <w:pPr>
        <w:spacing w:before="5" w:after="0" w:line="140" w:lineRule="exact"/>
        <w:rPr>
          <w:rFonts w:ascii="Arial Narrow" w:hAnsi="Arial Narrow"/>
          <w:sz w:val="24"/>
          <w:szCs w:val="24"/>
        </w:rPr>
      </w:pPr>
    </w:p>
    <w:p w:rsidR="00FF2CD0" w:rsidRDefault="00FF2CD0" w:rsidP="00FF2CD0">
      <w:pPr>
        <w:spacing w:after="0" w:line="200" w:lineRule="exact"/>
        <w:rPr>
          <w:rFonts w:ascii="Arial Narrow" w:hAnsi="Arial Narrow"/>
          <w:sz w:val="24"/>
          <w:szCs w:val="24"/>
        </w:rPr>
      </w:pPr>
    </w:p>
    <w:p w:rsidR="00FF2CD0" w:rsidRPr="00C203F3" w:rsidRDefault="00FF2CD0" w:rsidP="00FF2CD0">
      <w:pPr>
        <w:spacing w:after="0" w:line="200" w:lineRule="exact"/>
        <w:rPr>
          <w:rFonts w:ascii="Arial Narrow" w:hAnsi="Arial Narrow"/>
          <w:sz w:val="24"/>
          <w:szCs w:val="24"/>
        </w:rPr>
      </w:pPr>
    </w:p>
    <w:tbl>
      <w:tblPr>
        <w:tblW w:w="0" w:type="auto"/>
        <w:tblInd w:w="96" w:type="dxa"/>
        <w:tblLayout w:type="fixed"/>
        <w:tblCellMar>
          <w:left w:w="0" w:type="dxa"/>
          <w:right w:w="0" w:type="dxa"/>
        </w:tblCellMar>
        <w:tblLook w:val="01E0" w:firstRow="1" w:lastRow="1" w:firstColumn="1" w:lastColumn="1" w:noHBand="0" w:noVBand="0"/>
      </w:tblPr>
      <w:tblGrid>
        <w:gridCol w:w="1180"/>
        <w:gridCol w:w="170"/>
        <w:gridCol w:w="434"/>
        <w:gridCol w:w="106"/>
        <w:gridCol w:w="563"/>
        <w:gridCol w:w="1367"/>
        <w:gridCol w:w="1755"/>
        <w:gridCol w:w="748"/>
        <w:gridCol w:w="889"/>
      </w:tblGrid>
      <w:tr w:rsidR="00FF2CD0" w:rsidRPr="00C203F3" w:rsidTr="00FF2CD0">
        <w:trPr>
          <w:trHeight w:hRule="exact" w:val="273"/>
        </w:trPr>
        <w:tc>
          <w:tcPr>
            <w:tcW w:w="7212" w:type="dxa"/>
            <w:gridSpan w:val="9"/>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spacing w:before="4" w:after="0" w:line="240" w:lineRule="auto"/>
              <w:ind w:left="1827" w:right="-20"/>
              <w:rPr>
                <w:rFonts w:ascii="Arial Narrow" w:eastAsia="Arial" w:hAnsi="Arial Narrow" w:cs="Arial"/>
                <w:sz w:val="24"/>
                <w:szCs w:val="24"/>
              </w:rPr>
            </w:pPr>
            <w:r w:rsidRPr="00C203F3">
              <w:rPr>
                <w:rFonts w:ascii="Arial Narrow" w:eastAsia="Arial" w:hAnsi="Arial Narrow" w:cs="Arial"/>
                <w:b/>
                <w:bCs/>
                <w:color w:val="00ACED"/>
                <w:w w:val="86"/>
                <w:sz w:val="24"/>
                <w:szCs w:val="24"/>
              </w:rPr>
              <w:t>Chat</w:t>
            </w:r>
            <w:r>
              <w:rPr>
                <w:rFonts w:ascii="Arial Narrow" w:eastAsia="Arial" w:hAnsi="Arial Narrow" w:cs="Arial"/>
                <w:b/>
                <w:bCs/>
                <w:color w:val="00ACED"/>
                <w:w w:val="86"/>
                <w:sz w:val="24"/>
                <w:szCs w:val="24"/>
              </w:rPr>
              <w:t xml:space="preserve"> </w:t>
            </w:r>
            <w:r w:rsidRPr="00C203F3">
              <w:rPr>
                <w:rFonts w:ascii="Arial Narrow" w:eastAsia="Arial" w:hAnsi="Arial Narrow" w:cs="Arial"/>
                <w:b/>
                <w:bCs/>
                <w:color w:val="00ACED"/>
                <w:w w:val="86"/>
                <w:sz w:val="24"/>
                <w:szCs w:val="24"/>
              </w:rPr>
              <w:t>for</w:t>
            </w:r>
            <w:r>
              <w:rPr>
                <w:rFonts w:ascii="Arial Narrow" w:eastAsia="Arial" w:hAnsi="Arial Narrow" w:cs="Arial"/>
                <w:b/>
                <w:bCs/>
                <w:color w:val="00ACED"/>
                <w:w w:val="86"/>
                <w:sz w:val="24"/>
                <w:szCs w:val="24"/>
              </w:rPr>
              <w:t xml:space="preserve"> </w:t>
            </w:r>
            <w:r w:rsidRPr="00C203F3">
              <w:rPr>
                <w:rFonts w:ascii="Arial Narrow" w:eastAsia="Arial" w:hAnsi="Arial Narrow" w:cs="Arial"/>
                <w:b/>
                <w:bCs/>
                <w:color w:val="00ACED"/>
                <w:w w:val="86"/>
                <w:sz w:val="24"/>
                <w:szCs w:val="24"/>
              </w:rPr>
              <w:t>the</w:t>
            </w:r>
            <w:r>
              <w:rPr>
                <w:rFonts w:ascii="Arial Narrow" w:eastAsia="Arial" w:hAnsi="Arial Narrow" w:cs="Arial"/>
                <w:b/>
                <w:bCs/>
                <w:color w:val="00ACED"/>
                <w:w w:val="86"/>
                <w:sz w:val="24"/>
                <w:szCs w:val="24"/>
              </w:rPr>
              <w:t xml:space="preserve"> </w:t>
            </w:r>
            <w:r w:rsidRPr="00C203F3">
              <w:rPr>
                <w:rFonts w:ascii="Arial Narrow" w:eastAsia="Arial" w:hAnsi="Arial Narrow" w:cs="Arial"/>
                <w:b/>
                <w:bCs/>
                <w:color w:val="00ACED"/>
                <w:w w:val="86"/>
                <w:sz w:val="24"/>
                <w:szCs w:val="24"/>
              </w:rPr>
              <w:t>Diagnosi</w:t>
            </w:r>
            <w:r>
              <w:rPr>
                <w:rFonts w:ascii="Arial Narrow" w:eastAsia="Arial" w:hAnsi="Arial Narrow" w:cs="Arial"/>
                <w:b/>
                <w:bCs/>
                <w:color w:val="00ACED"/>
                <w:w w:val="86"/>
                <w:sz w:val="24"/>
                <w:szCs w:val="24"/>
              </w:rPr>
              <w:t xml:space="preserve">s </w:t>
            </w:r>
            <w:r w:rsidRPr="00C203F3">
              <w:rPr>
                <w:rFonts w:ascii="Arial Narrow" w:eastAsia="Arial" w:hAnsi="Arial Narrow" w:cs="Arial"/>
                <w:b/>
                <w:bCs/>
                <w:color w:val="00ACED"/>
                <w:w w:val="86"/>
                <w:sz w:val="24"/>
                <w:szCs w:val="24"/>
              </w:rPr>
              <w:t>of</w:t>
            </w:r>
            <w:r>
              <w:rPr>
                <w:rFonts w:ascii="Arial Narrow" w:eastAsia="Arial" w:hAnsi="Arial Narrow" w:cs="Arial"/>
                <w:b/>
                <w:bCs/>
                <w:color w:val="00ACED"/>
                <w:w w:val="86"/>
                <w:sz w:val="24"/>
                <w:szCs w:val="24"/>
              </w:rPr>
              <w:t xml:space="preserve"> </w:t>
            </w:r>
            <w:r w:rsidRPr="00C203F3">
              <w:rPr>
                <w:rFonts w:ascii="Arial Narrow" w:eastAsia="Arial" w:hAnsi="Arial Narrow" w:cs="Arial"/>
                <w:b/>
                <w:bCs/>
                <w:color w:val="00ACED"/>
                <w:w w:val="86"/>
                <w:sz w:val="24"/>
                <w:szCs w:val="24"/>
              </w:rPr>
              <w:t>TB</w:t>
            </w:r>
            <w:r>
              <w:rPr>
                <w:rFonts w:ascii="Arial Narrow" w:eastAsia="Arial" w:hAnsi="Arial Narrow" w:cs="Arial"/>
                <w:b/>
                <w:bCs/>
                <w:color w:val="00ACED"/>
                <w:w w:val="86"/>
                <w:sz w:val="24"/>
                <w:szCs w:val="24"/>
              </w:rPr>
              <w:t xml:space="preserve"> </w:t>
            </w:r>
            <w:r w:rsidRPr="00C203F3">
              <w:rPr>
                <w:rFonts w:ascii="Arial Narrow" w:eastAsia="Arial" w:hAnsi="Arial Narrow" w:cs="Arial"/>
                <w:b/>
                <w:bCs/>
                <w:color w:val="00ACED"/>
                <w:w w:val="86"/>
                <w:sz w:val="24"/>
                <w:szCs w:val="24"/>
              </w:rPr>
              <w:t>In</w:t>
            </w:r>
            <w:r>
              <w:rPr>
                <w:rFonts w:ascii="Arial Narrow" w:eastAsia="Arial" w:hAnsi="Arial Narrow" w:cs="Arial"/>
                <w:b/>
                <w:bCs/>
                <w:color w:val="00ACED"/>
                <w:w w:val="86"/>
                <w:sz w:val="24"/>
                <w:szCs w:val="24"/>
              </w:rPr>
              <w:t xml:space="preserve"> </w:t>
            </w:r>
            <w:r w:rsidRPr="00C203F3">
              <w:rPr>
                <w:rFonts w:ascii="Arial Narrow" w:eastAsia="Arial" w:hAnsi="Arial Narrow" w:cs="Arial"/>
                <w:b/>
                <w:bCs/>
                <w:color w:val="00ACED"/>
                <w:sz w:val="24"/>
                <w:szCs w:val="24"/>
              </w:rPr>
              <w:t>Children</w:t>
            </w:r>
          </w:p>
        </w:tc>
      </w:tr>
      <w:tr w:rsidR="00FF2CD0" w:rsidRPr="00C203F3" w:rsidTr="00FF2CD0">
        <w:trPr>
          <w:trHeight w:hRule="exact" w:val="507"/>
        </w:trPr>
        <w:tc>
          <w:tcPr>
            <w:tcW w:w="1180"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rPr>
                <w:rFonts w:ascii="Arial Narrow" w:hAnsi="Arial Narrow"/>
                <w:sz w:val="24"/>
                <w:szCs w:val="24"/>
              </w:rPr>
            </w:pPr>
          </w:p>
        </w:tc>
        <w:tc>
          <w:tcPr>
            <w:tcW w:w="604" w:type="dxa"/>
            <w:gridSpan w:val="2"/>
            <w:tcBorders>
              <w:top w:val="single" w:sz="5" w:space="0" w:color="1F1C1F"/>
              <w:left w:val="single" w:sz="8" w:space="0" w:color="1F1C1F"/>
              <w:bottom w:val="single" w:sz="5" w:space="0" w:color="1F1C1F"/>
              <w:right w:val="single" w:sz="5" w:space="0" w:color="1F1C1F"/>
            </w:tcBorders>
          </w:tcPr>
          <w:p w:rsidR="00FF2CD0" w:rsidRPr="00C203F3" w:rsidRDefault="00FF2CD0" w:rsidP="00FF2CD0">
            <w:pPr>
              <w:spacing w:before="16" w:after="0" w:line="240" w:lineRule="auto"/>
              <w:ind w:left="83" w:right="-20"/>
              <w:rPr>
                <w:rFonts w:ascii="Arial Narrow" w:eastAsia="Times New Roman" w:hAnsi="Arial Narrow" w:cs="Times New Roman"/>
                <w:sz w:val="24"/>
                <w:szCs w:val="24"/>
              </w:rPr>
            </w:pPr>
            <w:r w:rsidRPr="00C203F3">
              <w:rPr>
                <w:rFonts w:ascii="Arial Narrow" w:eastAsia="Times New Roman" w:hAnsi="Arial Narrow" w:cs="Times New Roman"/>
                <w:color w:val="231F1F"/>
                <w:w w:val="116"/>
                <w:sz w:val="24"/>
                <w:szCs w:val="24"/>
              </w:rPr>
              <w:t>0</w:t>
            </w:r>
          </w:p>
        </w:tc>
        <w:tc>
          <w:tcPr>
            <w:tcW w:w="669"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5" w:after="0" w:line="240" w:lineRule="auto"/>
              <w:ind w:left="86" w:right="-20"/>
              <w:rPr>
                <w:rFonts w:ascii="Arial Narrow" w:eastAsia="Arial" w:hAnsi="Arial Narrow" w:cs="Arial"/>
                <w:sz w:val="24"/>
                <w:szCs w:val="24"/>
              </w:rPr>
            </w:pPr>
            <w:r w:rsidRPr="00C203F3">
              <w:rPr>
                <w:rFonts w:ascii="Arial Narrow" w:eastAsia="Arial" w:hAnsi="Arial Narrow" w:cs="Arial"/>
                <w:color w:val="231F1F"/>
                <w:w w:val="170"/>
                <w:sz w:val="24"/>
                <w:szCs w:val="24"/>
              </w:rPr>
              <w:t>1</w:t>
            </w:r>
          </w:p>
        </w:tc>
        <w:tc>
          <w:tcPr>
            <w:tcW w:w="1367"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spacing w:before="25" w:after="0" w:line="240" w:lineRule="auto"/>
              <w:ind w:left="79" w:right="-20"/>
              <w:rPr>
                <w:rFonts w:ascii="Arial Narrow" w:eastAsia="Arial" w:hAnsi="Arial Narrow" w:cs="Arial"/>
                <w:sz w:val="24"/>
                <w:szCs w:val="24"/>
              </w:rPr>
            </w:pPr>
            <w:r w:rsidRPr="00C203F3">
              <w:rPr>
                <w:rFonts w:ascii="Arial Narrow" w:eastAsia="Arial" w:hAnsi="Arial Narrow" w:cs="Arial"/>
                <w:color w:val="231F1F"/>
                <w:w w:val="111"/>
                <w:sz w:val="24"/>
                <w:szCs w:val="24"/>
              </w:rPr>
              <w:t>2</w:t>
            </w:r>
          </w:p>
        </w:tc>
        <w:tc>
          <w:tcPr>
            <w:tcW w:w="1755" w:type="dxa"/>
            <w:tcBorders>
              <w:top w:val="single" w:sz="5" w:space="0" w:color="1F1C1F"/>
              <w:left w:val="single" w:sz="8" w:space="0" w:color="1F1C1F"/>
              <w:bottom w:val="single" w:sz="5" w:space="0" w:color="1F1C1F"/>
              <w:right w:val="single" w:sz="5" w:space="0" w:color="1F1C1F"/>
            </w:tcBorders>
          </w:tcPr>
          <w:p w:rsidR="00FF2CD0" w:rsidRPr="00C203F3" w:rsidRDefault="00FF2CD0" w:rsidP="00FF2CD0">
            <w:pPr>
              <w:spacing w:before="16" w:after="0" w:line="240" w:lineRule="auto"/>
              <w:ind w:left="76" w:right="-20"/>
              <w:rPr>
                <w:rFonts w:ascii="Arial Narrow" w:eastAsia="Times New Roman" w:hAnsi="Arial Narrow" w:cs="Times New Roman"/>
                <w:sz w:val="24"/>
                <w:szCs w:val="24"/>
              </w:rPr>
            </w:pPr>
            <w:r w:rsidRPr="00C203F3">
              <w:rPr>
                <w:rFonts w:ascii="Arial Narrow" w:eastAsia="Times New Roman" w:hAnsi="Arial Narrow" w:cs="Times New Roman"/>
                <w:color w:val="231F1F"/>
                <w:w w:val="131"/>
                <w:sz w:val="24"/>
                <w:szCs w:val="24"/>
              </w:rPr>
              <w:t>3</w:t>
            </w:r>
          </w:p>
        </w:tc>
        <w:tc>
          <w:tcPr>
            <w:tcW w:w="748"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25" w:after="0" w:line="240" w:lineRule="auto"/>
              <w:ind w:left="79" w:right="-20"/>
              <w:rPr>
                <w:rFonts w:ascii="Arial Narrow" w:eastAsia="Arial" w:hAnsi="Arial Narrow" w:cs="Arial"/>
                <w:sz w:val="24"/>
                <w:szCs w:val="24"/>
              </w:rPr>
            </w:pPr>
            <w:r w:rsidRPr="00C203F3">
              <w:rPr>
                <w:rFonts w:ascii="Arial Narrow" w:eastAsia="Arial" w:hAnsi="Arial Narrow" w:cs="Arial"/>
                <w:color w:val="231F1F"/>
                <w:w w:val="116"/>
                <w:sz w:val="24"/>
                <w:szCs w:val="24"/>
              </w:rPr>
              <w:t>4</w:t>
            </w:r>
          </w:p>
        </w:tc>
        <w:tc>
          <w:tcPr>
            <w:tcW w:w="889"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spacing w:before="25" w:after="0" w:line="240" w:lineRule="auto"/>
              <w:ind w:left="79" w:right="-20"/>
              <w:rPr>
                <w:rFonts w:ascii="Arial Narrow" w:eastAsia="Arial" w:hAnsi="Arial Narrow" w:cs="Arial"/>
                <w:sz w:val="24"/>
                <w:szCs w:val="24"/>
              </w:rPr>
            </w:pPr>
            <w:r w:rsidRPr="00C203F3">
              <w:rPr>
                <w:rFonts w:ascii="Arial Narrow" w:eastAsia="Arial" w:hAnsi="Arial Narrow" w:cs="Arial"/>
                <w:color w:val="231F1F"/>
                <w:w w:val="107"/>
                <w:sz w:val="24"/>
                <w:szCs w:val="24"/>
              </w:rPr>
              <w:t>score</w:t>
            </w:r>
          </w:p>
        </w:tc>
      </w:tr>
      <w:tr w:rsidR="00FF2CD0" w:rsidRPr="00C203F3" w:rsidTr="00FF2CD0">
        <w:trPr>
          <w:trHeight w:hRule="exact" w:val="570"/>
        </w:trPr>
        <w:tc>
          <w:tcPr>
            <w:tcW w:w="7212" w:type="dxa"/>
            <w:gridSpan w:val="9"/>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spacing w:before="15" w:after="0" w:line="240" w:lineRule="auto"/>
              <w:ind w:left="3062" w:right="3037"/>
              <w:jc w:val="center"/>
              <w:rPr>
                <w:rFonts w:ascii="Arial Narrow" w:eastAsia="Arial" w:hAnsi="Arial Narrow" w:cs="Arial"/>
                <w:sz w:val="24"/>
                <w:szCs w:val="24"/>
              </w:rPr>
            </w:pPr>
            <w:r w:rsidRPr="00C203F3">
              <w:rPr>
                <w:rFonts w:ascii="Arial Narrow" w:eastAsia="Arial" w:hAnsi="Arial Narrow" w:cs="Arial"/>
                <w:b/>
                <w:bCs/>
                <w:color w:val="231F1F"/>
                <w:w w:val="88"/>
                <w:sz w:val="24"/>
                <w:szCs w:val="24"/>
              </w:rPr>
              <w:t>Local</w:t>
            </w:r>
            <w:r>
              <w:rPr>
                <w:rFonts w:ascii="Arial Narrow" w:eastAsia="Arial" w:hAnsi="Arial Narrow" w:cs="Arial"/>
                <w:b/>
                <w:bCs/>
                <w:color w:val="231F1F"/>
                <w:w w:val="88"/>
                <w:sz w:val="24"/>
                <w:szCs w:val="24"/>
              </w:rPr>
              <w:t xml:space="preserve"> </w:t>
            </w:r>
            <w:r w:rsidRPr="00C203F3">
              <w:rPr>
                <w:rFonts w:ascii="Arial Narrow" w:eastAsia="Arial" w:hAnsi="Arial Narrow" w:cs="Arial"/>
                <w:b/>
                <w:bCs/>
                <w:color w:val="231F1F"/>
                <w:w w:val="93"/>
                <w:sz w:val="24"/>
                <w:szCs w:val="24"/>
              </w:rPr>
              <w:t>Features</w:t>
            </w:r>
          </w:p>
        </w:tc>
      </w:tr>
      <w:tr w:rsidR="00FF2CD0" w:rsidRPr="00C203F3" w:rsidTr="00FF2CD0">
        <w:trPr>
          <w:trHeight w:hRule="exact" w:val="633"/>
        </w:trPr>
        <w:tc>
          <w:tcPr>
            <w:tcW w:w="1350"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0" w:after="0" w:line="240" w:lineRule="auto"/>
              <w:ind w:left="72" w:right="-20"/>
              <w:rPr>
                <w:rFonts w:ascii="Arial Narrow" w:eastAsia="Arial" w:hAnsi="Arial Narrow" w:cs="Arial"/>
                <w:sz w:val="24"/>
                <w:szCs w:val="24"/>
              </w:rPr>
            </w:pPr>
            <w:r w:rsidRPr="00C203F3">
              <w:rPr>
                <w:rFonts w:ascii="Arial Narrow" w:eastAsia="Arial" w:hAnsi="Arial Narrow" w:cs="Arial"/>
                <w:color w:val="231F1F"/>
                <w:sz w:val="24"/>
                <w:szCs w:val="24"/>
              </w:rPr>
              <w:t>Chest</w:t>
            </w:r>
            <w:r>
              <w:rPr>
                <w:rFonts w:ascii="Arial Narrow" w:eastAsia="Arial" w:hAnsi="Arial Narrow" w:cs="Arial"/>
                <w:color w:val="231F1F"/>
                <w:sz w:val="24"/>
                <w:szCs w:val="24"/>
              </w:rPr>
              <w:t xml:space="preserve"> </w:t>
            </w:r>
            <w:r w:rsidRPr="00C203F3">
              <w:rPr>
                <w:rFonts w:ascii="Arial Narrow" w:eastAsia="Arial" w:hAnsi="Arial Narrow" w:cs="Arial"/>
                <w:color w:val="231F1F"/>
                <w:w w:val="102"/>
                <w:sz w:val="24"/>
                <w:szCs w:val="24"/>
              </w:rPr>
              <w:t>X-ray</w:t>
            </w:r>
          </w:p>
        </w:tc>
        <w:tc>
          <w:tcPr>
            <w:tcW w:w="540"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563"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367"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755"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0" w:after="0" w:line="295" w:lineRule="auto"/>
              <w:ind w:left="79" w:right="46" w:hanging="14"/>
              <w:rPr>
                <w:rFonts w:ascii="Arial Narrow" w:eastAsia="Arial" w:hAnsi="Arial Narrow" w:cs="Arial"/>
                <w:sz w:val="24"/>
                <w:szCs w:val="24"/>
              </w:rPr>
            </w:pPr>
            <w:r w:rsidRPr="00C203F3">
              <w:rPr>
                <w:rFonts w:ascii="Arial Narrow" w:eastAsia="Arial" w:hAnsi="Arial Narrow" w:cs="Arial"/>
                <w:color w:val="231F1F"/>
                <w:sz w:val="24"/>
                <w:szCs w:val="24"/>
              </w:rPr>
              <w:t>TB</w:t>
            </w:r>
            <w:r>
              <w:rPr>
                <w:rFonts w:ascii="Arial Narrow" w:eastAsia="Arial" w:hAnsi="Arial Narrow" w:cs="Arial"/>
                <w:color w:val="231F1F"/>
                <w:sz w:val="24"/>
                <w:szCs w:val="24"/>
              </w:rPr>
              <w:t xml:space="preserve"> </w:t>
            </w:r>
            <w:r w:rsidRPr="00C203F3">
              <w:rPr>
                <w:rFonts w:ascii="Arial Narrow" w:eastAsia="Arial" w:hAnsi="Arial Narrow" w:cs="Arial"/>
                <w:color w:val="231F1F"/>
                <w:sz w:val="24"/>
                <w:szCs w:val="24"/>
              </w:rPr>
              <w:t xml:space="preserve">suggestive </w:t>
            </w:r>
            <w:r w:rsidRPr="00C203F3">
              <w:rPr>
                <w:rFonts w:ascii="Arial Narrow" w:eastAsia="Arial" w:hAnsi="Arial Narrow" w:cs="Arial"/>
                <w:color w:val="231F1F"/>
                <w:w w:val="108"/>
                <w:sz w:val="24"/>
                <w:szCs w:val="24"/>
              </w:rPr>
              <w:t xml:space="preserve">features </w:t>
            </w:r>
            <w:r w:rsidRPr="00C203F3">
              <w:rPr>
                <w:rFonts w:ascii="Arial Narrow" w:eastAsia="Arial" w:hAnsi="Arial Narrow" w:cs="Arial"/>
                <w:color w:val="231F1F"/>
                <w:sz w:val="24"/>
                <w:szCs w:val="24"/>
              </w:rPr>
              <w:t>like</w:t>
            </w:r>
            <w:r w:rsidRPr="00C203F3">
              <w:rPr>
                <w:rFonts w:ascii="Arial Narrow" w:eastAsia="Arial" w:hAnsi="Arial Narrow" w:cs="Arial"/>
                <w:color w:val="231F1F"/>
                <w:w w:val="115"/>
                <w:sz w:val="24"/>
                <w:szCs w:val="24"/>
              </w:rPr>
              <w:t>infiltration,</w:t>
            </w:r>
            <w:r w:rsidRPr="00C203F3">
              <w:rPr>
                <w:rFonts w:ascii="Arial Narrow" w:eastAsia="Arial" w:hAnsi="Arial Narrow" w:cs="Arial"/>
                <w:color w:val="231F1F"/>
                <w:w w:val="106"/>
                <w:sz w:val="24"/>
                <w:szCs w:val="24"/>
              </w:rPr>
              <w:t xml:space="preserve">cavity </w:t>
            </w:r>
            <w:r w:rsidRPr="00C203F3">
              <w:rPr>
                <w:rFonts w:ascii="Arial Narrow" w:eastAsia="Arial" w:hAnsi="Arial Narrow" w:cs="Arial"/>
                <w:color w:val="231F1F"/>
                <w:sz w:val="24"/>
                <w:szCs w:val="24"/>
              </w:rPr>
              <w:t>orhilar lymph</w:t>
            </w:r>
            <w:r w:rsidRPr="00C203F3">
              <w:rPr>
                <w:rFonts w:ascii="Arial Narrow" w:eastAsia="Arial" w:hAnsi="Arial Narrow" w:cs="Arial"/>
                <w:color w:val="231F1F"/>
                <w:w w:val="104"/>
                <w:sz w:val="24"/>
                <w:szCs w:val="24"/>
              </w:rPr>
              <w:t xml:space="preserve"> nodes</w:t>
            </w:r>
          </w:p>
        </w:tc>
        <w:tc>
          <w:tcPr>
            <w:tcW w:w="748"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889"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rPr>
                <w:rFonts w:ascii="Arial Narrow" w:hAnsi="Arial Narrow"/>
                <w:sz w:val="24"/>
                <w:szCs w:val="24"/>
              </w:rPr>
            </w:pPr>
          </w:p>
        </w:tc>
      </w:tr>
      <w:tr w:rsidR="00FF2CD0" w:rsidRPr="00C203F3" w:rsidTr="00FF2CD0">
        <w:trPr>
          <w:trHeight w:hRule="exact" w:val="804"/>
        </w:trPr>
        <w:tc>
          <w:tcPr>
            <w:tcW w:w="1350"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7" w:after="0" w:line="240" w:lineRule="auto"/>
              <w:ind w:left="86" w:right="-20"/>
              <w:rPr>
                <w:rFonts w:ascii="Arial Narrow" w:eastAsia="Arial" w:hAnsi="Arial Narrow" w:cs="Arial"/>
                <w:sz w:val="24"/>
                <w:szCs w:val="24"/>
              </w:rPr>
            </w:pPr>
            <w:r w:rsidRPr="00C203F3">
              <w:rPr>
                <w:rFonts w:ascii="Arial Narrow" w:eastAsia="Arial" w:hAnsi="Arial Narrow" w:cs="Arial"/>
                <w:color w:val="231F1F"/>
                <w:sz w:val="24"/>
                <w:szCs w:val="24"/>
              </w:rPr>
              <w:t>Lymph</w:t>
            </w:r>
            <w:r w:rsidRPr="00C203F3">
              <w:rPr>
                <w:rFonts w:ascii="Arial Narrow" w:eastAsia="Arial" w:hAnsi="Arial Narrow" w:cs="Arial"/>
                <w:color w:val="231F1F"/>
                <w:w w:val="104"/>
                <w:sz w:val="24"/>
                <w:szCs w:val="24"/>
              </w:rPr>
              <w:t>nodes</w:t>
            </w:r>
          </w:p>
        </w:tc>
        <w:tc>
          <w:tcPr>
            <w:tcW w:w="540"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563"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367"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755"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7" w:after="0" w:line="240" w:lineRule="auto"/>
              <w:ind w:left="79" w:right="-20"/>
              <w:rPr>
                <w:rFonts w:ascii="Arial Narrow" w:eastAsia="Arial" w:hAnsi="Arial Narrow" w:cs="Arial"/>
                <w:sz w:val="24"/>
                <w:szCs w:val="24"/>
              </w:rPr>
            </w:pPr>
            <w:r w:rsidRPr="00C203F3">
              <w:rPr>
                <w:rFonts w:ascii="Arial Narrow" w:eastAsia="Arial" w:hAnsi="Arial Narrow" w:cs="Arial"/>
                <w:color w:val="231F1F"/>
                <w:w w:val="104"/>
                <w:sz w:val="24"/>
                <w:szCs w:val="24"/>
              </w:rPr>
              <w:t>Cervical</w:t>
            </w:r>
            <w:r w:rsidRPr="00C203F3">
              <w:rPr>
                <w:rFonts w:ascii="Arial Narrow" w:eastAsia="Arial" w:hAnsi="Arial Narrow" w:cs="Arial"/>
                <w:color w:val="231F1F"/>
                <w:w w:val="103"/>
                <w:sz w:val="24"/>
                <w:szCs w:val="24"/>
              </w:rPr>
              <w:t>,</w:t>
            </w:r>
            <w:r>
              <w:rPr>
                <w:rFonts w:ascii="Arial Narrow" w:eastAsia="Arial" w:hAnsi="Arial Narrow" w:cs="Arial"/>
                <w:color w:val="231F1F"/>
                <w:w w:val="103"/>
                <w:sz w:val="24"/>
                <w:szCs w:val="24"/>
              </w:rPr>
              <w:t xml:space="preserve"> </w:t>
            </w:r>
            <w:r w:rsidRPr="00C203F3">
              <w:rPr>
                <w:rFonts w:ascii="Arial Narrow" w:eastAsia="Arial" w:hAnsi="Arial Narrow" w:cs="Arial"/>
                <w:color w:val="231F1F"/>
                <w:w w:val="104"/>
                <w:sz w:val="24"/>
                <w:szCs w:val="24"/>
              </w:rPr>
              <w:t>sub-</w:t>
            </w:r>
          </w:p>
          <w:p w:rsidR="00FF2CD0" w:rsidRPr="00C203F3" w:rsidRDefault="00FF2CD0" w:rsidP="00FF2CD0">
            <w:pPr>
              <w:spacing w:before="43" w:after="0" w:line="240" w:lineRule="auto"/>
              <w:ind w:left="79" w:right="-20"/>
              <w:rPr>
                <w:rFonts w:ascii="Arial Narrow" w:eastAsia="Arial" w:hAnsi="Arial Narrow" w:cs="Arial"/>
                <w:sz w:val="24"/>
                <w:szCs w:val="24"/>
              </w:rPr>
            </w:pPr>
            <w:r w:rsidRPr="00C203F3">
              <w:rPr>
                <w:rFonts w:ascii="Arial Narrow" w:eastAsia="Arial" w:hAnsi="Arial Narrow" w:cs="Arial"/>
                <w:color w:val="231F1F"/>
                <w:w w:val="109"/>
                <w:sz w:val="24"/>
                <w:szCs w:val="24"/>
              </w:rPr>
              <w:t>mandible</w:t>
            </w:r>
          </w:p>
        </w:tc>
        <w:tc>
          <w:tcPr>
            <w:tcW w:w="748"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889"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rPr>
                <w:rFonts w:ascii="Arial Narrow" w:hAnsi="Arial Narrow"/>
                <w:sz w:val="24"/>
                <w:szCs w:val="24"/>
              </w:rPr>
            </w:pPr>
          </w:p>
        </w:tc>
      </w:tr>
      <w:tr w:rsidR="00FF2CD0" w:rsidRPr="00C203F3" w:rsidTr="00FF2CD0">
        <w:trPr>
          <w:trHeight w:hRule="exact" w:val="633"/>
        </w:trPr>
        <w:tc>
          <w:tcPr>
            <w:tcW w:w="1350"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0" w:after="0" w:line="290" w:lineRule="auto"/>
              <w:ind w:left="72" w:right="277"/>
              <w:rPr>
                <w:rFonts w:ascii="Arial Narrow" w:eastAsia="Arial" w:hAnsi="Arial Narrow" w:cs="Arial"/>
                <w:sz w:val="24"/>
                <w:szCs w:val="24"/>
              </w:rPr>
            </w:pPr>
            <w:r w:rsidRPr="00C203F3">
              <w:rPr>
                <w:rFonts w:ascii="Arial Narrow" w:eastAsia="Arial" w:hAnsi="Arial Narrow" w:cs="Arial"/>
                <w:color w:val="231F1F"/>
                <w:sz w:val="24"/>
                <w:szCs w:val="24"/>
              </w:rPr>
              <w:t>Swelling</w:t>
            </w:r>
            <w:r>
              <w:rPr>
                <w:rFonts w:ascii="Arial Narrow" w:eastAsia="Arial" w:hAnsi="Arial Narrow" w:cs="Arial"/>
                <w:color w:val="231F1F"/>
                <w:sz w:val="24"/>
                <w:szCs w:val="24"/>
              </w:rPr>
              <w:t xml:space="preserve"> </w:t>
            </w:r>
            <w:r w:rsidRPr="00C203F3">
              <w:rPr>
                <w:rFonts w:ascii="Arial Narrow" w:eastAsia="Arial" w:hAnsi="Arial Narrow" w:cs="Arial"/>
                <w:color w:val="231F1F"/>
                <w:w w:val="120"/>
                <w:sz w:val="24"/>
                <w:szCs w:val="24"/>
              </w:rPr>
              <w:t xml:space="preserve">of </w:t>
            </w:r>
            <w:r w:rsidRPr="00C203F3">
              <w:rPr>
                <w:rFonts w:ascii="Arial Narrow" w:eastAsia="Arial" w:hAnsi="Arial Narrow" w:cs="Arial"/>
                <w:color w:val="231F1F"/>
                <w:sz w:val="24"/>
                <w:szCs w:val="24"/>
              </w:rPr>
              <w:t xml:space="preserve">bones </w:t>
            </w:r>
            <w:r w:rsidRPr="00C203F3">
              <w:rPr>
                <w:rFonts w:ascii="Arial Narrow" w:eastAsia="Arial" w:hAnsi="Arial Narrow" w:cs="Arial"/>
                <w:color w:val="231F1F"/>
                <w:w w:val="121"/>
                <w:sz w:val="24"/>
                <w:szCs w:val="24"/>
              </w:rPr>
              <w:t xml:space="preserve">or </w:t>
            </w:r>
            <w:r w:rsidRPr="00C203F3">
              <w:rPr>
                <w:rFonts w:ascii="Arial Narrow" w:eastAsia="Arial" w:hAnsi="Arial Narrow" w:cs="Arial"/>
                <w:color w:val="231F1F"/>
                <w:w w:val="110"/>
                <w:sz w:val="24"/>
                <w:szCs w:val="24"/>
              </w:rPr>
              <w:t>joints</w:t>
            </w:r>
          </w:p>
        </w:tc>
        <w:tc>
          <w:tcPr>
            <w:tcW w:w="540"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563"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367"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755"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0" w:after="0" w:line="240" w:lineRule="auto"/>
              <w:ind w:left="79" w:right="-20"/>
              <w:rPr>
                <w:rFonts w:ascii="Arial Narrow" w:eastAsia="Arial" w:hAnsi="Arial Narrow" w:cs="Arial"/>
                <w:sz w:val="24"/>
                <w:szCs w:val="24"/>
              </w:rPr>
            </w:pPr>
            <w:r w:rsidRPr="00C203F3">
              <w:rPr>
                <w:rFonts w:ascii="Arial Narrow" w:eastAsia="Arial" w:hAnsi="Arial Narrow" w:cs="Arial"/>
                <w:color w:val="231F1F"/>
                <w:sz w:val="24"/>
                <w:szCs w:val="24"/>
              </w:rPr>
              <w:t>Suggestive feature</w:t>
            </w:r>
            <w:r>
              <w:rPr>
                <w:rFonts w:ascii="Arial Narrow" w:eastAsia="Arial" w:hAnsi="Arial Narrow" w:cs="Arial"/>
                <w:color w:val="231F1F"/>
                <w:sz w:val="24"/>
                <w:szCs w:val="24"/>
              </w:rPr>
              <w:t xml:space="preserve"> </w:t>
            </w:r>
            <w:r w:rsidRPr="00C203F3">
              <w:rPr>
                <w:rFonts w:ascii="Arial Narrow" w:eastAsia="Arial" w:hAnsi="Arial Narrow" w:cs="Arial"/>
                <w:color w:val="231F1F"/>
                <w:w w:val="109"/>
                <w:sz w:val="24"/>
                <w:szCs w:val="24"/>
              </w:rPr>
              <w:t>on</w:t>
            </w:r>
          </w:p>
          <w:p w:rsidR="00FF2CD0" w:rsidRPr="00C203F3" w:rsidRDefault="00FF2CD0" w:rsidP="00FF2CD0">
            <w:pPr>
              <w:spacing w:before="36" w:after="0" w:line="240" w:lineRule="auto"/>
              <w:ind w:left="79" w:right="-20"/>
              <w:rPr>
                <w:rFonts w:ascii="Arial Narrow" w:eastAsia="Arial" w:hAnsi="Arial Narrow" w:cs="Arial"/>
                <w:sz w:val="24"/>
                <w:szCs w:val="24"/>
              </w:rPr>
            </w:pPr>
            <w:r w:rsidRPr="00C203F3">
              <w:rPr>
                <w:rFonts w:ascii="Arial Narrow" w:eastAsia="Arial" w:hAnsi="Arial Narrow" w:cs="Arial"/>
                <w:color w:val="231F1F"/>
                <w:sz w:val="24"/>
                <w:szCs w:val="24"/>
              </w:rPr>
              <w:t>X-ray</w:t>
            </w:r>
          </w:p>
        </w:tc>
        <w:tc>
          <w:tcPr>
            <w:tcW w:w="748"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889"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rPr>
                <w:rFonts w:ascii="Arial Narrow" w:hAnsi="Arial Narrow"/>
                <w:sz w:val="24"/>
                <w:szCs w:val="24"/>
              </w:rPr>
            </w:pPr>
          </w:p>
        </w:tc>
      </w:tr>
      <w:tr w:rsidR="00FF2CD0" w:rsidRPr="00C203F3" w:rsidTr="00FF2CD0">
        <w:trPr>
          <w:trHeight w:hRule="exact" w:val="1254"/>
        </w:trPr>
        <w:tc>
          <w:tcPr>
            <w:tcW w:w="1350"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7" w:after="0" w:line="240" w:lineRule="auto"/>
              <w:ind w:left="72" w:right="-20"/>
              <w:rPr>
                <w:rFonts w:ascii="Arial Narrow" w:eastAsia="Arial" w:hAnsi="Arial Narrow" w:cs="Arial"/>
                <w:sz w:val="24"/>
                <w:szCs w:val="24"/>
              </w:rPr>
            </w:pPr>
            <w:r w:rsidRPr="00C203F3">
              <w:rPr>
                <w:rFonts w:ascii="Arial Narrow" w:eastAsia="Arial" w:hAnsi="Arial Narrow" w:cs="Arial"/>
                <w:color w:val="231F1F"/>
                <w:w w:val="103"/>
                <w:sz w:val="24"/>
                <w:szCs w:val="24"/>
              </w:rPr>
              <w:t>Ascitis</w:t>
            </w:r>
          </w:p>
        </w:tc>
        <w:tc>
          <w:tcPr>
            <w:tcW w:w="540"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563"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367"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7" w:after="0" w:line="240" w:lineRule="auto"/>
              <w:ind w:left="79" w:right="-20"/>
              <w:rPr>
                <w:rFonts w:ascii="Arial Narrow" w:eastAsia="Arial" w:hAnsi="Arial Narrow" w:cs="Arial"/>
                <w:sz w:val="24"/>
                <w:szCs w:val="24"/>
              </w:rPr>
            </w:pPr>
            <w:r w:rsidRPr="00C203F3">
              <w:rPr>
                <w:rFonts w:ascii="Arial Narrow" w:eastAsia="Arial" w:hAnsi="Arial Narrow" w:cs="Arial"/>
                <w:color w:val="231F1F"/>
                <w:w w:val="113"/>
                <w:sz w:val="24"/>
                <w:szCs w:val="24"/>
              </w:rPr>
              <w:t>Without</w:t>
            </w:r>
          </w:p>
          <w:p w:rsidR="00FF2CD0" w:rsidRPr="00C203F3" w:rsidRDefault="00FF2CD0" w:rsidP="00FF2CD0">
            <w:pPr>
              <w:spacing w:before="43" w:after="0" w:line="240" w:lineRule="auto"/>
              <w:ind w:left="79" w:right="-20"/>
              <w:rPr>
                <w:rFonts w:ascii="Arial Narrow" w:eastAsia="Arial" w:hAnsi="Arial Narrow" w:cs="Arial"/>
                <w:sz w:val="24"/>
                <w:szCs w:val="24"/>
              </w:rPr>
            </w:pPr>
            <w:r w:rsidRPr="00C203F3">
              <w:rPr>
                <w:rFonts w:ascii="Arial Narrow" w:eastAsia="Arial" w:hAnsi="Arial Narrow" w:cs="Arial"/>
                <w:color w:val="231F1F"/>
                <w:sz w:val="24"/>
                <w:szCs w:val="24"/>
              </w:rPr>
              <w:t>Abdominal</w:t>
            </w:r>
            <w:r>
              <w:rPr>
                <w:rFonts w:ascii="Arial Narrow" w:eastAsia="Arial" w:hAnsi="Arial Narrow" w:cs="Arial"/>
                <w:color w:val="231F1F"/>
                <w:sz w:val="24"/>
                <w:szCs w:val="24"/>
              </w:rPr>
              <w:t xml:space="preserve"> </w:t>
            </w:r>
            <w:r w:rsidRPr="00C203F3">
              <w:rPr>
                <w:rFonts w:ascii="Arial Narrow" w:eastAsia="Arial" w:hAnsi="Arial Narrow" w:cs="Arial"/>
                <w:color w:val="231F1F"/>
                <w:sz w:val="24"/>
                <w:szCs w:val="24"/>
              </w:rPr>
              <w:t>mass</w:t>
            </w:r>
          </w:p>
        </w:tc>
        <w:tc>
          <w:tcPr>
            <w:tcW w:w="1755"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7" w:after="0" w:line="240" w:lineRule="auto"/>
              <w:ind w:left="79" w:right="-20"/>
              <w:rPr>
                <w:rFonts w:ascii="Arial Narrow" w:eastAsia="Arial" w:hAnsi="Arial Narrow" w:cs="Arial"/>
                <w:sz w:val="24"/>
                <w:szCs w:val="24"/>
              </w:rPr>
            </w:pPr>
            <w:r w:rsidRPr="00C203F3">
              <w:rPr>
                <w:rFonts w:ascii="Arial Narrow" w:eastAsia="Arial" w:hAnsi="Arial Narrow" w:cs="Arial"/>
                <w:color w:val="231F1F"/>
                <w:sz w:val="24"/>
                <w:szCs w:val="24"/>
              </w:rPr>
              <w:t>With</w:t>
            </w:r>
            <w:r>
              <w:rPr>
                <w:rFonts w:ascii="Arial Narrow" w:eastAsia="Arial" w:hAnsi="Arial Narrow" w:cs="Arial"/>
                <w:color w:val="231F1F"/>
                <w:sz w:val="24"/>
                <w:szCs w:val="24"/>
              </w:rPr>
              <w:t xml:space="preserve"> </w:t>
            </w:r>
            <w:r w:rsidRPr="00C203F3">
              <w:rPr>
                <w:rFonts w:ascii="Arial Narrow" w:eastAsia="Arial" w:hAnsi="Arial Narrow" w:cs="Arial"/>
                <w:color w:val="231F1F"/>
                <w:w w:val="109"/>
                <w:sz w:val="24"/>
                <w:szCs w:val="24"/>
              </w:rPr>
              <w:t xml:space="preserve">abdominal </w:t>
            </w:r>
            <w:r w:rsidRPr="00C203F3">
              <w:rPr>
                <w:rFonts w:ascii="Arial Narrow" w:eastAsia="Arial" w:hAnsi="Arial Narrow" w:cs="Arial"/>
                <w:color w:val="231F1F"/>
                <w:w w:val="101"/>
                <w:sz w:val="24"/>
                <w:szCs w:val="24"/>
              </w:rPr>
              <w:t>mass</w:t>
            </w:r>
          </w:p>
        </w:tc>
        <w:tc>
          <w:tcPr>
            <w:tcW w:w="748"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889"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rPr>
                <w:rFonts w:ascii="Arial Narrow" w:hAnsi="Arial Narrow"/>
                <w:sz w:val="24"/>
                <w:szCs w:val="24"/>
              </w:rPr>
            </w:pPr>
          </w:p>
        </w:tc>
      </w:tr>
      <w:tr w:rsidR="00FF2CD0" w:rsidRPr="00C203F3" w:rsidTr="00FF2CD0">
        <w:trPr>
          <w:trHeight w:hRule="exact" w:val="444"/>
        </w:trPr>
        <w:tc>
          <w:tcPr>
            <w:tcW w:w="1350"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7" w:after="0" w:line="240" w:lineRule="auto"/>
              <w:ind w:left="86" w:right="-20"/>
              <w:rPr>
                <w:rFonts w:ascii="Arial Narrow" w:eastAsia="Arial" w:hAnsi="Arial Narrow" w:cs="Arial"/>
                <w:sz w:val="24"/>
                <w:szCs w:val="24"/>
              </w:rPr>
            </w:pPr>
            <w:r w:rsidRPr="00C203F3">
              <w:rPr>
                <w:rFonts w:ascii="Arial Narrow" w:eastAsia="Arial" w:hAnsi="Arial Narrow" w:cs="Arial"/>
                <w:color w:val="231F1F"/>
                <w:w w:val="108"/>
                <w:sz w:val="24"/>
                <w:szCs w:val="24"/>
              </w:rPr>
              <w:t>Meningitis</w:t>
            </w:r>
          </w:p>
        </w:tc>
        <w:tc>
          <w:tcPr>
            <w:tcW w:w="540"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563"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367"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755"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7" w:after="0" w:line="240" w:lineRule="auto"/>
              <w:ind w:left="79" w:right="-20"/>
              <w:rPr>
                <w:rFonts w:ascii="Arial Narrow" w:eastAsia="Arial" w:hAnsi="Arial Narrow" w:cs="Arial"/>
                <w:sz w:val="24"/>
                <w:szCs w:val="24"/>
              </w:rPr>
            </w:pPr>
            <w:r w:rsidRPr="00C203F3">
              <w:rPr>
                <w:rFonts w:ascii="Arial Narrow" w:eastAsia="Arial" w:hAnsi="Arial Narrow" w:cs="Arial"/>
                <w:color w:val="231F1F"/>
                <w:sz w:val="24"/>
                <w:szCs w:val="24"/>
              </w:rPr>
              <w:t>Chronic</w:t>
            </w:r>
            <w:r>
              <w:rPr>
                <w:rFonts w:ascii="Arial Narrow" w:eastAsia="Arial" w:hAnsi="Arial Narrow" w:cs="Arial"/>
                <w:color w:val="231F1F"/>
                <w:sz w:val="24"/>
                <w:szCs w:val="24"/>
              </w:rPr>
              <w:t xml:space="preserve"> </w:t>
            </w:r>
            <w:r w:rsidRPr="00C203F3">
              <w:rPr>
                <w:rFonts w:ascii="Arial Narrow" w:eastAsia="Arial" w:hAnsi="Arial Narrow" w:cs="Arial"/>
                <w:color w:val="231F1F"/>
                <w:w w:val="93"/>
                <w:sz w:val="24"/>
                <w:szCs w:val="24"/>
              </w:rPr>
              <w:t>C.N.S</w:t>
            </w:r>
            <w:r>
              <w:rPr>
                <w:rFonts w:ascii="Arial Narrow" w:eastAsia="Arial" w:hAnsi="Arial Narrow" w:cs="Arial"/>
                <w:color w:val="231F1F"/>
                <w:w w:val="93"/>
                <w:sz w:val="24"/>
                <w:szCs w:val="24"/>
              </w:rPr>
              <w:t xml:space="preserve"> </w:t>
            </w:r>
            <w:r w:rsidRPr="00C203F3">
              <w:rPr>
                <w:rFonts w:ascii="Arial Narrow" w:eastAsia="Arial" w:hAnsi="Arial Narrow" w:cs="Arial"/>
                <w:color w:val="231F1F"/>
                <w:w w:val="102"/>
                <w:sz w:val="24"/>
                <w:szCs w:val="24"/>
              </w:rPr>
              <w:t>sign</w:t>
            </w:r>
          </w:p>
        </w:tc>
        <w:tc>
          <w:tcPr>
            <w:tcW w:w="748"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889"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rPr>
                <w:rFonts w:ascii="Arial Narrow" w:hAnsi="Arial Narrow"/>
                <w:sz w:val="24"/>
                <w:szCs w:val="24"/>
              </w:rPr>
            </w:pPr>
          </w:p>
        </w:tc>
      </w:tr>
      <w:tr w:rsidR="00FF2CD0" w:rsidRPr="00C203F3" w:rsidTr="00FF2CD0">
        <w:trPr>
          <w:trHeight w:hRule="exact" w:val="1182"/>
        </w:trPr>
        <w:tc>
          <w:tcPr>
            <w:tcW w:w="1350"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7" w:after="0" w:line="290" w:lineRule="auto"/>
              <w:ind w:left="72" w:right="164"/>
              <w:rPr>
                <w:rFonts w:ascii="Arial Narrow" w:eastAsia="Arial" w:hAnsi="Arial Narrow" w:cs="Arial"/>
                <w:sz w:val="24"/>
                <w:szCs w:val="24"/>
              </w:rPr>
            </w:pPr>
            <w:r w:rsidRPr="00C203F3">
              <w:rPr>
                <w:rFonts w:ascii="Arial Narrow" w:eastAsia="Arial" w:hAnsi="Arial Narrow" w:cs="Arial"/>
                <w:color w:val="231F1F"/>
                <w:w w:val="104"/>
                <w:sz w:val="24"/>
                <w:szCs w:val="24"/>
              </w:rPr>
              <w:t xml:space="preserve">Angle </w:t>
            </w:r>
            <w:r w:rsidRPr="00C203F3">
              <w:rPr>
                <w:rFonts w:ascii="Arial Narrow" w:eastAsia="Arial" w:hAnsi="Arial Narrow" w:cs="Arial"/>
                <w:color w:val="231F1F"/>
                <w:w w:val="113"/>
                <w:sz w:val="24"/>
                <w:szCs w:val="24"/>
              </w:rPr>
              <w:t>deformity</w:t>
            </w:r>
            <w:r>
              <w:rPr>
                <w:rFonts w:ascii="Arial Narrow" w:eastAsia="Arial" w:hAnsi="Arial Narrow" w:cs="Arial"/>
                <w:color w:val="231F1F"/>
                <w:w w:val="113"/>
                <w:sz w:val="24"/>
                <w:szCs w:val="24"/>
              </w:rPr>
              <w:t xml:space="preserve"> </w:t>
            </w:r>
            <w:r w:rsidRPr="00C203F3">
              <w:rPr>
                <w:rFonts w:ascii="Arial Narrow" w:eastAsia="Arial" w:hAnsi="Arial Narrow" w:cs="Arial"/>
                <w:color w:val="231F1F"/>
                <w:w w:val="120"/>
                <w:sz w:val="24"/>
                <w:szCs w:val="24"/>
              </w:rPr>
              <w:t xml:space="preserve">of </w:t>
            </w:r>
            <w:r w:rsidRPr="00C203F3">
              <w:rPr>
                <w:rFonts w:ascii="Arial Narrow" w:eastAsia="Arial" w:hAnsi="Arial Narrow" w:cs="Arial"/>
                <w:color w:val="231F1F"/>
                <w:sz w:val="24"/>
                <w:szCs w:val="24"/>
              </w:rPr>
              <w:t>the</w:t>
            </w:r>
            <w:r>
              <w:rPr>
                <w:rFonts w:ascii="Arial Narrow" w:eastAsia="Arial" w:hAnsi="Arial Narrow" w:cs="Arial"/>
                <w:color w:val="231F1F"/>
                <w:sz w:val="24"/>
                <w:szCs w:val="24"/>
              </w:rPr>
              <w:t xml:space="preserve"> </w:t>
            </w:r>
            <w:r w:rsidRPr="00C203F3">
              <w:rPr>
                <w:rFonts w:ascii="Arial Narrow" w:eastAsia="Arial" w:hAnsi="Arial Narrow" w:cs="Arial"/>
                <w:color w:val="231F1F"/>
                <w:w w:val="106"/>
                <w:sz w:val="24"/>
                <w:szCs w:val="24"/>
              </w:rPr>
              <w:t>spine</w:t>
            </w:r>
          </w:p>
        </w:tc>
        <w:tc>
          <w:tcPr>
            <w:tcW w:w="540"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563"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367"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755"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748"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7" w:after="0" w:line="240" w:lineRule="auto"/>
              <w:ind w:left="79" w:right="-20"/>
              <w:rPr>
                <w:rFonts w:ascii="Arial Narrow" w:eastAsia="Arial" w:hAnsi="Arial Narrow" w:cs="Arial"/>
                <w:sz w:val="24"/>
                <w:szCs w:val="24"/>
              </w:rPr>
            </w:pPr>
            <w:r w:rsidRPr="00C203F3">
              <w:rPr>
                <w:rFonts w:ascii="Arial Narrow" w:eastAsia="Arial" w:hAnsi="Arial Narrow" w:cs="Arial"/>
                <w:color w:val="231F1F"/>
                <w:w w:val="102"/>
                <w:sz w:val="24"/>
                <w:szCs w:val="24"/>
              </w:rPr>
              <w:t>X-ray</w:t>
            </w:r>
          </w:p>
        </w:tc>
        <w:tc>
          <w:tcPr>
            <w:tcW w:w="889"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rPr>
                <w:rFonts w:ascii="Arial Narrow" w:hAnsi="Arial Narrow"/>
                <w:sz w:val="24"/>
                <w:szCs w:val="24"/>
              </w:rPr>
            </w:pPr>
          </w:p>
        </w:tc>
      </w:tr>
      <w:tr w:rsidR="00FF2CD0" w:rsidRPr="00C203F3" w:rsidTr="00FF2CD0">
        <w:trPr>
          <w:trHeight w:hRule="exact" w:val="597"/>
        </w:trPr>
        <w:tc>
          <w:tcPr>
            <w:tcW w:w="1350"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spacing w:before="17" w:after="0" w:line="240" w:lineRule="auto"/>
              <w:ind w:left="72" w:right="-20"/>
              <w:rPr>
                <w:rFonts w:ascii="Arial Narrow" w:eastAsia="Arial" w:hAnsi="Arial Narrow" w:cs="Arial"/>
                <w:sz w:val="24"/>
                <w:szCs w:val="24"/>
              </w:rPr>
            </w:pPr>
            <w:r w:rsidRPr="00C203F3">
              <w:rPr>
                <w:rFonts w:ascii="Arial Narrow" w:eastAsia="Arial" w:hAnsi="Arial Narrow" w:cs="Arial"/>
                <w:color w:val="231F1F"/>
                <w:w w:val="96"/>
                <w:sz w:val="24"/>
                <w:szCs w:val="24"/>
              </w:rPr>
              <w:t>TOTA</w:t>
            </w:r>
            <w:r w:rsidRPr="00C203F3">
              <w:rPr>
                <w:rFonts w:ascii="Arial Narrow" w:eastAsia="Arial" w:hAnsi="Arial Narrow" w:cs="Arial"/>
                <w:color w:val="231F1F"/>
                <w:w w:val="97"/>
                <w:sz w:val="24"/>
                <w:szCs w:val="24"/>
              </w:rPr>
              <w:t>L</w:t>
            </w:r>
            <w:r w:rsidRPr="00C203F3">
              <w:rPr>
                <w:rFonts w:ascii="Arial Narrow" w:eastAsia="Arial" w:hAnsi="Arial Narrow" w:cs="Arial"/>
                <w:color w:val="231F1F"/>
                <w:sz w:val="24"/>
                <w:szCs w:val="24"/>
              </w:rPr>
              <w:t>SCORE</w:t>
            </w:r>
          </w:p>
        </w:tc>
        <w:tc>
          <w:tcPr>
            <w:tcW w:w="540" w:type="dxa"/>
            <w:gridSpan w:val="2"/>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563"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367"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1755"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748" w:type="dxa"/>
            <w:tcBorders>
              <w:top w:val="single" w:sz="5" w:space="0" w:color="1F1C1F"/>
              <w:left w:val="single" w:sz="5" w:space="0" w:color="1F1C1F"/>
              <w:bottom w:val="single" w:sz="5" w:space="0" w:color="1F1C1F"/>
              <w:right w:val="single" w:sz="5" w:space="0" w:color="1F1C1F"/>
            </w:tcBorders>
          </w:tcPr>
          <w:p w:rsidR="00FF2CD0" w:rsidRPr="00C203F3" w:rsidRDefault="00FF2CD0" w:rsidP="00FF2CD0">
            <w:pPr>
              <w:rPr>
                <w:rFonts w:ascii="Arial Narrow" w:hAnsi="Arial Narrow"/>
                <w:sz w:val="24"/>
                <w:szCs w:val="24"/>
              </w:rPr>
            </w:pPr>
          </w:p>
        </w:tc>
        <w:tc>
          <w:tcPr>
            <w:tcW w:w="889" w:type="dxa"/>
            <w:tcBorders>
              <w:top w:val="single" w:sz="5" w:space="0" w:color="1F1C1F"/>
              <w:left w:val="single" w:sz="5" w:space="0" w:color="1F1C1F"/>
              <w:bottom w:val="single" w:sz="5" w:space="0" w:color="1F1C1F"/>
              <w:right w:val="single" w:sz="8" w:space="0" w:color="1F1C1F"/>
            </w:tcBorders>
          </w:tcPr>
          <w:p w:rsidR="00FF2CD0" w:rsidRPr="00C203F3" w:rsidRDefault="00FF2CD0" w:rsidP="00FF2CD0">
            <w:pPr>
              <w:rPr>
                <w:rFonts w:ascii="Arial Narrow" w:hAnsi="Arial Narrow"/>
                <w:sz w:val="24"/>
                <w:szCs w:val="24"/>
              </w:rPr>
            </w:pPr>
          </w:p>
        </w:tc>
      </w:tr>
    </w:tbl>
    <w:p w:rsidR="00FF2CD0" w:rsidRPr="00C203F3" w:rsidRDefault="00FF2CD0" w:rsidP="00FF2CD0">
      <w:pPr>
        <w:rPr>
          <w:rFonts w:ascii="Arial Narrow" w:hAnsi="Arial Narrow"/>
          <w:sz w:val="24"/>
          <w:szCs w:val="24"/>
        </w:rPr>
      </w:pPr>
    </w:p>
    <w:p w:rsidR="00FF2CD0" w:rsidRDefault="00FF2CD0"/>
    <w:p w:rsidR="00FF2CD0" w:rsidRDefault="00FF2CD0"/>
    <w:p w:rsidR="00FF2CD0" w:rsidRDefault="00FF2CD0"/>
    <w:p w:rsidR="00FF2CD0" w:rsidRDefault="00FF2CD0"/>
    <w:p w:rsidR="00FF2CD0" w:rsidRDefault="00FF2CD0"/>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71027C" w:rsidRDefault="0071027C"/>
    <w:p w:rsidR="00F4045D" w:rsidRDefault="00F4045D"/>
    <w:sectPr w:rsidR="00F4045D" w:rsidSect="002745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8FE" w:rsidRDefault="001D28FE" w:rsidP="002B39F1">
      <w:pPr>
        <w:spacing w:after="0" w:line="240" w:lineRule="auto"/>
      </w:pPr>
      <w:r>
        <w:separator/>
      </w:r>
    </w:p>
  </w:endnote>
  <w:endnote w:type="continuationSeparator" w:id="0">
    <w:p w:rsidR="001D28FE" w:rsidRDefault="001D28FE" w:rsidP="002B3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illSans">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Courier New"/>
    <w:charset w:val="00"/>
    <w:family w:val="auto"/>
    <w:pitch w:val="variable"/>
    <w:sig w:usb0="03000000" w:usb1="00000000" w:usb2="00000000" w:usb3="00000000" w:csb0="00000001" w:csb1="00000000"/>
  </w:font>
  <w:font w:name="Optima DemiBold">
    <w:altName w:val="Optima DemiBold"/>
    <w:panose1 w:val="00000000000000000000"/>
    <w:charset w:val="00"/>
    <w:family w:val="swiss"/>
    <w:notTrueType/>
    <w:pitch w:val="default"/>
    <w:sig w:usb0="00000003" w:usb1="00000000" w:usb2="00000000" w:usb3="00000000" w:csb0="00000001" w:csb1="00000000"/>
  </w:font>
  <w:font w:name="Swis721 Lt BT">
    <w:altName w:val="Swis721 Lt BT"/>
    <w:panose1 w:val="00000000000000000000"/>
    <w:charset w:val="00"/>
    <w:family w:val="swiss"/>
    <w:notTrueType/>
    <w:pitch w:val="default"/>
    <w:sig w:usb0="00000003" w:usb1="00000000" w:usb2="00000000" w:usb3="00000000" w:csb0="00000001" w:csb1="00000000"/>
  </w:font>
  <w:font w:name="Myriad">
    <w:altName w:val="Myriad"/>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Helvetica Neue Light">
    <w:altName w:val="Courier New"/>
    <w:charset w:val="00"/>
    <w:family w:val="auto"/>
    <w:pitch w:val="variable"/>
    <w:sig w:usb0="03000000" w:usb1="00000000" w:usb2="00000000" w:usb3="00000000" w:csb0="00000001" w:csb1="00000000"/>
  </w:font>
  <w:font w:name="CronosPro-SemiboldCap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Univers-CondensedBold">
    <w:panose1 w:val="00000000000000000000"/>
    <w:charset w:val="00"/>
    <w:family w:val="swiss"/>
    <w:notTrueType/>
    <w:pitch w:val="default"/>
    <w:sig w:usb0="00000003" w:usb1="00000000" w:usb2="00000000" w:usb3="00000000" w:csb0="00000001" w:csb1="00000000"/>
  </w:font>
  <w:font w:name="AkzidenzGroteskBQ-Light">
    <w:panose1 w:val="00000000000000000000"/>
    <w:charset w:val="00"/>
    <w:family w:val="swiss"/>
    <w:notTrueType/>
    <w:pitch w:val="default"/>
    <w:sig w:usb0="00000003" w:usb1="00000000" w:usb2="00000000" w:usb3="00000000" w:csb0="00000001" w:csb1="00000000"/>
  </w:font>
  <w:font w:name="Frutiger-BoldC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adeGothic-Bold">
    <w:panose1 w:val="00000000000000000000"/>
    <w:charset w:val="00"/>
    <w:family w:val="swiss"/>
    <w:notTrueType/>
    <w:pitch w:val="default"/>
    <w:sig w:usb0="00000003" w:usb1="00000000" w:usb2="00000000" w:usb3="00000000" w:csb0="00000001" w:csb1="00000000"/>
  </w:font>
  <w:font w:name="Times New Roman Bold Italic">
    <w:panose1 w:val="00000000000000000000"/>
    <w:charset w:val="00"/>
    <w:family w:val="auto"/>
    <w:notTrueType/>
    <w:pitch w:val="variable"/>
    <w:sig w:usb0="00000003" w:usb1="00000000" w:usb2="00000000" w:usb3="00000000" w:csb0="00000001" w:csb1="00000000"/>
  </w:font>
  <w:font w:name="HelveticaNeueLTStd-Cn">
    <w:altName w:val="MS Gothic"/>
    <w:panose1 w:val="00000000000000000000"/>
    <w:charset w:val="80"/>
    <w:family w:val="swiss"/>
    <w:notTrueType/>
    <w:pitch w:val="default"/>
    <w:sig w:usb0="00000003" w:usb1="08070000" w:usb2="00000010" w:usb3="00000000" w:csb0="00020001" w:csb1="00000000"/>
  </w:font>
  <w:font w:name="Futura-Light">
    <w:panose1 w:val="00000000000000000000"/>
    <w:charset w:val="00"/>
    <w:family w:val="swiss"/>
    <w:notTrueType/>
    <w:pitch w:val="default"/>
    <w:sig w:usb0="00000003" w:usb1="00000000" w:usb2="00000000" w:usb3="00000000" w:csb0="00000001" w:csb1="00000000"/>
  </w:font>
  <w:font w:name="GaramondPremrPro">
    <w:altName w:val="MS Mincho"/>
    <w:panose1 w:val="00000000000000000000"/>
    <w:charset w:val="80"/>
    <w:family w:val="roman"/>
    <w:notTrueType/>
    <w:pitch w:val="default"/>
    <w:sig w:usb0="00000000" w:usb1="08070000" w:usb2="00000010" w:usb3="00000000" w:csb0="00020000" w:csb1="00000000"/>
  </w:font>
  <w:font w:name="WarnockPro-Light">
    <w:altName w:val="MS Mincho"/>
    <w:panose1 w:val="00000000000000000000"/>
    <w:charset w:val="80"/>
    <w:family w:val="roman"/>
    <w:notTrueType/>
    <w:pitch w:val="default"/>
    <w:sig w:usb0="00000000" w:usb1="08070000" w:usb2="00000010" w:usb3="00000000" w:csb0="00020000" w:csb1="00000000"/>
  </w:font>
  <w:font w:name="HelveticaNeueLTStd-Lt">
    <w:altName w:val="MS Gothic"/>
    <w:panose1 w:val="00000000000000000000"/>
    <w:charset w:val="80"/>
    <w:family w:val="swiss"/>
    <w:notTrueType/>
    <w:pitch w:val="default"/>
    <w:sig w:usb0="00000001" w:usb1="08070000" w:usb2="00000010" w:usb3="00000000" w:csb0="00020000" w:csb1="00000000"/>
  </w:font>
  <w:font w:name="Helvetica-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LTStd-MdCn">
    <w:altName w:val="Arial Unicode MS"/>
    <w:panose1 w:val="00000000000000000000"/>
    <w:charset w:val="80"/>
    <w:family w:val="swiss"/>
    <w:notTrueType/>
    <w:pitch w:val="default"/>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8FE" w:rsidRDefault="001D28FE" w:rsidP="002B39F1">
      <w:pPr>
        <w:spacing w:after="0" w:line="240" w:lineRule="auto"/>
      </w:pPr>
      <w:r>
        <w:separator/>
      </w:r>
    </w:p>
  </w:footnote>
  <w:footnote w:type="continuationSeparator" w:id="0">
    <w:p w:rsidR="001D28FE" w:rsidRDefault="001D28FE" w:rsidP="002B39F1">
      <w:pPr>
        <w:spacing w:after="0" w:line="240" w:lineRule="auto"/>
      </w:pPr>
      <w:r>
        <w:continuationSeparator/>
      </w:r>
    </w:p>
  </w:footnote>
  <w:footnote w:id="1">
    <w:p w:rsidR="00B247C9" w:rsidRDefault="00B247C9" w:rsidP="002B39F1">
      <w:pPr>
        <w:pStyle w:val="FootnoteText"/>
      </w:pPr>
      <w:r>
        <w:rPr>
          <w:rStyle w:val="FootnoteReference"/>
        </w:rPr>
        <w:footnoteRef/>
      </w:r>
      <w:r>
        <w:t xml:space="preserve"> UNAIDS 2013: Report on the Global AIDS epidemic.</w:t>
      </w:r>
    </w:p>
  </w:footnote>
  <w:footnote w:id="2">
    <w:p w:rsidR="00B247C9" w:rsidRPr="002270F4" w:rsidRDefault="00B247C9" w:rsidP="0071027C">
      <w:pPr>
        <w:autoSpaceDE w:val="0"/>
        <w:autoSpaceDN w:val="0"/>
        <w:adjustRightInd w:val="0"/>
        <w:spacing w:after="0" w:line="240" w:lineRule="auto"/>
        <w:rPr>
          <w:sz w:val="16"/>
          <w:szCs w:val="16"/>
        </w:rPr>
      </w:pPr>
    </w:p>
  </w:footnote>
  <w:footnote w:id="3">
    <w:p w:rsidR="00B247C9" w:rsidRPr="002270F4" w:rsidRDefault="00B247C9" w:rsidP="0071027C">
      <w:pPr>
        <w:autoSpaceDE w:val="0"/>
        <w:autoSpaceDN w:val="0"/>
        <w:adjustRightInd w:val="0"/>
        <w:spacing w:after="0" w:line="240" w:lineRule="auto"/>
        <w:rPr>
          <w:sz w:val="16"/>
          <w:szCs w:val="16"/>
        </w:rPr>
      </w:pPr>
      <w:r w:rsidRPr="002270F4">
        <w:rPr>
          <w:rStyle w:val="FootnoteReference"/>
          <w:sz w:val="16"/>
          <w:szCs w:val="16"/>
        </w:rPr>
        <w:footnoteRef/>
      </w:r>
      <w:r w:rsidRPr="002270F4">
        <w:rPr>
          <w:sz w:val="16"/>
          <w:szCs w:val="16"/>
        </w:rPr>
        <w:t xml:space="preserve"> WHO/UNICEF, 2010  Policy requirements for HIV testing and counselling of infants and young children in health facilities</w:t>
      </w:r>
    </w:p>
  </w:footnote>
  <w:footnote w:id="4">
    <w:p w:rsidR="00B247C9" w:rsidRPr="00B639E7" w:rsidRDefault="00B247C9" w:rsidP="0071027C">
      <w:pPr>
        <w:pStyle w:val="FootnoteText"/>
        <w:rPr>
          <w:sz w:val="16"/>
          <w:szCs w:val="16"/>
        </w:rPr>
      </w:pPr>
      <w:r w:rsidRPr="002270F4">
        <w:rPr>
          <w:rStyle w:val="FootnoteReference"/>
          <w:sz w:val="16"/>
          <w:szCs w:val="16"/>
        </w:rPr>
        <w:t xml:space="preserve">3 </w:t>
      </w:r>
      <w:r w:rsidRPr="002270F4">
        <w:rPr>
          <w:sz w:val="16"/>
          <w:szCs w:val="16"/>
        </w:rPr>
        <w:t xml:space="preserve">UNICEF 2010, </w:t>
      </w:r>
      <w:r>
        <w:rPr>
          <w:sz w:val="16"/>
          <w:szCs w:val="16"/>
        </w:rPr>
        <w:t>P</w:t>
      </w:r>
      <w:r w:rsidRPr="002270F4">
        <w:rPr>
          <w:sz w:val="16"/>
          <w:szCs w:val="16"/>
        </w:rPr>
        <w:t>olicy requirements for HIV testing and counselling of infants and young children in health facilities</w:t>
      </w:r>
    </w:p>
  </w:footnote>
  <w:footnote w:id="5">
    <w:p w:rsidR="00B247C9" w:rsidRDefault="00B247C9" w:rsidP="0071027C">
      <w:pPr>
        <w:autoSpaceDE w:val="0"/>
        <w:autoSpaceDN w:val="0"/>
        <w:adjustRightInd w:val="0"/>
        <w:spacing w:after="0" w:line="240" w:lineRule="auto"/>
      </w:pPr>
      <w:r>
        <w:rPr>
          <w:rStyle w:val="FootnoteReference"/>
        </w:rPr>
        <w:footnoteRef/>
      </w:r>
      <w:r>
        <w:rPr>
          <w:rFonts w:ascii="Verdana" w:hAnsi="Verdana"/>
          <w:sz w:val="17"/>
          <w:szCs w:val="17"/>
        </w:rPr>
        <w:t>Inter-Agency Task Team on Young People, 2008</w:t>
      </w:r>
      <w:r>
        <w:t xml:space="preserve">, </w:t>
      </w:r>
      <w:r w:rsidRPr="005A74D1">
        <w:rPr>
          <w:rFonts w:ascii="TradeGothic-Bold" w:hAnsi="TradeGothic-Bold" w:cs="TradeGothic-Bold"/>
          <w:bCs/>
          <w:sz w:val="16"/>
          <w:szCs w:val="16"/>
        </w:rPr>
        <w:t>HIV Interventions for Most-at-Risk Young People</w:t>
      </w:r>
    </w:p>
  </w:footnote>
  <w:footnote w:id="6">
    <w:p w:rsidR="00B247C9" w:rsidRPr="005A3B66" w:rsidRDefault="00B247C9" w:rsidP="0071027C">
      <w:pPr>
        <w:pStyle w:val="FootnoteText"/>
      </w:pPr>
      <w:r w:rsidRPr="005A3B66">
        <w:footnoteRef/>
      </w:r>
      <w:r w:rsidRPr="005A3B66">
        <w:t xml:space="preserve"> Coxswain Social Investment Plus. Situation and Response Analysis Report on SBCC for HIV and `AIDS, TB and STIs in SADC Member States. Unpublished.</w:t>
      </w:r>
    </w:p>
  </w:footnote>
  <w:footnote w:id="7">
    <w:p w:rsidR="00B247C9" w:rsidRDefault="00B247C9">
      <w:pPr>
        <w:pStyle w:val="FootnoteText"/>
      </w:pPr>
      <w:r>
        <w:rPr>
          <w:rStyle w:val="FootnoteReference"/>
        </w:rPr>
        <w:footnoteRef/>
      </w:r>
      <w:r>
        <w:t xml:space="preserve"> Ntuli A, </w:t>
      </w:r>
      <w:r w:rsidRPr="004C3FB9">
        <w:t>What is Social and Behaviour Change Communication?</w:t>
      </w:r>
      <w:r>
        <w:t xml:space="preserve"> </w:t>
      </w:r>
      <w:hyperlink r:id="rId1" w:history="1">
        <w:r w:rsidRPr="005C6D5D">
          <w:rPr>
            <w:rStyle w:val="Hyperlink"/>
            <w:rFonts w:ascii="Arial" w:hAnsi="Arial" w:cs="Arial"/>
            <w:color w:val="0000CC"/>
            <w:sz w:val="16"/>
            <w:szCs w:val="16"/>
          </w:rPr>
          <w:t>http://www.hivsharespace.net/system/files/imce/2013%2010%2030%20_What%20is%20SBCC_final.docx</w:t>
        </w:r>
      </w:hyperlink>
      <w:r w:rsidRPr="005C6D5D">
        <w:rPr>
          <w:rFonts w:ascii="Arial" w:hAnsi="Arial" w:cs="Arial"/>
          <w:color w:val="000000"/>
          <w:sz w:val="16"/>
          <w:szCs w:val="16"/>
          <w:shd w:val="clear" w:color="auto" w:fill="DDDDDD"/>
        </w:rPr>
        <w:t>.</w:t>
      </w:r>
    </w:p>
  </w:footnote>
  <w:footnote w:id="8">
    <w:p w:rsidR="00B247C9" w:rsidRDefault="00B247C9" w:rsidP="0071027C">
      <w:pPr>
        <w:pStyle w:val="FootnoteText"/>
      </w:pPr>
      <w:r>
        <w:rPr>
          <w:rStyle w:val="FootnoteReference"/>
        </w:rPr>
        <w:footnoteRef/>
      </w:r>
      <w:r>
        <w:t xml:space="preserve"> WHO, 2013 Guideline on the use of devices for adult male circumcision for HIV prevention</w:t>
      </w:r>
    </w:p>
  </w:footnote>
  <w:footnote w:id="9">
    <w:p w:rsidR="00B247C9" w:rsidRPr="00011BBE" w:rsidRDefault="00B247C9" w:rsidP="00BE5A5D">
      <w:pPr>
        <w:pStyle w:val="FootnoteText"/>
      </w:pPr>
      <w:r>
        <w:rPr>
          <w:rStyle w:val="FootnoteReference"/>
        </w:rPr>
        <w:footnoteRef/>
      </w:r>
      <w:r>
        <w:t xml:space="preserve"> Achan J et al. antiretroviral agents and prevention of malaria in HIV infected Ugandan Children. New England Journal of Medicine 2012, 367:2110-2118.</w:t>
      </w:r>
    </w:p>
  </w:footnote>
  <w:footnote w:id="10">
    <w:p w:rsidR="00B247C9" w:rsidRPr="00F54F80" w:rsidRDefault="00B247C9" w:rsidP="0071027C">
      <w:pPr>
        <w:autoSpaceDE w:val="0"/>
        <w:autoSpaceDN w:val="0"/>
        <w:adjustRightInd w:val="0"/>
        <w:spacing w:after="0" w:line="240" w:lineRule="auto"/>
        <w:rPr>
          <w:rFonts w:ascii="Times New Roman" w:hAnsi="Times New Roman" w:cs="Times New Roman"/>
          <w:sz w:val="18"/>
          <w:szCs w:val="18"/>
        </w:rPr>
      </w:pPr>
      <w:r w:rsidRPr="00F54F80">
        <w:rPr>
          <w:rStyle w:val="FootnoteReference"/>
          <w:rFonts w:ascii="Times New Roman" w:hAnsi="Times New Roman" w:cs="Times New Roman"/>
          <w:sz w:val="18"/>
          <w:szCs w:val="18"/>
        </w:rPr>
        <w:footnoteRef/>
      </w:r>
      <w:r w:rsidRPr="00F54F80">
        <w:rPr>
          <w:rFonts w:ascii="Times New Roman" w:hAnsi="Times New Roman" w:cs="Times New Roman"/>
          <w:bCs/>
          <w:sz w:val="18"/>
          <w:szCs w:val="18"/>
        </w:rPr>
        <w:t xml:space="preserve"> Manual for the Management of</w:t>
      </w:r>
      <w:r>
        <w:rPr>
          <w:rFonts w:ascii="Times New Roman" w:hAnsi="Times New Roman" w:cs="Times New Roman"/>
          <w:bCs/>
          <w:sz w:val="18"/>
          <w:szCs w:val="18"/>
        </w:rPr>
        <w:t xml:space="preserve"> </w:t>
      </w:r>
      <w:r w:rsidRPr="00F54F80">
        <w:rPr>
          <w:rFonts w:ascii="Times New Roman" w:hAnsi="Times New Roman" w:cs="Times New Roman"/>
          <w:bCs/>
          <w:sz w:val="18"/>
          <w:szCs w:val="18"/>
        </w:rPr>
        <w:t>Tuberculosis and Leprosy, sixth edition, 2013</w:t>
      </w:r>
    </w:p>
  </w:footnote>
  <w:footnote w:id="11">
    <w:p w:rsidR="00B247C9" w:rsidRPr="00F54F80" w:rsidRDefault="00B247C9">
      <w:pPr>
        <w:pStyle w:val="FootnoteText"/>
        <w:rPr>
          <w:rFonts w:ascii="Times New Roman" w:hAnsi="Times New Roman" w:cs="Times New Roman"/>
          <w:sz w:val="18"/>
          <w:szCs w:val="18"/>
        </w:rPr>
      </w:pPr>
      <w:r w:rsidRPr="00F54F80">
        <w:rPr>
          <w:rStyle w:val="FootnoteReference"/>
          <w:rFonts w:ascii="Times New Roman" w:hAnsi="Times New Roman" w:cs="Times New Roman"/>
          <w:sz w:val="18"/>
          <w:szCs w:val="18"/>
        </w:rPr>
        <w:footnoteRef/>
      </w:r>
      <w:r w:rsidRPr="00F54F80">
        <w:rPr>
          <w:rFonts w:ascii="Times New Roman" w:hAnsi="Times New Roman" w:cs="Times New Roman"/>
          <w:sz w:val="18"/>
          <w:szCs w:val="18"/>
        </w:rPr>
        <w:t xml:space="preserve"> WHO  Global TB Report 2013</w:t>
      </w:r>
    </w:p>
  </w:footnote>
  <w:footnote w:id="12">
    <w:p w:rsidR="00B247C9" w:rsidRPr="00F54F80" w:rsidRDefault="00B247C9">
      <w:pPr>
        <w:pStyle w:val="FootnoteText"/>
        <w:rPr>
          <w:rFonts w:ascii="Times New Roman" w:hAnsi="Times New Roman" w:cs="Times New Roman"/>
          <w:sz w:val="18"/>
          <w:szCs w:val="18"/>
        </w:rPr>
      </w:pPr>
      <w:r w:rsidRPr="00F54F80">
        <w:rPr>
          <w:rStyle w:val="FootnoteReference"/>
          <w:rFonts w:ascii="Times New Roman" w:hAnsi="Times New Roman" w:cs="Times New Roman"/>
          <w:sz w:val="18"/>
          <w:szCs w:val="18"/>
        </w:rPr>
        <w:footnoteRef/>
      </w:r>
      <w:r w:rsidRPr="00F54F80">
        <w:rPr>
          <w:rFonts w:ascii="Times New Roman" w:hAnsi="Times New Roman" w:cs="Times New Roman"/>
          <w:sz w:val="18"/>
          <w:szCs w:val="18"/>
        </w:rPr>
        <w:t xml:space="preserve"> WHO Country Cooperation Strategy at glance: Tanzania Updated May 2013</w:t>
      </w:r>
    </w:p>
  </w:footnote>
  <w:footnote w:id="13">
    <w:p w:rsidR="00B247C9" w:rsidRDefault="00B247C9">
      <w:pPr>
        <w:pStyle w:val="FootnoteText"/>
      </w:pPr>
      <w:r w:rsidRPr="00F54F80">
        <w:rPr>
          <w:rStyle w:val="FootnoteReference"/>
          <w:rFonts w:ascii="Times New Roman" w:hAnsi="Times New Roman" w:cs="Times New Roman"/>
          <w:sz w:val="18"/>
          <w:szCs w:val="18"/>
        </w:rPr>
        <w:footnoteRef/>
      </w:r>
      <w:r w:rsidRPr="00F54F80">
        <w:rPr>
          <w:rFonts w:ascii="Times New Roman" w:hAnsi="Times New Roman" w:cs="Times New Roman"/>
          <w:sz w:val="18"/>
          <w:szCs w:val="18"/>
        </w:rPr>
        <w:t xml:space="preserve"> NTLP Annual reports 2009 - 2012</w:t>
      </w:r>
    </w:p>
  </w:footnote>
  <w:footnote w:id="14">
    <w:p w:rsidR="00B247C9" w:rsidRDefault="00B247C9">
      <w:pPr>
        <w:pStyle w:val="FootnoteText"/>
      </w:pPr>
      <w:r>
        <w:rPr>
          <w:rStyle w:val="FootnoteReference"/>
        </w:rPr>
        <w:footnoteRef/>
      </w:r>
      <w:r>
        <w:t xml:space="preserve"> 2012 NTLP Annual report</w:t>
      </w:r>
    </w:p>
  </w:footnote>
  <w:footnote w:id="15">
    <w:p w:rsidR="00B247C9" w:rsidRDefault="00B247C9" w:rsidP="0071027C">
      <w:pPr>
        <w:pStyle w:val="FootnoteText"/>
      </w:pPr>
      <w:r>
        <w:rPr>
          <w:rStyle w:val="FootnoteReference"/>
        </w:rPr>
        <w:footnoteRef/>
      </w:r>
      <w:r w:rsidRPr="00CE2988">
        <w:rPr>
          <w:rFonts w:ascii="Times New Roman" w:hAnsi="Times New Roman" w:cs="Times New Roman"/>
          <w:sz w:val="18"/>
          <w:szCs w:val="18"/>
          <w:lang w:eastAsia="it-IT"/>
        </w:rPr>
        <w:t>Guidelines for Tuberculosis Infection Control in health care facilities, MOHSW Tanzania,2010</w:t>
      </w:r>
    </w:p>
  </w:footnote>
  <w:footnote w:id="16">
    <w:p w:rsidR="00B247C9" w:rsidRDefault="00B247C9" w:rsidP="0071027C">
      <w:pPr>
        <w:pStyle w:val="NormalWeb"/>
        <w:rPr>
          <w:rFonts w:ascii="Arial" w:hAnsi="Arial" w:cs="Arial"/>
          <w:color w:val="000000"/>
          <w:sz w:val="17"/>
          <w:szCs w:val="17"/>
        </w:rPr>
      </w:pPr>
      <w:r>
        <w:rPr>
          <w:rStyle w:val="FootnoteReference"/>
        </w:rPr>
        <w:footnoteRef/>
      </w:r>
      <w:r>
        <w:t xml:space="preserve"> </w:t>
      </w:r>
      <w:r>
        <w:rPr>
          <w:rFonts w:ascii="Arial" w:hAnsi="Arial" w:cs="Arial"/>
          <w:color w:val="000000"/>
          <w:sz w:val="17"/>
          <w:szCs w:val="17"/>
        </w:rPr>
        <w:t xml:space="preserve">UNAIDS/The World Bank, 2006 </w:t>
      </w:r>
      <w:r w:rsidRPr="00A13125">
        <w:rPr>
          <w:rFonts w:ascii="Arial" w:hAnsi="Arial" w:cs="Arial"/>
          <w:color w:val="000000"/>
          <w:sz w:val="17"/>
          <w:szCs w:val="17"/>
        </w:rPr>
        <w:t>HIV/AIDS M&amp;E – Getting Results: Eleven components of a fully functional HIV M&amp;E System</w:t>
      </w:r>
    </w:p>
    <w:p w:rsidR="00B247C9" w:rsidRDefault="00B247C9" w:rsidP="0071027C">
      <w:pPr>
        <w:pStyle w:val="NormalWeb"/>
        <w:rPr>
          <w:rFonts w:ascii="Arial" w:hAnsi="Arial" w:cs="Arial"/>
          <w:color w:val="000000"/>
          <w:sz w:val="17"/>
          <w:szCs w:val="17"/>
        </w:rPr>
      </w:pPr>
    </w:p>
    <w:p w:rsidR="00B247C9" w:rsidRDefault="00B247C9">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7C9" w:rsidRDefault="00B247C9">
    <w:pPr>
      <w:spacing w:after="0" w:line="0" w:lineRule="atLeast"/>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7C9" w:rsidRDefault="00B247C9">
    <w:pPr>
      <w:spacing w:after="0"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7C9" w:rsidRDefault="00AA771C">
    <w:pPr>
      <w:spacing w:after="0" w:line="200" w:lineRule="exact"/>
      <w:rPr>
        <w:sz w:val="20"/>
        <w:szCs w:val="20"/>
      </w:rPr>
    </w:pPr>
    <w:r>
      <w:rPr>
        <w:noProof/>
      </w:rPr>
      <mc:AlternateContent>
        <mc:Choice Requires="wpg">
          <w:drawing>
            <wp:anchor distT="0" distB="0" distL="114300" distR="114300" simplePos="0" relativeHeight="251660288" behindDoc="1" locked="0" layoutInCell="1" allowOverlap="1">
              <wp:simplePos x="0" y="0"/>
              <wp:positionH relativeFrom="page">
                <wp:posOffset>7827010</wp:posOffset>
              </wp:positionH>
              <wp:positionV relativeFrom="page">
                <wp:posOffset>0</wp:posOffset>
              </wp:positionV>
              <wp:extent cx="1270" cy="190500"/>
              <wp:effectExtent l="0" t="0" r="17780" b="1905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12326" y="0"/>
                        <a:chExt cx="2" cy="300"/>
                      </a:xfrm>
                    </wpg:grpSpPr>
                    <wps:wsp>
                      <wps:cNvPr id="16" name="Freeform 16"/>
                      <wps:cNvSpPr>
                        <a:spLocks/>
                      </wps:cNvSpPr>
                      <wps:spPr bwMode="auto">
                        <a:xfrm>
                          <a:off x="12326"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616.3pt;margin-top:0;width:.1pt;height:15pt;z-index:-251656192;mso-position-horizontal-relative:page;mso-position-vertical-relative:page" coordorigin="12326"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">
              <v:shape id="Freeform 16" o:spid="_x0000_s1027" style="position:absolute;left:12326;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Px8EA&#10;AADbAAAADwAAAGRycy9kb3ducmV2LnhtbERPTYvCMBC9L/gfwgh7WTTdPRSpRhFR2EMvbRe8Ds3Y&#10;FJtJaWJb/71ZWNjbPN7n7A6z7cRIg28dK/hcJyCIa6dbbhT8VJfVBoQPyBo7x6TgSR4O+8XbDjPt&#10;Ji5oLEMjYgj7DBWYEPpMSl8bsujXrieO3M0NFkOEQyP1gFMMt538SpJUWmw5Nhjs6WSovpcPq6CQ&#10;c/5Rmd6exzBdi3qT5LfHXan35Xzcggg0h3/xn/tbx/kp/P4SD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ND8fBAAAA2wAAAA8AAAAAAAAAAAAAAAAAmAIAAGRycy9kb3du&#10;cmV2LnhtbFBLBQYAAAAABAAEAPUAAACGAwAAAAA=&#10;" path="m,300l,e" filled="f" strokeweight=".25pt">
                <v:path arrowok="t" o:connecttype="custom" o:connectlocs="0,300;0,0" o:connectangles="0,0"/>
              </v:shape>
              <w10:wrap anchorx="page" anchory="page"/>
            </v:group>
          </w:pict>
        </mc:Fallback>
      </mc:AlternateContent>
    </w:r>
    <w:r>
      <w:rPr>
        <w:noProof/>
      </w:rPr>
      <mc:AlternateContent>
        <mc:Choice Requires="wpg">
          <w:drawing>
            <wp:anchor distT="0" distB="0" distL="114300" distR="114300" simplePos="0" relativeHeight="251658240" behindDoc="1" locked="0" layoutInCell="1" allowOverlap="1">
              <wp:simplePos x="0" y="0"/>
              <wp:positionH relativeFrom="page">
                <wp:posOffset>7903210</wp:posOffset>
              </wp:positionH>
              <wp:positionV relativeFrom="page">
                <wp:posOffset>266700</wp:posOffset>
              </wp:positionV>
              <wp:extent cx="190500" cy="1270"/>
              <wp:effectExtent l="0" t="0" r="19050" b="1778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2446" y="420"/>
                        <a:chExt cx="300" cy="2"/>
                      </a:xfrm>
                    </wpg:grpSpPr>
                    <wps:wsp>
                      <wps:cNvPr id="12" name="Freeform 12"/>
                      <wps:cNvSpPr>
                        <a:spLocks/>
                      </wps:cNvSpPr>
                      <wps:spPr bwMode="auto">
                        <a:xfrm>
                          <a:off x="12446" y="420"/>
                          <a:ext cx="300" cy="2"/>
                        </a:xfrm>
                        <a:custGeom>
                          <a:avLst/>
                          <a:gdLst>
                            <a:gd name="T0" fmla="+- 0 12446 12446"/>
                            <a:gd name="T1" fmla="*/ T0 w 300"/>
                            <a:gd name="T2" fmla="+- 0 12746 12446"/>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622.3pt;margin-top:21pt;width:15pt;height:.1pt;z-index:-251658240;mso-position-horizontal-relative:page;mso-position-vertical-relative:page" coordorigin="12446,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">
              <v:shape id="Freeform 12" o:spid="_x0000_s1027" style="position:absolute;left:12446;top:420;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p78EA&#10;AADbAAAADwAAAGRycy9kb3ducmV2LnhtbERPTWvCQBC9C/6HZYTe6sYo2kZXsYXS6EHQ1vuQHZNg&#10;djbsbjX+e1coeJvH+5zFqjONuJDztWUFo2ECgriwuuZSwe/P1+sbCB+QNTaWScGNPKyW/d4CM22v&#10;vKfLIZQihrDPUEEVQptJ6YuKDPqhbYkjd7LOYIjQlVI7vMZw08g0SabSYM2xocKWPisqzoc/o2C3&#10;Y+fwNE5H3+Z9vJ19TI75JlfqZdCt5yACdeEp/nfnOs5P4fFLPE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Sqe/BAAAA2wAAAA8AAAAAAAAAAAAAAAAAmAIAAGRycy9kb3du&#10;cmV2LnhtbFBLBQYAAAAABAAEAPUAAACGAwAAAAA=&#10;" path="m,l300,e" filled="f" strokeweight=".25pt">
                <v:path arrowok="t" o:connecttype="custom" o:connectlocs="0,0;300,0" o:connectangles="0,0"/>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7C9" w:rsidRDefault="00B247C9">
    <w:pPr>
      <w:spacing w:after="0" w:line="0" w:lineRule="atLeast"/>
      <w:rPr>
        <w:sz w:val="0"/>
        <w:szCs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7C9" w:rsidRDefault="00B247C9">
    <w:pPr>
      <w:spacing w:after="0" w:line="0" w:lineRule="atLeast"/>
      <w:rPr>
        <w:sz w:val="0"/>
        <w:szCs w:val="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7C9" w:rsidRDefault="00B247C9">
    <w:pPr>
      <w:spacing w:after="0" w:line="0" w:lineRule="atLeast"/>
      <w:rPr>
        <w:sz w:val="0"/>
        <w:szCs w:val="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7C9" w:rsidRDefault="00B247C9">
    <w:pPr>
      <w:spacing w:after="0" w:line="0" w:lineRule="atLeast"/>
      <w:rPr>
        <w:sz w:val="0"/>
        <w:szCs w:val="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7C9" w:rsidRDefault="00B247C9">
    <w:pPr>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2CD1"/>
    <w:multiLevelType w:val="hybridMultilevel"/>
    <w:tmpl w:val="2FB22BF4"/>
    <w:lvl w:ilvl="0" w:tplc="04090001">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43E6E05"/>
    <w:multiLevelType w:val="hybridMultilevel"/>
    <w:tmpl w:val="2C1EF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8C0F87"/>
    <w:multiLevelType w:val="hybridMultilevel"/>
    <w:tmpl w:val="A3AED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F5479C"/>
    <w:multiLevelType w:val="hybridMultilevel"/>
    <w:tmpl w:val="C192B9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0C18A0"/>
    <w:multiLevelType w:val="multilevel"/>
    <w:tmpl w:val="CAA2558A"/>
    <w:lvl w:ilvl="0">
      <w:start w:val="1"/>
      <w:numFmt w:val="bullet"/>
      <w:lvlText w:val=""/>
      <w:lvlJc w:val="left"/>
      <w:pPr>
        <w:tabs>
          <w:tab w:val="num" w:pos="288"/>
        </w:tabs>
        <w:ind w:left="288" w:hanging="288"/>
      </w:pPr>
      <w:rPr>
        <w:rFonts w:ascii="Wingdings" w:hAnsi="Wingdings" w:hint="default"/>
        <w:b w:val="0"/>
        <w:i w:val="0"/>
        <w:color w:val="auto"/>
        <w:sz w:val="22"/>
        <w:u w:val="none"/>
      </w:rPr>
    </w:lvl>
    <w:lvl w:ilvl="1">
      <w:start w:val="1"/>
      <w:numFmt w:val="bullet"/>
      <w:lvlText w:val=""/>
      <w:lvlJc w:val="left"/>
      <w:pPr>
        <w:tabs>
          <w:tab w:val="num" w:pos="576"/>
        </w:tabs>
        <w:ind w:left="576" w:hanging="288"/>
      </w:pPr>
      <w:rPr>
        <w:rFonts w:ascii="Symbol" w:hAnsi="Symbol" w:hint="default"/>
        <w:b w:val="0"/>
        <w:i w:val="0"/>
        <w:color w:val="auto"/>
        <w:sz w:val="22"/>
        <w:u w:val="none"/>
      </w:rPr>
    </w:lvl>
    <w:lvl w:ilvl="2">
      <w:start w:val="1"/>
      <w:numFmt w:val="bullet"/>
      <w:lvlText w:val=""/>
      <w:lvlJc w:val="left"/>
      <w:pPr>
        <w:tabs>
          <w:tab w:val="num" w:pos="864"/>
        </w:tabs>
        <w:ind w:left="864" w:hanging="288"/>
      </w:pPr>
      <w:rPr>
        <w:rFonts w:ascii="Symbol" w:hAnsi="Symbol" w:hint="default"/>
        <w:b w:val="0"/>
        <w:i w:val="0"/>
        <w:color w:val="auto"/>
        <w:sz w:val="22"/>
        <w:u w:val="none"/>
      </w:rPr>
    </w:lvl>
    <w:lvl w:ilvl="3">
      <w:start w:val="1"/>
      <w:numFmt w:val="bullet"/>
      <w:lvlText w:val=""/>
      <w:lvlJc w:val="left"/>
      <w:pPr>
        <w:tabs>
          <w:tab w:val="num" w:pos="2115"/>
        </w:tabs>
        <w:ind w:left="2115" w:hanging="360"/>
      </w:pPr>
      <w:rPr>
        <w:rFonts w:ascii="Symbol" w:hAnsi="Symbol" w:hint="default"/>
      </w:rPr>
    </w:lvl>
    <w:lvl w:ilvl="4">
      <w:start w:val="1"/>
      <w:numFmt w:val="bullet"/>
      <w:lvlText w:val="o"/>
      <w:lvlJc w:val="left"/>
      <w:pPr>
        <w:tabs>
          <w:tab w:val="num" w:pos="2835"/>
        </w:tabs>
        <w:ind w:left="2835" w:hanging="360"/>
      </w:pPr>
      <w:rPr>
        <w:rFonts w:ascii="Courier New" w:hAnsi="Courier New" w:cs="Courier New" w:hint="default"/>
      </w:rPr>
    </w:lvl>
    <w:lvl w:ilvl="5">
      <w:start w:val="1"/>
      <w:numFmt w:val="bullet"/>
      <w:lvlText w:val=""/>
      <w:lvlJc w:val="left"/>
      <w:pPr>
        <w:tabs>
          <w:tab w:val="num" w:pos="3555"/>
        </w:tabs>
        <w:ind w:left="3555" w:hanging="360"/>
      </w:pPr>
      <w:rPr>
        <w:rFonts w:ascii="Wingdings" w:hAnsi="Wingdings" w:hint="default"/>
      </w:rPr>
    </w:lvl>
    <w:lvl w:ilvl="6">
      <w:start w:val="1"/>
      <w:numFmt w:val="bullet"/>
      <w:lvlText w:val=""/>
      <w:lvlJc w:val="left"/>
      <w:pPr>
        <w:tabs>
          <w:tab w:val="num" w:pos="4275"/>
        </w:tabs>
        <w:ind w:left="4275" w:hanging="360"/>
      </w:pPr>
      <w:rPr>
        <w:rFonts w:ascii="Symbol" w:hAnsi="Symbol" w:hint="default"/>
      </w:rPr>
    </w:lvl>
    <w:lvl w:ilvl="7">
      <w:start w:val="1"/>
      <w:numFmt w:val="bullet"/>
      <w:lvlText w:val="o"/>
      <w:lvlJc w:val="left"/>
      <w:pPr>
        <w:tabs>
          <w:tab w:val="num" w:pos="4995"/>
        </w:tabs>
        <w:ind w:left="4995" w:hanging="360"/>
      </w:pPr>
      <w:rPr>
        <w:rFonts w:ascii="Courier New" w:hAnsi="Courier New" w:cs="Courier New" w:hint="default"/>
      </w:rPr>
    </w:lvl>
    <w:lvl w:ilvl="8">
      <w:start w:val="1"/>
      <w:numFmt w:val="bullet"/>
      <w:lvlText w:val=""/>
      <w:lvlJc w:val="left"/>
      <w:pPr>
        <w:tabs>
          <w:tab w:val="num" w:pos="5715"/>
        </w:tabs>
        <w:ind w:left="5715" w:hanging="360"/>
      </w:pPr>
      <w:rPr>
        <w:rFonts w:ascii="Wingdings" w:hAnsi="Wingdings" w:hint="default"/>
      </w:rPr>
    </w:lvl>
  </w:abstractNum>
  <w:abstractNum w:abstractNumId="5">
    <w:nsid w:val="06355131"/>
    <w:multiLevelType w:val="hybridMultilevel"/>
    <w:tmpl w:val="33AA77E4"/>
    <w:lvl w:ilvl="0" w:tplc="04090005">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
    <w:nsid w:val="06E81F58"/>
    <w:multiLevelType w:val="hybridMultilevel"/>
    <w:tmpl w:val="5FE2EF3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8F31485"/>
    <w:multiLevelType w:val="hybridMultilevel"/>
    <w:tmpl w:val="C24EA84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091522AF"/>
    <w:multiLevelType w:val="hybridMultilevel"/>
    <w:tmpl w:val="B7FE1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F409AD"/>
    <w:multiLevelType w:val="hybridMultilevel"/>
    <w:tmpl w:val="DED66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A21B5E"/>
    <w:multiLevelType w:val="hybridMultilevel"/>
    <w:tmpl w:val="238E7DEC"/>
    <w:lvl w:ilvl="0" w:tplc="B1E2B562">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FD36B1"/>
    <w:multiLevelType w:val="hybridMultilevel"/>
    <w:tmpl w:val="D8F27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91204C"/>
    <w:multiLevelType w:val="hybridMultilevel"/>
    <w:tmpl w:val="730AA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EC4E9D"/>
    <w:multiLevelType w:val="hybridMultilevel"/>
    <w:tmpl w:val="6068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1143E9"/>
    <w:multiLevelType w:val="hybridMultilevel"/>
    <w:tmpl w:val="2AC8A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39434D"/>
    <w:multiLevelType w:val="hybridMultilevel"/>
    <w:tmpl w:val="D4B6D256"/>
    <w:lvl w:ilvl="0" w:tplc="94BC881C">
      <w:start w:val="1"/>
      <w:numFmt w:val="lowerRoman"/>
      <w:lvlText w:val="(%1)"/>
      <w:lvlJc w:val="left"/>
      <w:pPr>
        <w:ind w:left="1500" w:hanging="720"/>
      </w:pPr>
      <w:rPr>
        <w:rFonts w:hint="default"/>
      </w:rPr>
    </w:lvl>
    <w:lvl w:ilvl="1" w:tplc="04090003">
      <w:start w:val="1"/>
      <w:numFmt w:val="decimal"/>
      <w:lvlText w:val="%2."/>
      <w:lvlJc w:val="left"/>
      <w:pPr>
        <w:ind w:left="1860" w:hanging="360"/>
      </w:pPr>
      <w:rPr>
        <w:rFonts w:hint="default"/>
      </w:rPr>
    </w:lvl>
    <w:lvl w:ilvl="2" w:tplc="04090005" w:tentative="1">
      <w:start w:val="1"/>
      <w:numFmt w:val="lowerRoman"/>
      <w:lvlText w:val="%3."/>
      <w:lvlJc w:val="right"/>
      <w:pPr>
        <w:ind w:left="2580" w:hanging="180"/>
      </w:pPr>
    </w:lvl>
    <w:lvl w:ilvl="3" w:tplc="04090001" w:tentative="1">
      <w:start w:val="1"/>
      <w:numFmt w:val="decimal"/>
      <w:lvlText w:val="%4."/>
      <w:lvlJc w:val="left"/>
      <w:pPr>
        <w:ind w:left="3300" w:hanging="360"/>
      </w:pPr>
    </w:lvl>
    <w:lvl w:ilvl="4" w:tplc="04090003" w:tentative="1">
      <w:start w:val="1"/>
      <w:numFmt w:val="lowerLetter"/>
      <w:lvlText w:val="%5."/>
      <w:lvlJc w:val="left"/>
      <w:pPr>
        <w:ind w:left="4020" w:hanging="360"/>
      </w:pPr>
    </w:lvl>
    <w:lvl w:ilvl="5" w:tplc="04090005" w:tentative="1">
      <w:start w:val="1"/>
      <w:numFmt w:val="lowerRoman"/>
      <w:lvlText w:val="%6."/>
      <w:lvlJc w:val="right"/>
      <w:pPr>
        <w:ind w:left="4740" w:hanging="180"/>
      </w:pPr>
    </w:lvl>
    <w:lvl w:ilvl="6" w:tplc="04090001" w:tentative="1">
      <w:start w:val="1"/>
      <w:numFmt w:val="decimal"/>
      <w:lvlText w:val="%7."/>
      <w:lvlJc w:val="left"/>
      <w:pPr>
        <w:ind w:left="5460" w:hanging="360"/>
      </w:pPr>
    </w:lvl>
    <w:lvl w:ilvl="7" w:tplc="04090003" w:tentative="1">
      <w:start w:val="1"/>
      <w:numFmt w:val="lowerLetter"/>
      <w:lvlText w:val="%8."/>
      <w:lvlJc w:val="left"/>
      <w:pPr>
        <w:ind w:left="6180" w:hanging="360"/>
      </w:pPr>
    </w:lvl>
    <w:lvl w:ilvl="8" w:tplc="04090005" w:tentative="1">
      <w:start w:val="1"/>
      <w:numFmt w:val="lowerRoman"/>
      <w:lvlText w:val="%9."/>
      <w:lvlJc w:val="right"/>
      <w:pPr>
        <w:ind w:left="6900" w:hanging="180"/>
      </w:pPr>
    </w:lvl>
  </w:abstractNum>
  <w:abstractNum w:abstractNumId="16">
    <w:nsid w:val="0EA17B83"/>
    <w:multiLevelType w:val="hybridMultilevel"/>
    <w:tmpl w:val="1292BBB0"/>
    <w:lvl w:ilvl="0" w:tplc="5A0E2FCE">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41F0F3E4">
      <w:start w:val="1"/>
      <w:numFmt w:val="bullet"/>
      <w:lvlText w:val=""/>
      <w:lvlJc w:val="left"/>
      <w:pPr>
        <w:tabs>
          <w:tab w:val="num" w:pos="2160"/>
        </w:tabs>
        <w:ind w:left="2160" w:hanging="360"/>
      </w:pPr>
      <w:rPr>
        <w:rFonts w:ascii="Wingdings" w:hAnsi="Wingdings" w:hint="default"/>
      </w:rPr>
    </w:lvl>
    <w:lvl w:ilvl="3" w:tplc="34C6DAB2">
      <w:start w:val="1"/>
      <w:numFmt w:val="decimal"/>
      <w:lvlText w:val="%4."/>
      <w:lvlJc w:val="left"/>
      <w:pPr>
        <w:tabs>
          <w:tab w:val="num" w:pos="2880"/>
        </w:tabs>
        <w:ind w:left="2880" w:hanging="360"/>
      </w:pPr>
    </w:lvl>
    <w:lvl w:ilvl="4" w:tplc="76EA56C4">
      <w:start w:val="1"/>
      <w:numFmt w:val="decimal"/>
      <w:lvlText w:val="%5."/>
      <w:lvlJc w:val="left"/>
      <w:pPr>
        <w:tabs>
          <w:tab w:val="num" w:pos="3600"/>
        </w:tabs>
        <w:ind w:left="3600" w:hanging="360"/>
      </w:pPr>
    </w:lvl>
    <w:lvl w:ilvl="5" w:tplc="1B96AA98">
      <w:start w:val="1"/>
      <w:numFmt w:val="decimal"/>
      <w:lvlText w:val="%6."/>
      <w:lvlJc w:val="left"/>
      <w:pPr>
        <w:tabs>
          <w:tab w:val="num" w:pos="4320"/>
        </w:tabs>
        <w:ind w:left="4320" w:hanging="360"/>
      </w:pPr>
    </w:lvl>
    <w:lvl w:ilvl="6" w:tplc="27CAFD84">
      <w:start w:val="1"/>
      <w:numFmt w:val="decimal"/>
      <w:lvlText w:val="%7."/>
      <w:lvlJc w:val="left"/>
      <w:pPr>
        <w:tabs>
          <w:tab w:val="num" w:pos="5040"/>
        </w:tabs>
        <w:ind w:left="5040" w:hanging="360"/>
      </w:pPr>
    </w:lvl>
    <w:lvl w:ilvl="7" w:tplc="355A2E62">
      <w:start w:val="1"/>
      <w:numFmt w:val="decimal"/>
      <w:lvlText w:val="%8."/>
      <w:lvlJc w:val="left"/>
      <w:pPr>
        <w:tabs>
          <w:tab w:val="num" w:pos="5760"/>
        </w:tabs>
        <w:ind w:left="5760" w:hanging="360"/>
      </w:pPr>
    </w:lvl>
    <w:lvl w:ilvl="8" w:tplc="C1B4C106">
      <w:start w:val="1"/>
      <w:numFmt w:val="decimal"/>
      <w:lvlText w:val="%9."/>
      <w:lvlJc w:val="left"/>
      <w:pPr>
        <w:tabs>
          <w:tab w:val="num" w:pos="6480"/>
        </w:tabs>
        <w:ind w:left="6480" w:hanging="360"/>
      </w:pPr>
    </w:lvl>
  </w:abstractNum>
  <w:abstractNum w:abstractNumId="17">
    <w:nsid w:val="0EDD6749"/>
    <w:multiLevelType w:val="hybridMultilevel"/>
    <w:tmpl w:val="66DA1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AB7521"/>
    <w:multiLevelType w:val="hybridMultilevel"/>
    <w:tmpl w:val="A9EA0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E1101D"/>
    <w:multiLevelType w:val="hybridMultilevel"/>
    <w:tmpl w:val="AA9E0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8D067A"/>
    <w:multiLevelType w:val="hybridMultilevel"/>
    <w:tmpl w:val="64F8E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49C58C9"/>
    <w:multiLevelType w:val="hybridMultilevel"/>
    <w:tmpl w:val="90905348"/>
    <w:lvl w:ilvl="0" w:tplc="6BF06FDC">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6DF1BC3"/>
    <w:multiLevelType w:val="hybridMultilevel"/>
    <w:tmpl w:val="7980A34E"/>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7140C3B"/>
    <w:multiLevelType w:val="hybridMultilevel"/>
    <w:tmpl w:val="E01A04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923009A"/>
    <w:multiLevelType w:val="hybridMultilevel"/>
    <w:tmpl w:val="6F6624C0"/>
    <w:lvl w:ilvl="0" w:tplc="55DEBE40">
      <w:numFmt w:val="bullet"/>
      <w:lvlText w:val="•"/>
      <w:lvlJc w:val="left"/>
      <w:pPr>
        <w:ind w:left="720" w:hanging="360"/>
      </w:pPr>
      <w:rPr>
        <w:rFonts w:ascii="Palatino Linotype" w:eastAsia="Calibri" w:hAnsi="Palatino Linotyp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6F6C4E"/>
    <w:multiLevelType w:val="hybridMultilevel"/>
    <w:tmpl w:val="63541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9964F3F"/>
    <w:multiLevelType w:val="hybridMultilevel"/>
    <w:tmpl w:val="E9228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C854E5F"/>
    <w:multiLevelType w:val="hybridMultilevel"/>
    <w:tmpl w:val="D3087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F595C72"/>
    <w:multiLevelType w:val="hybridMultilevel"/>
    <w:tmpl w:val="9BFED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F9F54E1"/>
    <w:multiLevelType w:val="hybridMultilevel"/>
    <w:tmpl w:val="15DC14EE"/>
    <w:lvl w:ilvl="0" w:tplc="0409000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B35E20"/>
    <w:multiLevelType w:val="hybridMultilevel"/>
    <w:tmpl w:val="7A92B5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0D660D3"/>
    <w:multiLevelType w:val="hybridMultilevel"/>
    <w:tmpl w:val="C166F6A0"/>
    <w:lvl w:ilvl="0" w:tplc="04090001">
      <w:start w:val="1"/>
      <w:numFmt w:val="bullet"/>
      <w:lvlText w:val=""/>
      <w:lvlJc w:val="left"/>
      <w:pPr>
        <w:ind w:left="360" w:hanging="360"/>
      </w:pPr>
      <w:rPr>
        <w:rFonts w:ascii="Symbol" w:hAnsi="Symbol" w:hint="default"/>
      </w:rPr>
    </w:lvl>
    <w:lvl w:ilvl="1" w:tplc="20245C24">
      <w:numFmt w:val="bullet"/>
      <w:lvlText w:val="•"/>
      <w:lvlJc w:val="left"/>
      <w:pPr>
        <w:ind w:left="1080" w:hanging="360"/>
      </w:pPr>
      <w:rPr>
        <w:rFonts w:ascii="Palatino Linotype" w:eastAsia="Calibri" w:hAnsi="Palatino Linotype"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2C63E6C"/>
    <w:multiLevelType w:val="hybridMultilevel"/>
    <w:tmpl w:val="521C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4446F34"/>
    <w:multiLevelType w:val="hybridMultilevel"/>
    <w:tmpl w:val="309AF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50A2732"/>
    <w:multiLevelType w:val="hybridMultilevel"/>
    <w:tmpl w:val="B5224F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61A760A"/>
    <w:multiLevelType w:val="hybridMultilevel"/>
    <w:tmpl w:val="3A3437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8713677"/>
    <w:multiLevelType w:val="hybridMultilevel"/>
    <w:tmpl w:val="408248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28CB1F0B"/>
    <w:multiLevelType w:val="hybridMultilevel"/>
    <w:tmpl w:val="1DFA8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AF65388"/>
    <w:multiLevelType w:val="hybridMultilevel"/>
    <w:tmpl w:val="C0CE1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CEC22A7"/>
    <w:multiLevelType w:val="hybridMultilevel"/>
    <w:tmpl w:val="3544D4AC"/>
    <w:lvl w:ilvl="0" w:tplc="E67A9DAC">
      <w:start w:val="1"/>
      <w:numFmt w:val="decimal"/>
      <w:lvlText w:val="%1."/>
      <w:lvlJc w:val="left"/>
      <w:pPr>
        <w:tabs>
          <w:tab w:val="num" w:pos="360"/>
        </w:tabs>
        <w:ind w:left="360" w:hanging="360"/>
      </w:p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40">
    <w:nsid w:val="2E3C5DDE"/>
    <w:multiLevelType w:val="hybridMultilevel"/>
    <w:tmpl w:val="9F308398"/>
    <w:lvl w:ilvl="0" w:tplc="04090001">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2E3D1911"/>
    <w:multiLevelType w:val="hybridMultilevel"/>
    <w:tmpl w:val="AD54233A"/>
    <w:lvl w:ilvl="0" w:tplc="94BC881C">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42">
    <w:nsid w:val="2E8D2330"/>
    <w:multiLevelType w:val="hybridMultilevel"/>
    <w:tmpl w:val="78F6E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B50911"/>
    <w:multiLevelType w:val="hybridMultilevel"/>
    <w:tmpl w:val="2796F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EBD4946"/>
    <w:multiLevelType w:val="hybridMultilevel"/>
    <w:tmpl w:val="A25C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2080D01"/>
    <w:multiLevelType w:val="hybridMultilevel"/>
    <w:tmpl w:val="32545206"/>
    <w:lvl w:ilvl="0" w:tplc="55DEBE40">
      <w:numFmt w:val="bullet"/>
      <w:lvlText w:val="•"/>
      <w:lvlJc w:val="left"/>
      <w:pPr>
        <w:ind w:left="720" w:hanging="360"/>
      </w:pPr>
      <w:rPr>
        <w:rFonts w:ascii="Palatino Linotype" w:eastAsia="Calibri" w:hAnsi="Palatino Linotype"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3D238F8"/>
    <w:multiLevelType w:val="hybridMultilevel"/>
    <w:tmpl w:val="A4D896C6"/>
    <w:lvl w:ilvl="0" w:tplc="04090005">
      <w:numFmt w:val="bullet"/>
      <w:lvlText w:val="•"/>
      <w:lvlJc w:val="left"/>
      <w:pPr>
        <w:ind w:left="360" w:hanging="360"/>
      </w:pPr>
      <w:rPr>
        <w:rFonts w:ascii="Palatino Linotype" w:eastAsia="Calibri" w:hAnsi="Palatino Linotype"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5E42E88"/>
    <w:multiLevelType w:val="hybridMultilevel"/>
    <w:tmpl w:val="6730F4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78C3097"/>
    <w:multiLevelType w:val="hybridMultilevel"/>
    <w:tmpl w:val="B65EB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7E3337F"/>
    <w:multiLevelType w:val="hybridMultilevel"/>
    <w:tmpl w:val="24842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8415397"/>
    <w:multiLevelType w:val="hybridMultilevel"/>
    <w:tmpl w:val="42B0D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85145D9"/>
    <w:multiLevelType w:val="hybridMultilevel"/>
    <w:tmpl w:val="1AA0B5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38746F19"/>
    <w:multiLevelType w:val="hybridMultilevel"/>
    <w:tmpl w:val="A21A3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A9B1DB1"/>
    <w:multiLevelType w:val="hybridMultilevel"/>
    <w:tmpl w:val="F1C0F88A"/>
    <w:lvl w:ilvl="0" w:tplc="C7BADF7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AC8509F"/>
    <w:multiLevelType w:val="hybridMultilevel"/>
    <w:tmpl w:val="54DE5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B735A07"/>
    <w:multiLevelType w:val="hybridMultilevel"/>
    <w:tmpl w:val="D500DFD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nsid w:val="3D6D3059"/>
    <w:multiLevelType w:val="hybridMultilevel"/>
    <w:tmpl w:val="F4B8F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D8F49D3"/>
    <w:multiLevelType w:val="hybridMultilevel"/>
    <w:tmpl w:val="DAC68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E2D7824"/>
    <w:multiLevelType w:val="hybridMultilevel"/>
    <w:tmpl w:val="7FD0F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E5A30AE"/>
    <w:multiLevelType w:val="hybridMultilevel"/>
    <w:tmpl w:val="9490ED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403B55B7"/>
    <w:multiLevelType w:val="hybridMultilevel"/>
    <w:tmpl w:val="4FACE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119275D"/>
    <w:multiLevelType w:val="hybridMultilevel"/>
    <w:tmpl w:val="9F0C2C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18724E6"/>
    <w:multiLevelType w:val="hybridMultilevel"/>
    <w:tmpl w:val="6A34B47E"/>
    <w:lvl w:ilvl="0" w:tplc="04090005">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41B210E6"/>
    <w:multiLevelType w:val="hybridMultilevel"/>
    <w:tmpl w:val="0E949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1E36F60"/>
    <w:multiLevelType w:val="hybridMultilevel"/>
    <w:tmpl w:val="B540D88A"/>
    <w:lvl w:ilvl="0" w:tplc="E8B61C88">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431B2F16"/>
    <w:multiLevelType w:val="hybridMultilevel"/>
    <w:tmpl w:val="47945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43FC67BE"/>
    <w:multiLevelType w:val="hybridMultilevel"/>
    <w:tmpl w:val="47E46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42503FE"/>
    <w:multiLevelType w:val="hybridMultilevel"/>
    <w:tmpl w:val="0268D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6420791"/>
    <w:multiLevelType w:val="hybridMultilevel"/>
    <w:tmpl w:val="FA5E94CC"/>
    <w:lvl w:ilvl="0" w:tplc="82487E76">
      <w:start w:val="1"/>
      <w:numFmt w:val="bullet"/>
      <w:lvlText w:val=""/>
      <w:lvlJc w:val="left"/>
      <w:pPr>
        <w:ind w:left="720" w:hanging="360"/>
      </w:pPr>
      <w:rPr>
        <w:rFonts w:ascii="Wingdings" w:hAnsi="Wingdings" w:hint="default"/>
      </w:rPr>
    </w:lvl>
    <w:lvl w:ilvl="1" w:tplc="D3481BA0" w:tentative="1">
      <w:start w:val="1"/>
      <w:numFmt w:val="bullet"/>
      <w:lvlText w:val="o"/>
      <w:lvlJc w:val="left"/>
      <w:pPr>
        <w:ind w:left="1440" w:hanging="360"/>
      </w:pPr>
      <w:rPr>
        <w:rFonts w:ascii="Courier New" w:hAnsi="Courier New" w:cs="Courier New" w:hint="default"/>
      </w:rPr>
    </w:lvl>
    <w:lvl w:ilvl="2" w:tplc="11322EA0" w:tentative="1">
      <w:start w:val="1"/>
      <w:numFmt w:val="bullet"/>
      <w:lvlText w:val=""/>
      <w:lvlJc w:val="left"/>
      <w:pPr>
        <w:ind w:left="2160" w:hanging="360"/>
      </w:pPr>
      <w:rPr>
        <w:rFonts w:ascii="Wingdings" w:hAnsi="Wingdings" w:hint="default"/>
      </w:rPr>
    </w:lvl>
    <w:lvl w:ilvl="3" w:tplc="F634E13C" w:tentative="1">
      <w:start w:val="1"/>
      <w:numFmt w:val="bullet"/>
      <w:lvlText w:val=""/>
      <w:lvlJc w:val="left"/>
      <w:pPr>
        <w:ind w:left="2880" w:hanging="360"/>
      </w:pPr>
      <w:rPr>
        <w:rFonts w:ascii="Symbol" w:hAnsi="Symbol" w:hint="default"/>
      </w:rPr>
    </w:lvl>
    <w:lvl w:ilvl="4" w:tplc="35C08948" w:tentative="1">
      <w:start w:val="1"/>
      <w:numFmt w:val="bullet"/>
      <w:lvlText w:val="o"/>
      <w:lvlJc w:val="left"/>
      <w:pPr>
        <w:ind w:left="3600" w:hanging="360"/>
      </w:pPr>
      <w:rPr>
        <w:rFonts w:ascii="Courier New" w:hAnsi="Courier New" w:cs="Courier New" w:hint="default"/>
      </w:rPr>
    </w:lvl>
    <w:lvl w:ilvl="5" w:tplc="2118D628" w:tentative="1">
      <w:start w:val="1"/>
      <w:numFmt w:val="bullet"/>
      <w:lvlText w:val=""/>
      <w:lvlJc w:val="left"/>
      <w:pPr>
        <w:ind w:left="4320" w:hanging="360"/>
      </w:pPr>
      <w:rPr>
        <w:rFonts w:ascii="Wingdings" w:hAnsi="Wingdings" w:hint="default"/>
      </w:rPr>
    </w:lvl>
    <w:lvl w:ilvl="6" w:tplc="3A02A930" w:tentative="1">
      <w:start w:val="1"/>
      <w:numFmt w:val="bullet"/>
      <w:lvlText w:val=""/>
      <w:lvlJc w:val="left"/>
      <w:pPr>
        <w:ind w:left="5040" w:hanging="360"/>
      </w:pPr>
      <w:rPr>
        <w:rFonts w:ascii="Symbol" w:hAnsi="Symbol" w:hint="default"/>
      </w:rPr>
    </w:lvl>
    <w:lvl w:ilvl="7" w:tplc="0CB85C96" w:tentative="1">
      <w:start w:val="1"/>
      <w:numFmt w:val="bullet"/>
      <w:lvlText w:val="o"/>
      <w:lvlJc w:val="left"/>
      <w:pPr>
        <w:ind w:left="5760" w:hanging="360"/>
      </w:pPr>
      <w:rPr>
        <w:rFonts w:ascii="Courier New" w:hAnsi="Courier New" w:cs="Courier New" w:hint="default"/>
      </w:rPr>
    </w:lvl>
    <w:lvl w:ilvl="8" w:tplc="3DF08254" w:tentative="1">
      <w:start w:val="1"/>
      <w:numFmt w:val="bullet"/>
      <w:lvlText w:val=""/>
      <w:lvlJc w:val="left"/>
      <w:pPr>
        <w:ind w:left="6480" w:hanging="360"/>
      </w:pPr>
      <w:rPr>
        <w:rFonts w:ascii="Wingdings" w:hAnsi="Wingdings" w:hint="default"/>
      </w:rPr>
    </w:lvl>
  </w:abstractNum>
  <w:abstractNum w:abstractNumId="69">
    <w:nsid w:val="48B75A37"/>
    <w:multiLevelType w:val="hybridMultilevel"/>
    <w:tmpl w:val="11D45F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9190548"/>
    <w:multiLevelType w:val="hybridMultilevel"/>
    <w:tmpl w:val="9F168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49476D82"/>
    <w:multiLevelType w:val="hybridMultilevel"/>
    <w:tmpl w:val="EC981580"/>
    <w:lvl w:ilvl="0" w:tplc="614C3EB0">
      <w:numFmt w:val="bullet"/>
      <w:lvlText w:val="•"/>
      <w:lvlJc w:val="left"/>
      <w:pPr>
        <w:ind w:left="360" w:hanging="360"/>
      </w:pPr>
      <w:rPr>
        <w:rFonts w:ascii="Palatino Linotype" w:eastAsia="Calibri" w:hAnsi="Palatino Linotype" w:cs="Times New Roman" w:hint="default"/>
      </w:rPr>
    </w:lvl>
    <w:lvl w:ilvl="1" w:tplc="3480A20A" w:tentative="1">
      <w:start w:val="1"/>
      <w:numFmt w:val="bullet"/>
      <w:lvlText w:val="o"/>
      <w:lvlJc w:val="left"/>
      <w:pPr>
        <w:ind w:left="1080" w:hanging="360"/>
      </w:pPr>
      <w:rPr>
        <w:rFonts w:ascii="Courier New" w:hAnsi="Courier New" w:cs="Courier New" w:hint="default"/>
      </w:rPr>
    </w:lvl>
    <w:lvl w:ilvl="2" w:tplc="DD2CA148" w:tentative="1">
      <w:start w:val="1"/>
      <w:numFmt w:val="bullet"/>
      <w:lvlText w:val=""/>
      <w:lvlJc w:val="left"/>
      <w:pPr>
        <w:ind w:left="1800" w:hanging="360"/>
      </w:pPr>
      <w:rPr>
        <w:rFonts w:ascii="Wingdings" w:hAnsi="Wingdings" w:hint="default"/>
      </w:rPr>
    </w:lvl>
    <w:lvl w:ilvl="3" w:tplc="B212EC48" w:tentative="1">
      <w:start w:val="1"/>
      <w:numFmt w:val="bullet"/>
      <w:lvlText w:val=""/>
      <w:lvlJc w:val="left"/>
      <w:pPr>
        <w:ind w:left="2520" w:hanging="360"/>
      </w:pPr>
      <w:rPr>
        <w:rFonts w:ascii="Symbol" w:hAnsi="Symbol" w:hint="default"/>
      </w:rPr>
    </w:lvl>
    <w:lvl w:ilvl="4" w:tplc="4B8E051C" w:tentative="1">
      <w:start w:val="1"/>
      <w:numFmt w:val="bullet"/>
      <w:lvlText w:val="o"/>
      <w:lvlJc w:val="left"/>
      <w:pPr>
        <w:ind w:left="3240" w:hanging="360"/>
      </w:pPr>
      <w:rPr>
        <w:rFonts w:ascii="Courier New" w:hAnsi="Courier New" w:cs="Courier New" w:hint="default"/>
      </w:rPr>
    </w:lvl>
    <w:lvl w:ilvl="5" w:tplc="61C41D20" w:tentative="1">
      <w:start w:val="1"/>
      <w:numFmt w:val="bullet"/>
      <w:lvlText w:val=""/>
      <w:lvlJc w:val="left"/>
      <w:pPr>
        <w:ind w:left="3960" w:hanging="360"/>
      </w:pPr>
      <w:rPr>
        <w:rFonts w:ascii="Wingdings" w:hAnsi="Wingdings" w:hint="default"/>
      </w:rPr>
    </w:lvl>
    <w:lvl w:ilvl="6" w:tplc="D536087A" w:tentative="1">
      <w:start w:val="1"/>
      <w:numFmt w:val="bullet"/>
      <w:lvlText w:val=""/>
      <w:lvlJc w:val="left"/>
      <w:pPr>
        <w:ind w:left="4680" w:hanging="360"/>
      </w:pPr>
      <w:rPr>
        <w:rFonts w:ascii="Symbol" w:hAnsi="Symbol" w:hint="default"/>
      </w:rPr>
    </w:lvl>
    <w:lvl w:ilvl="7" w:tplc="761806F8" w:tentative="1">
      <w:start w:val="1"/>
      <w:numFmt w:val="bullet"/>
      <w:lvlText w:val="o"/>
      <w:lvlJc w:val="left"/>
      <w:pPr>
        <w:ind w:left="5400" w:hanging="360"/>
      </w:pPr>
      <w:rPr>
        <w:rFonts w:ascii="Courier New" w:hAnsi="Courier New" w:cs="Courier New" w:hint="default"/>
      </w:rPr>
    </w:lvl>
    <w:lvl w:ilvl="8" w:tplc="A078C9E2" w:tentative="1">
      <w:start w:val="1"/>
      <w:numFmt w:val="bullet"/>
      <w:lvlText w:val=""/>
      <w:lvlJc w:val="left"/>
      <w:pPr>
        <w:ind w:left="6120" w:hanging="360"/>
      </w:pPr>
      <w:rPr>
        <w:rFonts w:ascii="Wingdings" w:hAnsi="Wingdings" w:hint="default"/>
      </w:rPr>
    </w:lvl>
  </w:abstractNum>
  <w:abstractNum w:abstractNumId="72">
    <w:nsid w:val="49AD2B76"/>
    <w:multiLevelType w:val="hybridMultilevel"/>
    <w:tmpl w:val="3A461CF8"/>
    <w:lvl w:ilvl="0" w:tplc="6F00CD72">
      <w:numFmt w:val="bullet"/>
      <w:lvlText w:val="•"/>
      <w:lvlJc w:val="left"/>
      <w:pPr>
        <w:ind w:left="360" w:hanging="360"/>
      </w:pPr>
      <w:rPr>
        <w:rFonts w:ascii="Palatino Linotype" w:eastAsia="Calibri" w:hAnsi="Palatino Linotype" w:cs="Times New Roman"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B6D66DA"/>
    <w:multiLevelType w:val="hybridMultilevel"/>
    <w:tmpl w:val="AA48FB44"/>
    <w:lvl w:ilvl="0" w:tplc="55DEBE40">
      <w:numFmt w:val="bullet"/>
      <w:lvlText w:val="•"/>
      <w:lvlJc w:val="left"/>
      <w:pPr>
        <w:ind w:left="720" w:hanging="360"/>
      </w:pPr>
      <w:rPr>
        <w:rFonts w:ascii="Palatino Linotype" w:eastAsia="Calibri" w:hAnsi="Palatino Linotype" w:cs="Times New Roman" w:hint="default"/>
      </w:rPr>
    </w:lvl>
    <w:lvl w:ilvl="1" w:tplc="1F706C48">
      <w:numFmt w:val="bullet"/>
      <w:lvlText w:val=""/>
      <w:lvlJc w:val="left"/>
      <w:pPr>
        <w:ind w:left="1440" w:hanging="360"/>
      </w:pPr>
      <w:rPr>
        <w:rFonts w:ascii="Symbol" w:eastAsia="Calibr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CB50733"/>
    <w:multiLevelType w:val="hybridMultilevel"/>
    <w:tmpl w:val="C60EB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DB85F71"/>
    <w:multiLevelType w:val="hybridMultilevel"/>
    <w:tmpl w:val="5F9C7366"/>
    <w:lvl w:ilvl="0" w:tplc="04090001">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DDC49A0"/>
    <w:multiLevelType w:val="hybridMultilevel"/>
    <w:tmpl w:val="91AA8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E665315"/>
    <w:multiLevelType w:val="hybridMultilevel"/>
    <w:tmpl w:val="23CA50E8"/>
    <w:lvl w:ilvl="0" w:tplc="04090001">
      <w:start w:val="1"/>
      <w:numFmt w:val="decimal"/>
      <w:lvlText w:val="%1."/>
      <w:lvlJc w:val="left"/>
      <w:pPr>
        <w:ind w:left="720" w:hanging="360"/>
      </w:pPr>
    </w:lvl>
    <w:lvl w:ilvl="1" w:tplc="04090003">
      <w:start w:val="5"/>
      <w:numFmt w:val="bullet"/>
      <w:lvlText w:val="•"/>
      <w:lvlJc w:val="left"/>
      <w:pPr>
        <w:ind w:left="1440" w:hanging="360"/>
      </w:pPr>
      <w:rPr>
        <w:rFonts w:ascii="Palatino Linotype" w:eastAsia="Times New Roman" w:hAnsi="Palatino Linotype" w:cs="Times New Roman" w:hint="default"/>
      </w:r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78">
    <w:nsid w:val="4E6F3BAA"/>
    <w:multiLevelType w:val="hybridMultilevel"/>
    <w:tmpl w:val="9F343D4C"/>
    <w:lvl w:ilvl="0" w:tplc="55DEBE40">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79">
    <w:nsid w:val="4F7A3C86"/>
    <w:multiLevelType w:val="hybridMultilevel"/>
    <w:tmpl w:val="2500DA46"/>
    <w:lvl w:ilvl="0" w:tplc="0409000F">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0">
    <w:nsid w:val="51FA2BAA"/>
    <w:multiLevelType w:val="hybridMultilevel"/>
    <w:tmpl w:val="C5BC5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2001A45"/>
    <w:multiLevelType w:val="hybridMultilevel"/>
    <w:tmpl w:val="03B0C538"/>
    <w:lvl w:ilvl="0" w:tplc="0409000F">
      <w:numFmt w:val="bullet"/>
      <w:lvlText w:val="•"/>
      <w:lvlJc w:val="left"/>
      <w:pPr>
        <w:ind w:left="360" w:hanging="360"/>
      </w:pPr>
      <w:rPr>
        <w:rFonts w:ascii="Palatino Linotype" w:eastAsia="Calibri" w:hAnsi="Palatino Linotype" w:cs="Times New Roman" w:hint="default"/>
      </w:rPr>
    </w:lvl>
    <w:lvl w:ilvl="1" w:tplc="A118BEE8"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82">
    <w:nsid w:val="53360C8D"/>
    <w:multiLevelType w:val="hybridMultilevel"/>
    <w:tmpl w:val="5156EADA"/>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35C4643"/>
    <w:multiLevelType w:val="hybridMultilevel"/>
    <w:tmpl w:val="7952B7A2"/>
    <w:lvl w:ilvl="0" w:tplc="04090001">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4126DD0"/>
    <w:multiLevelType w:val="hybridMultilevel"/>
    <w:tmpl w:val="B3125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54935C25"/>
    <w:multiLevelType w:val="hybridMultilevel"/>
    <w:tmpl w:val="A0823368"/>
    <w:lvl w:ilvl="0" w:tplc="6F00CD72">
      <w:numFmt w:val="bullet"/>
      <w:lvlText w:val="•"/>
      <w:lvlJc w:val="left"/>
      <w:pPr>
        <w:ind w:left="412" w:hanging="360"/>
      </w:pPr>
      <w:rPr>
        <w:rFonts w:ascii="Palatino Linotype" w:eastAsia="Calibri" w:hAnsi="Palatino Linotype" w:cs="Times New Roman" w:hint="default"/>
        <w:sz w:val="16"/>
        <w:szCs w:val="16"/>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86">
    <w:nsid w:val="55F55B41"/>
    <w:multiLevelType w:val="hybridMultilevel"/>
    <w:tmpl w:val="5F944FA6"/>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87">
    <w:nsid w:val="56AC3A6E"/>
    <w:multiLevelType w:val="hybridMultilevel"/>
    <w:tmpl w:val="A122469E"/>
    <w:lvl w:ilvl="0" w:tplc="B8866412">
      <w:numFmt w:val="bullet"/>
      <w:lvlText w:val="•"/>
      <w:lvlJc w:val="left"/>
      <w:pPr>
        <w:ind w:left="720" w:hanging="360"/>
      </w:pPr>
      <w:rPr>
        <w:rFonts w:ascii="Palatino Linotype" w:eastAsia="Calibri" w:hAnsi="Palatino Linotype" w:cs="Times New Roman" w:hint="default"/>
      </w:rPr>
    </w:lvl>
    <w:lvl w:ilvl="1" w:tplc="63529B50" w:tentative="1">
      <w:start w:val="1"/>
      <w:numFmt w:val="bullet"/>
      <w:lvlText w:val="o"/>
      <w:lvlJc w:val="left"/>
      <w:pPr>
        <w:ind w:left="1440" w:hanging="360"/>
      </w:pPr>
      <w:rPr>
        <w:rFonts w:ascii="Courier New" w:hAnsi="Courier New" w:cs="Courier New" w:hint="default"/>
      </w:rPr>
    </w:lvl>
    <w:lvl w:ilvl="2" w:tplc="ECD8B04C" w:tentative="1">
      <w:start w:val="1"/>
      <w:numFmt w:val="bullet"/>
      <w:lvlText w:val=""/>
      <w:lvlJc w:val="left"/>
      <w:pPr>
        <w:ind w:left="2160" w:hanging="360"/>
      </w:pPr>
      <w:rPr>
        <w:rFonts w:ascii="Wingdings" w:hAnsi="Wingdings" w:hint="default"/>
      </w:rPr>
    </w:lvl>
    <w:lvl w:ilvl="3" w:tplc="C2BC2F98" w:tentative="1">
      <w:start w:val="1"/>
      <w:numFmt w:val="bullet"/>
      <w:lvlText w:val=""/>
      <w:lvlJc w:val="left"/>
      <w:pPr>
        <w:ind w:left="2880" w:hanging="360"/>
      </w:pPr>
      <w:rPr>
        <w:rFonts w:ascii="Symbol" w:hAnsi="Symbol" w:hint="default"/>
      </w:rPr>
    </w:lvl>
    <w:lvl w:ilvl="4" w:tplc="1FC88628" w:tentative="1">
      <w:start w:val="1"/>
      <w:numFmt w:val="bullet"/>
      <w:lvlText w:val="o"/>
      <w:lvlJc w:val="left"/>
      <w:pPr>
        <w:ind w:left="3600" w:hanging="360"/>
      </w:pPr>
      <w:rPr>
        <w:rFonts w:ascii="Courier New" w:hAnsi="Courier New" w:cs="Courier New" w:hint="default"/>
      </w:rPr>
    </w:lvl>
    <w:lvl w:ilvl="5" w:tplc="1534DD8E" w:tentative="1">
      <w:start w:val="1"/>
      <w:numFmt w:val="bullet"/>
      <w:lvlText w:val=""/>
      <w:lvlJc w:val="left"/>
      <w:pPr>
        <w:ind w:left="4320" w:hanging="360"/>
      </w:pPr>
      <w:rPr>
        <w:rFonts w:ascii="Wingdings" w:hAnsi="Wingdings" w:hint="default"/>
      </w:rPr>
    </w:lvl>
    <w:lvl w:ilvl="6" w:tplc="0C22DF2C" w:tentative="1">
      <w:start w:val="1"/>
      <w:numFmt w:val="bullet"/>
      <w:lvlText w:val=""/>
      <w:lvlJc w:val="left"/>
      <w:pPr>
        <w:ind w:left="5040" w:hanging="360"/>
      </w:pPr>
      <w:rPr>
        <w:rFonts w:ascii="Symbol" w:hAnsi="Symbol" w:hint="default"/>
      </w:rPr>
    </w:lvl>
    <w:lvl w:ilvl="7" w:tplc="5B8A2B60" w:tentative="1">
      <w:start w:val="1"/>
      <w:numFmt w:val="bullet"/>
      <w:lvlText w:val="o"/>
      <w:lvlJc w:val="left"/>
      <w:pPr>
        <w:ind w:left="5760" w:hanging="360"/>
      </w:pPr>
      <w:rPr>
        <w:rFonts w:ascii="Courier New" w:hAnsi="Courier New" w:cs="Courier New" w:hint="default"/>
      </w:rPr>
    </w:lvl>
    <w:lvl w:ilvl="8" w:tplc="8F1ED9E0" w:tentative="1">
      <w:start w:val="1"/>
      <w:numFmt w:val="bullet"/>
      <w:lvlText w:val=""/>
      <w:lvlJc w:val="left"/>
      <w:pPr>
        <w:ind w:left="6480" w:hanging="360"/>
      </w:pPr>
      <w:rPr>
        <w:rFonts w:ascii="Wingdings" w:hAnsi="Wingdings" w:hint="default"/>
      </w:rPr>
    </w:lvl>
  </w:abstractNum>
  <w:abstractNum w:abstractNumId="88">
    <w:nsid w:val="56F83540"/>
    <w:multiLevelType w:val="hybridMultilevel"/>
    <w:tmpl w:val="0D168088"/>
    <w:lvl w:ilvl="0" w:tplc="D0BAFFB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88E762F"/>
    <w:multiLevelType w:val="hybridMultilevel"/>
    <w:tmpl w:val="689CA496"/>
    <w:lvl w:ilvl="0" w:tplc="79565F72">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8E056C6"/>
    <w:multiLevelType w:val="hybridMultilevel"/>
    <w:tmpl w:val="4532D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E2B58B4"/>
    <w:multiLevelType w:val="hybridMultilevel"/>
    <w:tmpl w:val="A922FE70"/>
    <w:lvl w:ilvl="0" w:tplc="04090001">
      <w:start w:val="1"/>
      <w:numFmt w:val="bullet"/>
      <w:lvlText w:val=""/>
      <w:lvlJc w:val="left"/>
      <w:pPr>
        <w:ind w:left="720" w:hanging="360"/>
      </w:pPr>
      <w:rPr>
        <w:rFonts w:ascii="Symbol" w:hAnsi="Symbol" w:hint="default"/>
      </w:rPr>
    </w:lvl>
    <w:lvl w:ilvl="1" w:tplc="04090003">
      <w:numFmt w:val="bullet"/>
      <w:lvlText w:val="-"/>
      <w:lvlJc w:val="left"/>
      <w:pPr>
        <w:ind w:left="1440" w:hanging="360"/>
      </w:pPr>
      <w:rPr>
        <w:rFonts w:ascii="Palatino Linotype" w:eastAsiaTheme="minorHAnsi" w:hAnsi="Palatino Linotype"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D2345C"/>
    <w:multiLevelType w:val="hybridMultilevel"/>
    <w:tmpl w:val="FB6C2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1A006C8"/>
    <w:multiLevelType w:val="hybridMultilevel"/>
    <w:tmpl w:val="A41EBDD8"/>
    <w:lvl w:ilvl="0" w:tplc="578AC5D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622153A3"/>
    <w:multiLevelType w:val="hybridMultilevel"/>
    <w:tmpl w:val="59487094"/>
    <w:lvl w:ilvl="0" w:tplc="547A30B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2813A4D"/>
    <w:multiLevelType w:val="hybridMultilevel"/>
    <w:tmpl w:val="DB7E2C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2C26C8D"/>
    <w:multiLevelType w:val="hybridMultilevel"/>
    <w:tmpl w:val="4ABEC2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nsid w:val="634B7A18"/>
    <w:multiLevelType w:val="hybridMultilevel"/>
    <w:tmpl w:val="7A6E4F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64F2606C"/>
    <w:multiLevelType w:val="hybridMultilevel"/>
    <w:tmpl w:val="D6C61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55A6C8A"/>
    <w:multiLevelType w:val="hybridMultilevel"/>
    <w:tmpl w:val="7C08AF5E"/>
    <w:lvl w:ilvl="0" w:tplc="04090005">
      <w:start w:val="1"/>
      <w:numFmt w:val="lowerRoman"/>
      <w:lvlText w:val="%1."/>
      <w:lvlJc w:val="righ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0">
    <w:nsid w:val="655E253F"/>
    <w:multiLevelType w:val="hybridMultilevel"/>
    <w:tmpl w:val="6D62D8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65983514"/>
    <w:multiLevelType w:val="hybridMultilevel"/>
    <w:tmpl w:val="2E783F9E"/>
    <w:lvl w:ilvl="0" w:tplc="04090005">
      <w:start w:val="1"/>
      <w:numFmt w:val="upp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2">
    <w:nsid w:val="66342D5B"/>
    <w:multiLevelType w:val="hybridMultilevel"/>
    <w:tmpl w:val="9C8AE8DE"/>
    <w:lvl w:ilvl="0" w:tplc="A1549CFA">
      <w:numFmt w:val="bullet"/>
      <w:lvlText w:val="•"/>
      <w:lvlJc w:val="left"/>
      <w:pPr>
        <w:ind w:left="720" w:hanging="360"/>
      </w:pPr>
      <w:rPr>
        <w:rFonts w:ascii="Palatino Linotype" w:eastAsia="Calibri" w:hAnsi="Palatino Linotype" w:cs="Times New Roman"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3">
    <w:nsid w:val="6670293E"/>
    <w:multiLevelType w:val="hybridMultilevel"/>
    <w:tmpl w:val="C7F215C6"/>
    <w:lvl w:ilvl="0" w:tplc="55DEBE40">
      <w:start w:val="1"/>
      <w:numFmt w:val="bullet"/>
      <w:lvlText w:val=""/>
      <w:lvlJc w:val="left"/>
      <w:pPr>
        <w:tabs>
          <w:tab w:val="num" w:pos="720"/>
        </w:tabs>
        <w:ind w:left="720" w:hanging="360"/>
      </w:pPr>
      <w:rPr>
        <w:rFonts w:ascii="Symbol" w:hAnsi="Symbol" w:hint="default"/>
      </w:rPr>
    </w:lvl>
    <w:lvl w:ilvl="1" w:tplc="0452000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4">
    <w:nsid w:val="6693523B"/>
    <w:multiLevelType w:val="hybridMultilevel"/>
    <w:tmpl w:val="CED2F776"/>
    <w:lvl w:ilvl="0" w:tplc="04090005">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nsid w:val="673D6079"/>
    <w:multiLevelType w:val="hybridMultilevel"/>
    <w:tmpl w:val="A9F6C886"/>
    <w:lvl w:ilvl="0" w:tplc="434C17C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6">
    <w:nsid w:val="67FC077C"/>
    <w:multiLevelType w:val="hybridMultilevel"/>
    <w:tmpl w:val="03A66D84"/>
    <w:lvl w:ilvl="0" w:tplc="77964736">
      <w:start w:val="1"/>
      <w:numFmt w:val="lowerLetter"/>
      <w:lvlText w:val="%1)"/>
      <w:lvlJc w:val="left"/>
      <w:pPr>
        <w:ind w:left="360" w:hanging="360"/>
      </w:pPr>
    </w:lvl>
    <w:lvl w:ilvl="1" w:tplc="30709B72" w:tentative="1">
      <w:start w:val="1"/>
      <w:numFmt w:val="lowerLetter"/>
      <w:lvlText w:val="%2."/>
      <w:lvlJc w:val="left"/>
      <w:pPr>
        <w:ind w:left="1080" w:hanging="360"/>
      </w:pPr>
    </w:lvl>
    <w:lvl w:ilvl="2" w:tplc="02F6F1D4" w:tentative="1">
      <w:start w:val="1"/>
      <w:numFmt w:val="lowerRoman"/>
      <w:lvlText w:val="%3."/>
      <w:lvlJc w:val="right"/>
      <w:pPr>
        <w:ind w:left="1800" w:hanging="180"/>
      </w:pPr>
    </w:lvl>
    <w:lvl w:ilvl="3" w:tplc="01FA4A50" w:tentative="1">
      <w:start w:val="1"/>
      <w:numFmt w:val="decimal"/>
      <w:lvlText w:val="%4."/>
      <w:lvlJc w:val="left"/>
      <w:pPr>
        <w:ind w:left="2520" w:hanging="360"/>
      </w:pPr>
    </w:lvl>
    <w:lvl w:ilvl="4" w:tplc="3C40B2AE" w:tentative="1">
      <w:start w:val="1"/>
      <w:numFmt w:val="lowerLetter"/>
      <w:lvlText w:val="%5."/>
      <w:lvlJc w:val="left"/>
      <w:pPr>
        <w:ind w:left="3240" w:hanging="360"/>
      </w:pPr>
    </w:lvl>
    <w:lvl w:ilvl="5" w:tplc="3154DB16" w:tentative="1">
      <w:start w:val="1"/>
      <w:numFmt w:val="lowerRoman"/>
      <w:lvlText w:val="%6."/>
      <w:lvlJc w:val="right"/>
      <w:pPr>
        <w:ind w:left="3960" w:hanging="180"/>
      </w:pPr>
    </w:lvl>
    <w:lvl w:ilvl="6" w:tplc="5458078C" w:tentative="1">
      <w:start w:val="1"/>
      <w:numFmt w:val="decimal"/>
      <w:lvlText w:val="%7."/>
      <w:lvlJc w:val="left"/>
      <w:pPr>
        <w:ind w:left="4680" w:hanging="360"/>
      </w:pPr>
    </w:lvl>
    <w:lvl w:ilvl="7" w:tplc="FBCEC9E6" w:tentative="1">
      <w:start w:val="1"/>
      <w:numFmt w:val="lowerLetter"/>
      <w:lvlText w:val="%8."/>
      <w:lvlJc w:val="left"/>
      <w:pPr>
        <w:ind w:left="5400" w:hanging="360"/>
      </w:pPr>
    </w:lvl>
    <w:lvl w:ilvl="8" w:tplc="0A28FD38" w:tentative="1">
      <w:start w:val="1"/>
      <w:numFmt w:val="lowerRoman"/>
      <w:lvlText w:val="%9."/>
      <w:lvlJc w:val="right"/>
      <w:pPr>
        <w:ind w:left="6120" w:hanging="180"/>
      </w:pPr>
    </w:lvl>
  </w:abstractNum>
  <w:abstractNum w:abstractNumId="107">
    <w:nsid w:val="687E04C4"/>
    <w:multiLevelType w:val="hybridMultilevel"/>
    <w:tmpl w:val="B28AF5B0"/>
    <w:lvl w:ilvl="0" w:tplc="8698012A">
      <w:start w:val="1"/>
      <w:numFmt w:val="decimal"/>
      <w:lvlText w:val="%1."/>
      <w:lvlJc w:val="left"/>
      <w:pPr>
        <w:ind w:left="720" w:hanging="360"/>
      </w:pPr>
      <w:rPr>
        <w:rFonts w:hint="default"/>
      </w:rPr>
    </w:lvl>
    <w:lvl w:ilvl="1" w:tplc="DF22D676" w:tentative="1">
      <w:start w:val="1"/>
      <w:numFmt w:val="lowerLetter"/>
      <w:lvlText w:val="%2."/>
      <w:lvlJc w:val="left"/>
      <w:pPr>
        <w:ind w:left="1440" w:hanging="360"/>
      </w:pPr>
    </w:lvl>
    <w:lvl w:ilvl="2" w:tplc="02A6FB62" w:tentative="1">
      <w:start w:val="1"/>
      <w:numFmt w:val="lowerRoman"/>
      <w:lvlText w:val="%3."/>
      <w:lvlJc w:val="right"/>
      <w:pPr>
        <w:ind w:left="2160" w:hanging="180"/>
      </w:pPr>
    </w:lvl>
    <w:lvl w:ilvl="3" w:tplc="7EB2F7A4" w:tentative="1">
      <w:start w:val="1"/>
      <w:numFmt w:val="decimal"/>
      <w:lvlText w:val="%4."/>
      <w:lvlJc w:val="left"/>
      <w:pPr>
        <w:ind w:left="2880" w:hanging="360"/>
      </w:pPr>
    </w:lvl>
    <w:lvl w:ilvl="4" w:tplc="F262427C" w:tentative="1">
      <w:start w:val="1"/>
      <w:numFmt w:val="lowerLetter"/>
      <w:lvlText w:val="%5."/>
      <w:lvlJc w:val="left"/>
      <w:pPr>
        <w:ind w:left="3600" w:hanging="360"/>
      </w:pPr>
    </w:lvl>
    <w:lvl w:ilvl="5" w:tplc="2384E83A" w:tentative="1">
      <w:start w:val="1"/>
      <w:numFmt w:val="lowerRoman"/>
      <w:lvlText w:val="%6."/>
      <w:lvlJc w:val="right"/>
      <w:pPr>
        <w:ind w:left="4320" w:hanging="180"/>
      </w:pPr>
    </w:lvl>
    <w:lvl w:ilvl="6" w:tplc="887C7CBE" w:tentative="1">
      <w:start w:val="1"/>
      <w:numFmt w:val="decimal"/>
      <w:lvlText w:val="%7."/>
      <w:lvlJc w:val="left"/>
      <w:pPr>
        <w:ind w:left="5040" w:hanging="360"/>
      </w:pPr>
    </w:lvl>
    <w:lvl w:ilvl="7" w:tplc="11BE2BCA" w:tentative="1">
      <w:start w:val="1"/>
      <w:numFmt w:val="lowerLetter"/>
      <w:lvlText w:val="%8."/>
      <w:lvlJc w:val="left"/>
      <w:pPr>
        <w:ind w:left="5760" w:hanging="360"/>
      </w:pPr>
    </w:lvl>
    <w:lvl w:ilvl="8" w:tplc="476A13C6" w:tentative="1">
      <w:start w:val="1"/>
      <w:numFmt w:val="lowerRoman"/>
      <w:lvlText w:val="%9."/>
      <w:lvlJc w:val="right"/>
      <w:pPr>
        <w:ind w:left="6480" w:hanging="180"/>
      </w:pPr>
    </w:lvl>
  </w:abstractNum>
  <w:abstractNum w:abstractNumId="108">
    <w:nsid w:val="695D7218"/>
    <w:multiLevelType w:val="hybridMultilevel"/>
    <w:tmpl w:val="BD6A037C"/>
    <w:lvl w:ilvl="0" w:tplc="6966EA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96F17D2"/>
    <w:multiLevelType w:val="hybridMultilevel"/>
    <w:tmpl w:val="C27474C6"/>
    <w:lvl w:ilvl="0" w:tplc="DE76D39E">
      <w:start w:val="1"/>
      <w:numFmt w:val="bullet"/>
      <w:lvlText w:val=""/>
      <w:lvlJc w:val="left"/>
      <w:pPr>
        <w:ind w:left="720" w:hanging="360"/>
      </w:pPr>
      <w:rPr>
        <w:rFonts w:ascii="Symbol" w:hAnsi="Symbol" w:hint="default"/>
      </w:rPr>
    </w:lvl>
    <w:lvl w:ilvl="1" w:tplc="01462D5A" w:tentative="1">
      <w:start w:val="1"/>
      <w:numFmt w:val="bullet"/>
      <w:lvlText w:val="o"/>
      <w:lvlJc w:val="left"/>
      <w:pPr>
        <w:ind w:left="1440" w:hanging="360"/>
      </w:pPr>
      <w:rPr>
        <w:rFonts w:ascii="Courier New" w:hAnsi="Courier New" w:cs="Courier New" w:hint="default"/>
      </w:rPr>
    </w:lvl>
    <w:lvl w:ilvl="2" w:tplc="3E4098DC" w:tentative="1">
      <w:start w:val="1"/>
      <w:numFmt w:val="bullet"/>
      <w:lvlText w:val=""/>
      <w:lvlJc w:val="left"/>
      <w:pPr>
        <w:ind w:left="2160" w:hanging="360"/>
      </w:pPr>
      <w:rPr>
        <w:rFonts w:ascii="Wingdings" w:hAnsi="Wingdings" w:hint="default"/>
      </w:rPr>
    </w:lvl>
    <w:lvl w:ilvl="3" w:tplc="CED6A506" w:tentative="1">
      <w:start w:val="1"/>
      <w:numFmt w:val="bullet"/>
      <w:lvlText w:val=""/>
      <w:lvlJc w:val="left"/>
      <w:pPr>
        <w:ind w:left="2880" w:hanging="360"/>
      </w:pPr>
      <w:rPr>
        <w:rFonts w:ascii="Symbol" w:hAnsi="Symbol" w:hint="default"/>
      </w:rPr>
    </w:lvl>
    <w:lvl w:ilvl="4" w:tplc="67E8B61A" w:tentative="1">
      <w:start w:val="1"/>
      <w:numFmt w:val="bullet"/>
      <w:lvlText w:val="o"/>
      <w:lvlJc w:val="left"/>
      <w:pPr>
        <w:ind w:left="3600" w:hanging="360"/>
      </w:pPr>
      <w:rPr>
        <w:rFonts w:ascii="Courier New" w:hAnsi="Courier New" w:cs="Courier New" w:hint="default"/>
      </w:rPr>
    </w:lvl>
    <w:lvl w:ilvl="5" w:tplc="733051A4" w:tentative="1">
      <w:start w:val="1"/>
      <w:numFmt w:val="bullet"/>
      <w:lvlText w:val=""/>
      <w:lvlJc w:val="left"/>
      <w:pPr>
        <w:ind w:left="4320" w:hanging="360"/>
      </w:pPr>
      <w:rPr>
        <w:rFonts w:ascii="Wingdings" w:hAnsi="Wingdings" w:hint="default"/>
      </w:rPr>
    </w:lvl>
    <w:lvl w:ilvl="6" w:tplc="6AD49D2A" w:tentative="1">
      <w:start w:val="1"/>
      <w:numFmt w:val="bullet"/>
      <w:lvlText w:val=""/>
      <w:lvlJc w:val="left"/>
      <w:pPr>
        <w:ind w:left="5040" w:hanging="360"/>
      </w:pPr>
      <w:rPr>
        <w:rFonts w:ascii="Symbol" w:hAnsi="Symbol" w:hint="default"/>
      </w:rPr>
    </w:lvl>
    <w:lvl w:ilvl="7" w:tplc="CD5614A2" w:tentative="1">
      <w:start w:val="1"/>
      <w:numFmt w:val="bullet"/>
      <w:lvlText w:val="o"/>
      <w:lvlJc w:val="left"/>
      <w:pPr>
        <w:ind w:left="5760" w:hanging="360"/>
      </w:pPr>
      <w:rPr>
        <w:rFonts w:ascii="Courier New" w:hAnsi="Courier New" w:cs="Courier New" w:hint="default"/>
      </w:rPr>
    </w:lvl>
    <w:lvl w:ilvl="8" w:tplc="E550EA1A" w:tentative="1">
      <w:start w:val="1"/>
      <w:numFmt w:val="bullet"/>
      <w:lvlText w:val=""/>
      <w:lvlJc w:val="left"/>
      <w:pPr>
        <w:ind w:left="6480" w:hanging="360"/>
      </w:pPr>
      <w:rPr>
        <w:rFonts w:ascii="Wingdings" w:hAnsi="Wingdings" w:hint="default"/>
      </w:rPr>
    </w:lvl>
  </w:abstractNum>
  <w:abstractNum w:abstractNumId="110">
    <w:nsid w:val="69A8182A"/>
    <w:multiLevelType w:val="hybridMultilevel"/>
    <w:tmpl w:val="68D088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BFA240C"/>
    <w:multiLevelType w:val="hybridMultilevel"/>
    <w:tmpl w:val="4476C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C1D7454"/>
    <w:multiLevelType w:val="hybridMultilevel"/>
    <w:tmpl w:val="21F28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C6B196F"/>
    <w:multiLevelType w:val="hybridMultilevel"/>
    <w:tmpl w:val="EED28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CE6011A"/>
    <w:multiLevelType w:val="hybridMultilevel"/>
    <w:tmpl w:val="CD664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D5C2B57"/>
    <w:multiLevelType w:val="hybridMultilevel"/>
    <w:tmpl w:val="BBCCF43A"/>
    <w:lvl w:ilvl="0" w:tplc="04090001">
      <w:start w:val="1"/>
      <w:numFmt w:val="bullet"/>
      <w:lvlText w:val=""/>
      <w:lvlJc w:val="left"/>
      <w:pPr>
        <w:ind w:left="424" w:hanging="360"/>
      </w:pPr>
      <w:rPr>
        <w:rFonts w:ascii="Symbol" w:hAnsi="Symbol" w:hint="default"/>
      </w:rPr>
    </w:lvl>
    <w:lvl w:ilvl="1" w:tplc="04090003" w:tentative="1">
      <w:start w:val="1"/>
      <w:numFmt w:val="bullet"/>
      <w:lvlText w:val="o"/>
      <w:lvlJc w:val="left"/>
      <w:pPr>
        <w:ind w:left="1144" w:hanging="360"/>
      </w:pPr>
      <w:rPr>
        <w:rFonts w:ascii="Courier New" w:hAnsi="Courier New" w:cs="Courier New" w:hint="default"/>
      </w:rPr>
    </w:lvl>
    <w:lvl w:ilvl="2" w:tplc="04090005" w:tentative="1">
      <w:start w:val="1"/>
      <w:numFmt w:val="bullet"/>
      <w:lvlText w:val=""/>
      <w:lvlJc w:val="left"/>
      <w:pPr>
        <w:ind w:left="1864" w:hanging="360"/>
      </w:pPr>
      <w:rPr>
        <w:rFonts w:ascii="Wingdings" w:hAnsi="Wingdings" w:hint="default"/>
      </w:rPr>
    </w:lvl>
    <w:lvl w:ilvl="3" w:tplc="04090001" w:tentative="1">
      <w:start w:val="1"/>
      <w:numFmt w:val="bullet"/>
      <w:lvlText w:val=""/>
      <w:lvlJc w:val="left"/>
      <w:pPr>
        <w:ind w:left="2584" w:hanging="360"/>
      </w:pPr>
      <w:rPr>
        <w:rFonts w:ascii="Symbol" w:hAnsi="Symbol" w:hint="default"/>
      </w:rPr>
    </w:lvl>
    <w:lvl w:ilvl="4" w:tplc="04090003" w:tentative="1">
      <w:start w:val="1"/>
      <w:numFmt w:val="bullet"/>
      <w:lvlText w:val="o"/>
      <w:lvlJc w:val="left"/>
      <w:pPr>
        <w:ind w:left="3304" w:hanging="360"/>
      </w:pPr>
      <w:rPr>
        <w:rFonts w:ascii="Courier New" w:hAnsi="Courier New" w:cs="Courier New" w:hint="default"/>
      </w:rPr>
    </w:lvl>
    <w:lvl w:ilvl="5" w:tplc="04090005" w:tentative="1">
      <w:start w:val="1"/>
      <w:numFmt w:val="bullet"/>
      <w:lvlText w:val=""/>
      <w:lvlJc w:val="left"/>
      <w:pPr>
        <w:ind w:left="4024" w:hanging="360"/>
      </w:pPr>
      <w:rPr>
        <w:rFonts w:ascii="Wingdings" w:hAnsi="Wingdings" w:hint="default"/>
      </w:rPr>
    </w:lvl>
    <w:lvl w:ilvl="6" w:tplc="04090001" w:tentative="1">
      <w:start w:val="1"/>
      <w:numFmt w:val="bullet"/>
      <w:lvlText w:val=""/>
      <w:lvlJc w:val="left"/>
      <w:pPr>
        <w:ind w:left="4744" w:hanging="360"/>
      </w:pPr>
      <w:rPr>
        <w:rFonts w:ascii="Symbol" w:hAnsi="Symbol" w:hint="default"/>
      </w:rPr>
    </w:lvl>
    <w:lvl w:ilvl="7" w:tplc="04090003" w:tentative="1">
      <w:start w:val="1"/>
      <w:numFmt w:val="bullet"/>
      <w:lvlText w:val="o"/>
      <w:lvlJc w:val="left"/>
      <w:pPr>
        <w:ind w:left="5464" w:hanging="360"/>
      </w:pPr>
      <w:rPr>
        <w:rFonts w:ascii="Courier New" w:hAnsi="Courier New" w:cs="Courier New" w:hint="default"/>
      </w:rPr>
    </w:lvl>
    <w:lvl w:ilvl="8" w:tplc="04090005" w:tentative="1">
      <w:start w:val="1"/>
      <w:numFmt w:val="bullet"/>
      <w:lvlText w:val=""/>
      <w:lvlJc w:val="left"/>
      <w:pPr>
        <w:ind w:left="6184" w:hanging="360"/>
      </w:pPr>
      <w:rPr>
        <w:rFonts w:ascii="Wingdings" w:hAnsi="Wingdings" w:hint="default"/>
      </w:rPr>
    </w:lvl>
  </w:abstractNum>
  <w:abstractNum w:abstractNumId="116">
    <w:nsid w:val="6D605D49"/>
    <w:multiLevelType w:val="hybridMultilevel"/>
    <w:tmpl w:val="8014F4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FB11878"/>
    <w:multiLevelType w:val="hybridMultilevel"/>
    <w:tmpl w:val="ECA4D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04C5F19"/>
    <w:multiLevelType w:val="hybridMultilevel"/>
    <w:tmpl w:val="A030F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0DB4F2D"/>
    <w:multiLevelType w:val="hybridMultilevel"/>
    <w:tmpl w:val="A6FC8174"/>
    <w:lvl w:ilvl="0" w:tplc="5FB87EA6">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0">
    <w:nsid w:val="71616884"/>
    <w:multiLevelType w:val="hybridMultilevel"/>
    <w:tmpl w:val="A42E236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718D00C3"/>
    <w:multiLevelType w:val="hybridMultilevel"/>
    <w:tmpl w:val="B1941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1E94BC8"/>
    <w:multiLevelType w:val="hybridMultilevel"/>
    <w:tmpl w:val="D9401CFC"/>
    <w:lvl w:ilvl="0" w:tplc="04090013">
      <w:start w:val="1"/>
      <w:numFmt w:val="upperRoman"/>
      <w:lvlText w:val="%1."/>
      <w:lvlJc w:val="right"/>
      <w:pPr>
        <w:ind w:left="720" w:hanging="360"/>
      </w:pPr>
    </w:lvl>
    <w:lvl w:ilvl="1" w:tplc="E10AE9EE" w:tentative="1">
      <w:start w:val="1"/>
      <w:numFmt w:val="lowerLetter"/>
      <w:lvlText w:val="%2."/>
      <w:lvlJc w:val="left"/>
      <w:pPr>
        <w:ind w:left="1440" w:hanging="360"/>
      </w:pPr>
    </w:lvl>
    <w:lvl w:ilvl="2" w:tplc="E960B946" w:tentative="1">
      <w:start w:val="1"/>
      <w:numFmt w:val="lowerRoman"/>
      <w:lvlText w:val="%3."/>
      <w:lvlJc w:val="right"/>
      <w:pPr>
        <w:ind w:left="2160" w:hanging="180"/>
      </w:pPr>
    </w:lvl>
    <w:lvl w:ilvl="3" w:tplc="23DC0172" w:tentative="1">
      <w:start w:val="1"/>
      <w:numFmt w:val="decimal"/>
      <w:lvlText w:val="%4."/>
      <w:lvlJc w:val="left"/>
      <w:pPr>
        <w:ind w:left="2880" w:hanging="360"/>
      </w:pPr>
    </w:lvl>
    <w:lvl w:ilvl="4" w:tplc="A9AA77E6" w:tentative="1">
      <w:start w:val="1"/>
      <w:numFmt w:val="lowerLetter"/>
      <w:lvlText w:val="%5."/>
      <w:lvlJc w:val="left"/>
      <w:pPr>
        <w:ind w:left="3600" w:hanging="360"/>
      </w:pPr>
    </w:lvl>
    <w:lvl w:ilvl="5" w:tplc="1B90CEB6" w:tentative="1">
      <w:start w:val="1"/>
      <w:numFmt w:val="lowerRoman"/>
      <w:lvlText w:val="%6."/>
      <w:lvlJc w:val="right"/>
      <w:pPr>
        <w:ind w:left="4320" w:hanging="180"/>
      </w:pPr>
    </w:lvl>
    <w:lvl w:ilvl="6" w:tplc="C1B6EEBA" w:tentative="1">
      <w:start w:val="1"/>
      <w:numFmt w:val="decimal"/>
      <w:lvlText w:val="%7."/>
      <w:lvlJc w:val="left"/>
      <w:pPr>
        <w:ind w:left="5040" w:hanging="360"/>
      </w:pPr>
    </w:lvl>
    <w:lvl w:ilvl="7" w:tplc="F5EC178E" w:tentative="1">
      <w:start w:val="1"/>
      <w:numFmt w:val="lowerLetter"/>
      <w:lvlText w:val="%8."/>
      <w:lvlJc w:val="left"/>
      <w:pPr>
        <w:ind w:left="5760" w:hanging="360"/>
      </w:pPr>
    </w:lvl>
    <w:lvl w:ilvl="8" w:tplc="ECBEF5D8" w:tentative="1">
      <w:start w:val="1"/>
      <w:numFmt w:val="lowerRoman"/>
      <w:lvlText w:val="%9."/>
      <w:lvlJc w:val="right"/>
      <w:pPr>
        <w:ind w:left="6480" w:hanging="180"/>
      </w:pPr>
    </w:lvl>
  </w:abstractNum>
  <w:abstractNum w:abstractNumId="123">
    <w:nsid w:val="726C763E"/>
    <w:multiLevelType w:val="hybridMultilevel"/>
    <w:tmpl w:val="D6287B26"/>
    <w:lvl w:ilvl="0" w:tplc="0409001B">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4">
    <w:nsid w:val="727F369E"/>
    <w:multiLevelType w:val="hybridMultilevel"/>
    <w:tmpl w:val="EF8C7174"/>
    <w:lvl w:ilvl="0" w:tplc="DBEC7274">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35F2F20E">
      <w:start w:val="1"/>
      <w:numFmt w:val="decimal"/>
      <w:lvlText w:val="%3."/>
      <w:lvlJc w:val="left"/>
      <w:pPr>
        <w:tabs>
          <w:tab w:val="num" w:pos="2160"/>
        </w:tabs>
        <w:ind w:left="2160" w:hanging="360"/>
      </w:pPr>
    </w:lvl>
    <w:lvl w:ilvl="3" w:tplc="8DC2CA54">
      <w:start w:val="1"/>
      <w:numFmt w:val="decimal"/>
      <w:lvlText w:val="%4."/>
      <w:lvlJc w:val="left"/>
      <w:pPr>
        <w:tabs>
          <w:tab w:val="num" w:pos="2880"/>
        </w:tabs>
        <w:ind w:left="2880" w:hanging="360"/>
      </w:pPr>
    </w:lvl>
    <w:lvl w:ilvl="4" w:tplc="81423354">
      <w:start w:val="1"/>
      <w:numFmt w:val="decimal"/>
      <w:lvlText w:val="%5."/>
      <w:lvlJc w:val="left"/>
      <w:pPr>
        <w:tabs>
          <w:tab w:val="num" w:pos="3600"/>
        </w:tabs>
        <w:ind w:left="3600" w:hanging="360"/>
      </w:pPr>
    </w:lvl>
    <w:lvl w:ilvl="5" w:tplc="914C74B2">
      <w:start w:val="1"/>
      <w:numFmt w:val="decimal"/>
      <w:lvlText w:val="%6."/>
      <w:lvlJc w:val="left"/>
      <w:pPr>
        <w:tabs>
          <w:tab w:val="num" w:pos="4320"/>
        </w:tabs>
        <w:ind w:left="4320" w:hanging="360"/>
      </w:pPr>
    </w:lvl>
    <w:lvl w:ilvl="6" w:tplc="3E06FB5E">
      <w:start w:val="1"/>
      <w:numFmt w:val="decimal"/>
      <w:lvlText w:val="%7."/>
      <w:lvlJc w:val="left"/>
      <w:pPr>
        <w:tabs>
          <w:tab w:val="num" w:pos="5040"/>
        </w:tabs>
        <w:ind w:left="5040" w:hanging="360"/>
      </w:pPr>
    </w:lvl>
    <w:lvl w:ilvl="7" w:tplc="DC961B10">
      <w:start w:val="1"/>
      <w:numFmt w:val="decimal"/>
      <w:lvlText w:val="%8."/>
      <w:lvlJc w:val="left"/>
      <w:pPr>
        <w:tabs>
          <w:tab w:val="num" w:pos="5760"/>
        </w:tabs>
        <w:ind w:left="5760" w:hanging="360"/>
      </w:pPr>
    </w:lvl>
    <w:lvl w:ilvl="8" w:tplc="B51C786E">
      <w:start w:val="1"/>
      <w:numFmt w:val="decimal"/>
      <w:lvlText w:val="%9."/>
      <w:lvlJc w:val="left"/>
      <w:pPr>
        <w:tabs>
          <w:tab w:val="num" w:pos="6480"/>
        </w:tabs>
        <w:ind w:left="6480" w:hanging="360"/>
      </w:pPr>
    </w:lvl>
  </w:abstractNum>
  <w:abstractNum w:abstractNumId="125">
    <w:nsid w:val="73E20922"/>
    <w:multiLevelType w:val="hybridMultilevel"/>
    <w:tmpl w:val="0F3A96EC"/>
    <w:lvl w:ilvl="0" w:tplc="08090005">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4010E3D"/>
    <w:multiLevelType w:val="hybridMultilevel"/>
    <w:tmpl w:val="B700F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74B77129"/>
    <w:multiLevelType w:val="hybridMultilevel"/>
    <w:tmpl w:val="29AAD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5731394"/>
    <w:multiLevelType w:val="hybridMultilevel"/>
    <w:tmpl w:val="898663E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57C5F74"/>
    <w:multiLevelType w:val="hybridMultilevel"/>
    <w:tmpl w:val="08087216"/>
    <w:lvl w:ilvl="0" w:tplc="9BD00C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5A635FB"/>
    <w:multiLevelType w:val="hybridMultilevel"/>
    <w:tmpl w:val="33E40560"/>
    <w:lvl w:ilvl="0" w:tplc="55DEBE40">
      <w:start w:val="1"/>
      <w:numFmt w:val="lowerRoman"/>
      <w:lvlText w:val="%1."/>
      <w:lvlJc w:val="righ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1">
    <w:nsid w:val="77792396"/>
    <w:multiLevelType w:val="hybridMultilevel"/>
    <w:tmpl w:val="CA20EB88"/>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7B949B4"/>
    <w:multiLevelType w:val="hybridMultilevel"/>
    <w:tmpl w:val="FCE8E40E"/>
    <w:lvl w:ilvl="0" w:tplc="7AF46200">
      <w:start w:val="1"/>
      <w:numFmt w:val="bullet"/>
      <w:pStyle w:val="StyleJustifiedCharCha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7E42BC8"/>
    <w:multiLevelType w:val="hybridMultilevel"/>
    <w:tmpl w:val="A6C2DC7C"/>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7F94B0B"/>
    <w:multiLevelType w:val="hybridMultilevel"/>
    <w:tmpl w:val="64F46F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nsid w:val="78965949"/>
    <w:multiLevelType w:val="hybridMultilevel"/>
    <w:tmpl w:val="293EB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A904879"/>
    <w:multiLevelType w:val="hybridMultilevel"/>
    <w:tmpl w:val="FB00E224"/>
    <w:lvl w:ilvl="0" w:tplc="EA929BF0">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37">
    <w:nsid w:val="7B194E93"/>
    <w:multiLevelType w:val="hybridMultilevel"/>
    <w:tmpl w:val="39165B32"/>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C0C3CD1"/>
    <w:multiLevelType w:val="hybridMultilevel"/>
    <w:tmpl w:val="9FDE97FC"/>
    <w:lvl w:ilvl="0" w:tplc="0409001B">
      <w:start w:val="1"/>
      <w:numFmt w:val="lowerRoman"/>
      <w:lvlText w:val="%1."/>
      <w:lvlJc w:val="righ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nsid w:val="7DF609C8"/>
    <w:multiLevelType w:val="hybridMultilevel"/>
    <w:tmpl w:val="3ED6E35A"/>
    <w:lvl w:ilvl="0" w:tplc="6F00CD72">
      <w:numFmt w:val="bullet"/>
      <w:lvlText w:val="•"/>
      <w:lvlJc w:val="left"/>
      <w:pPr>
        <w:ind w:left="360" w:hanging="360"/>
      </w:pPr>
      <w:rPr>
        <w:rFonts w:ascii="Palatino Linotype" w:eastAsia="Calibri" w:hAnsi="Palatino Linotype" w:cs="Times New Roman" w:hint="default"/>
        <w:sz w:val="16"/>
        <w:szCs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0">
    <w:nsid w:val="7EA6009D"/>
    <w:multiLevelType w:val="hybridMultilevel"/>
    <w:tmpl w:val="6BCCCA00"/>
    <w:lvl w:ilvl="0" w:tplc="11764752">
      <w:start w:val="1"/>
      <w:numFmt w:val="bullet"/>
      <w:lvlText w:val=""/>
      <w:lvlJc w:val="left"/>
      <w:pPr>
        <w:tabs>
          <w:tab w:val="num" w:pos="720"/>
        </w:tabs>
        <w:ind w:left="720" w:hanging="360"/>
      </w:pPr>
      <w:rPr>
        <w:rFonts w:ascii="Wingdings" w:hAnsi="Wingdings" w:hint="default"/>
      </w:rPr>
    </w:lvl>
    <w:lvl w:ilvl="1" w:tplc="6B9A66CC">
      <w:start w:val="1"/>
      <w:numFmt w:val="decimal"/>
      <w:lvlText w:val="%2."/>
      <w:lvlJc w:val="left"/>
      <w:pPr>
        <w:tabs>
          <w:tab w:val="num" w:pos="1440"/>
        </w:tabs>
        <w:ind w:left="1440" w:hanging="360"/>
      </w:pPr>
    </w:lvl>
    <w:lvl w:ilvl="2" w:tplc="17E8719C">
      <w:start w:val="1"/>
      <w:numFmt w:val="decimal"/>
      <w:lvlText w:val="%3."/>
      <w:lvlJc w:val="left"/>
      <w:pPr>
        <w:tabs>
          <w:tab w:val="num" w:pos="2160"/>
        </w:tabs>
        <w:ind w:left="2160" w:hanging="360"/>
      </w:pPr>
    </w:lvl>
    <w:lvl w:ilvl="3" w:tplc="00761F04">
      <w:start w:val="1"/>
      <w:numFmt w:val="decimal"/>
      <w:lvlText w:val="%4."/>
      <w:lvlJc w:val="left"/>
      <w:pPr>
        <w:tabs>
          <w:tab w:val="num" w:pos="2880"/>
        </w:tabs>
        <w:ind w:left="2880" w:hanging="360"/>
      </w:pPr>
    </w:lvl>
    <w:lvl w:ilvl="4" w:tplc="5D3E8608">
      <w:start w:val="1"/>
      <w:numFmt w:val="decimal"/>
      <w:lvlText w:val="%5."/>
      <w:lvlJc w:val="left"/>
      <w:pPr>
        <w:tabs>
          <w:tab w:val="num" w:pos="3600"/>
        </w:tabs>
        <w:ind w:left="3600" w:hanging="360"/>
      </w:pPr>
    </w:lvl>
    <w:lvl w:ilvl="5" w:tplc="83EEB4C8">
      <w:start w:val="1"/>
      <w:numFmt w:val="decimal"/>
      <w:lvlText w:val="%6."/>
      <w:lvlJc w:val="left"/>
      <w:pPr>
        <w:tabs>
          <w:tab w:val="num" w:pos="4320"/>
        </w:tabs>
        <w:ind w:left="4320" w:hanging="360"/>
      </w:pPr>
    </w:lvl>
    <w:lvl w:ilvl="6" w:tplc="1206DDF2">
      <w:start w:val="1"/>
      <w:numFmt w:val="decimal"/>
      <w:lvlText w:val="%7."/>
      <w:lvlJc w:val="left"/>
      <w:pPr>
        <w:tabs>
          <w:tab w:val="num" w:pos="5040"/>
        </w:tabs>
        <w:ind w:left="5040" w:hanging="360"/>
      </w:pPr>
    </w:lvl>
    <w:lvl w:ilvl="7" w:tplc="07D28410">
      <w:start w:val="1"/>
      <w:numFmt w:val="decimal"/>
      <w:lvlText w:val="%8."/>
      <w:lvlJc w:val="left"/>
      <w:pPr>
        <w:tabs>
          <w:tab w:val="num" w:pos="5760"/>
        </w:tabs>
        <w:ind w:left="5760" w:hanging="360"/>
      </w:pPr>
    </w:lvl>
    <w:lvl w:ilvl="8" w:tplc="D08C2830">
      <w:start w:val="1"/>
      <w:numFmt w:val="decimal"/>
      <w:lvlText w:val="%9."/>
      <w:lvlJc w:val="left"/>
      <w:pPr>
        <w:tabs>
          <w:tab w:val="num" w:pos="6480"/>
        </w:tabs>
        <w:ind w:left="6480" w:hanging="360"/>
      </w:pPr>
    </w:lvl>
  </w:abstractNum>
  <w:abstractNum w:abstractNumId="141">
    <w:nsid w:val="7EED2966"/>
    <w:multiLevelType w:val="hybridMultilevel"/>
    <w:tmpl w:val="D880419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2">
    <w:nsid w:val="7F372484"/>
    <w:multiLevelType w:val="hybridMultilevel"/>
    <w:tmpl w:val="09E042CC"/>
    <w:lvl w:ilvl="0" w:tplc="04090005">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0"/>
  </w:num>
  <w:num w:numId="3">
    <w:abstractNumId w:val="110"/>
  </w:num>
  <w:num w:numId="4">
    <w:abstractNumId w:val="54"/>
  </w:num>
  <w:num w:numId="5">
    <w:abstractNumId w:val="125"/>
  </w:num>
  <w:num w:numId="6">
    <w:abstractNumId w:val="102"/>
  </w:num>
  <w:num w:numId="7">
    <w:abstractNumId w:val="75"/>
  </w:num>
  <w:num w:numId="8">
    <w:abstractNumId w:val="15"/>
  </w:num>
  <w:num w:numId="9">
    <w:abstractNumId w:val="93"/>
  </w:num>
  <w:num w:numId="10">
    <w:abstractNumId w:val="91"/>
  </w:num>
  <w:num w:numId="11">
    <w:abstractNumId w:val="40"/>
  </w:num>
  <w:num w:numId="12">
    <w:abstractNumId w:val="2"/>
  </w:num>
  <w:num w:numId="13">
    <w:abstractNumId w:val="0"/>
  </w:num>
  <w:num w:numId="14">
    <w:abstractNumId w:val="3"/>
  </w:num>
  <w:num w:numId="15">
    <w:abstractNumId w:val="81"/>
  </w:num>
  <w:num w:numId="16">
    <w:abstractNumId w:val="8"/>
  </w:num>
  <w:num w:numId="17">
    <w:abstractNumId w:val="20"/>
  </w:num>
  <w:num w:numId="18">
    <w:abstractNumId w:val="60"/>
  </w:num>
  <w:num w:numId="19">
    <w:abstractNumId w:val="142"/>
  </w:num>
  <w:num w:numId="20">
    <w:abstractNumId w:val="111"/>
  </w:num>
  <w:num w:numId="21">
    <w:abstractNumId w:val="79"/>
  </w:num>
  <w:num w:numId="22">
    <w:abstractNumId w:val="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23"/>
  </w:num>
  <w:num w:numId="25">
    <w:abstractNumId w:val="29"/>
  </w:num>
  <w:num w:numId="26">
    <w:abstractNumId w:val="49"/>
  </w:num>
  <w:num w:numId="27">
    <w:abstractNumId w:val="92"/>
  </w:num>
  <w:num w:numId="28">
    <w:abstractNumId w:val="87"/>
  </w:num>
  <w:num w:numId="29">
    <w:abstractNumId w:val="46"/>
  </w:num>
  <w:num w:numId="30">
    <w:abstractNumId w:val="71"/>
  </w:num>
  <w:num w:numId="31">
    <w:abstractNumId w:val="22"/>
  </w:num>
  <w:num w:numId="32">
    <w:abstractNumId w:val="83"/>
  </w:num>
  <w:num w:numId="33">
    <w:abstractNumId w:val="122"/>
  </w:num>
  <w:num w:numId="34">
    <w:abstractNumId w:val="106"/>
  </w:num>
  <w:num w:numId="35">
    <w:abstractNumId w:val="99"/>
  </w:num>
  <w:num w:numId="36">
    <w:abstractNumId w:val="130"/>
  </w:num>
  <w:num w:numId="37">
    <w:abstractNumId w:val="127"/>
  </w:num>
  <w:num w:numId="38">
    <w:abstractNumId w:val="52"/>
  </w:num>
  <w:num w:numId="39">
    <w:abstractNumId w:val="44"/>
  </w:num>
  <w:num w:numId="40">
    <w:abstractNumId w:val="104"/>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1"/>
  </w:num>
  <w:num w:numId="44">
    <w:abstractNumId w:val="62"/>
  </w:num>
  <w:num w:numId="45">
    <w:abstractNumId w:val="136"/>
  </w:num>
  <w:num w:numId="46">
    <w:abstractNumId w:val="4"/>
  </w:num>
  <w:num w:numId="47">
    <w:abstractNumId w:val="28"/>
  </w:num>
  <w:num w:numId="48">
    <w:abstractNumId w:val="98"/>
  </w:num>
  <w:num w:numId="49">
    <w:abstractNumId w:val="114"/>
  </w:num>
  <w:num w:numId="50">
    <w:abstractNumId w:val="50"/>
  </w:num>
  <w:num w:numId="51">
    <w:abstractNumId w:val="58"/>
  </w:num>
  <w:num w:numId="52">
    <w:abstractNumId w:val="66"/>
  </w:num>
  <w:num w:numId="53">
    <w:abstractNumId w:val="129"/>
  </w:num>
  <w:num w:numId="54">
    <w:abstractNumId w:val="97"/>
  </w:num>
  <w:num w:numId="55">
    <w:abstractNumId w:val="53"/>
  </w:num>
  <w:num w:numId="56">
    <w:abstractNumId w:val="38"/>
  </w:num>
  <w:num w:numId="57">
    <w:abstractNumId w:val="103"/>
  </w:num>
  <w:num w:numId="58">
    <w:abstractNumId w:val="119"/>
  </w:num>
  <w:num w:numId="59">
    <w:abstractNumId w:val="131"/>
  </w:num>
  <w:num w:numId="60">
    <w:abstractNumId w:val="57"/>
  </w:num>
  <w:num w:numId="61">
    <w:abstractNumId w:val="82"/>
  </w:num>
  <w:num w:numId="62">
    <w:abstractNumId w:val="13"/>
  </w:num>
  <w:num w:numId="63">
    <w:abstractNumId w:val="63"/>
  </w:num>
  <w:num w:numId="64">
    <w:abstractNumId w:val="90"/>
  </w:num>
  <w:num w:numId="65">
    <w:abstractNumId w:val="32"/>
  </w:num>
  <w:num w:numId="66">
    <w:abstractNumId w:val="109"/>
  </w:num>
  <w:num w:numId="67">
    <w:abstractNumId w:val="17"/>
  </w:num>
  <w:num w:numId="68">
    <w:abstractNumId w:val="123"/>
  </w:num>
  <w:num w:numId="69">
    <w:abstractNumId w:val="25"/>
  </w:num>
  <w:num w:numId="70">
    <w:abstractNumId w:val="27"/>
  </w:num>
  <w:num w:numId="71">
    <w:abstractNumId w:val="1"/>
  </w:num>
  <w:num w:numId="72">
    <w:abstractNumId w:val="36"/>
  </w:num>
  <w:num w:numId="73">
    <w:abstractNumId w:val="7"/>
  </w:num>
  <w:num w:numId="74">
    <w:abstractNumId w:val="34"/>
  </w:num>
  <w:num w:numId="75">
    <w:abstractNumId w:val="70"/>
  </w:num>
  <w:num w:numId="76">
    <w:abstractNumId w:val="118"/>
  </w:num>
  <w:num w:numId="77">
    <w:abstractNumId w:val="94"/>
  </w:num>
  <w:num w:numId="78">
    <w:abstractNumId w:val="128"/>
  </w:num>
  <w:num w:numId="79">
    <w:abstractNumId w:val="105"/>
  </w:num>
  <w:num w:numId="80">
    <w:abstractNumId w:val="137"/>
  </w:num>
  <w:num w:numId="81">
    <w:abstractNumId w:val="33"/>
  </w:num>
  <w:num w:numId="82">
    <w:abstractNumId w:val="78"/>
  </w:num>
  <w:num w:numId="83">
    <w:abstractNumId w:val="117"/>
  </w:num>
  <w:num w:numId="84">
    <w:abstractNumId w:val="9"/>
  </w:num>
  <w:num w:numId="85">
    <w:abstractNumId w:val="18"/>
  </w:num>
  <w:num w:numId="86">
    <w:abstractNumId w:val="37"/>
  </w:num>
  <w:num w:numId="87">
    <w:abstractNumId w:val="56"/>
  </w:num>
  <w:num w:numId="88">
    <w:abstractNumId w:val="132"/>
  </w:num>
  <w:num w:numId="89">
    <w:abstractNumId w:val="35"/>
  </w:num>
  <w:num w:numId="90">
    <w:abstractNumId w:val="101"/>
  </w:num>
  <w:num w:numId="91">
    <w:abstractNumId w:val="26"/>
  </w:num>
  <w:num w:numId="92">
    <w:abstractNumId w:val="84"/>
  </w:num>
  <w:num w:numId="93">
    <w:abstractNumId w:val="65"/>
  </w:num>
  <w:num w:numId="94">
    <w:abstractNumId w:val="74"/>
  </w:num>
  <w:num w:numId="95">
    <w:abstractNumId w:val="113"/>
  </w:num>
  <w:num w:numId="96">
    <w:abstractNumId w:val="48"/>
  </w:num>
  <w:num w:numId="97">
    <w:abstractNumId w:val="6"/>
  </w:num>
  <w:num w:numId="98">
    <w:abstractNumId w:val="115"/>
  </w:num>
  <w:num w:numId="99">
    <w:abstractNumId w:val="116"/>
  </w:num>
  <w:num w:numId="100">
    <w:abstractNumId w:val="42"/>
  </w:num>
  <w:num w:numId="101">
    <w:abstractNumId w:val="12"/>
  </w:num>
  <w:num w:numId="102">
    <w:abstractNumId w:val="126"/>
  </w:num>
  <w:num w:numId="103">
    <w:abstractNumId w:val="88"/>
  </w:num>
  <w:num w:numId="104">
    <w:abstractNumId w:val="30"/>
  </w:num>
  <w:num w:numId="105">
    <w:abstractNumId w:val="89"/>
  </w:num>
  <w:num w:numId="106">
    <w:abstractNumId w:val="61"/>
  </w:num>
  <w:num w:numId="107">
    <w:abstractNumId w:val="95"/>
  </w:num>
  <w:num w:numId="108">
    <w:abstractNumId w:val="19"/>
  </w:num>
  <w:num w:numId="109">
    <w:abstractNumId w:val="107"/>
  </w:num>
  <w:num w:numId="110">
    <w:abstractNumId w:val="68"/>
  </w:num>
  <w:num w:numId="111">
    <w:abstractNumId w:val="135"/>
  </w:num>
  <w:num w:numId="112">
    <w:abstractNumId w:val="73"/>
  </w:num>
  <w:num w:numId="113">
    <w:abstractNumId w:val="24"/>
  </w:num>
  <w:num w:numId="114">
    <w:abstractNumId w:val="45"/>
  </w:num>
  <w:num w:numId="115">
    <w:abstractNumId w:val="120"/>
  </w:num>
  <w:num w:numId="116">
    <w:abstractNumId w:val="47"/>
  </w:num>
  <w:num w:numId="117">
    <w:abstractNumId w:val="59"/>
  </w:num>
  <w:num w:numId="118">
    <w:abstractNumId w:val="10"/>
  </w:num>
  <w:num w:numId="119">
    <w:abstractNumId w:val="76"/>
  </w:num>
  <w:num w:numId="120">
    <w:abstractNumId w:val="14"/>
  </w:num>
  <w:num w:numId="121">
    <w:abstractNumId w:val="67"/>
  </w:num>
  <w:num w:numId="122">
    <w:abstractNumId w:val="108"/>
  </w:num>
  <w:num w:numId="123">
    <w:abstractNumId w:val="134"/>
  </w:num>
  <w:num w:numId="124">
    <w:abstractNumId w:val="100"/>
  </w:num>
  <w:num w:numId="125">
    <w:abstractNumId w:val="31"/>
  </w:num>
  <w:num w:numId="126">
    <w:abstractNumId w:val="51"/>
  </w:num>
  <w:num w:numId="127">
    <w:abstractNumId w:val="11"/>
  </w:num>
  <w:num w:numId="128">
    <w:abstractNumId w:val="121"/>
  </w:num>
  <w:num w:numId="129">
    <w:abstractNumId w:val="138"/>
  </w:num>
  <w:num w:numId="130">
    <w:abstractNumId w:val="43"/>
  </w:num>
  <w:num w:numId="131">
    <w:abstractNumId w:val="133"/>
  </w:num>
  <w:num w:numId="132">
    <w:abstractNumId w:val="96"/>
  </w:num>
  <w:num w:numId="133">
    <w:abstractNumId w:val="139"/>
  </w:num>
  <w:num w:numId="134">
    <w:abstractNumId w:val="69"/>
  </w:num>
  <w:num w:numId="135">
    <w:abstractNumId w:val="21"/>
  </w:num>
  <w:num w:numId="136">
    <w:abstractNumId w:val="64"/>
  </w:num>
  <w:num w:numId="137">
    <w:abstractNumId w:val="85"/>
  </w:num>
  <w:num w:numId="138">
    <w:abstractNumId w:val="72"/>
  </w:num>
  <w:num w:numId="139">
    <w:abstractNumId w:val="112"/>
  </w:num>
  <w:num w:numId="140">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9F1"/>
    <w:rsid w:val="000815A7"/>
    <w:rsid w:val="000A0A23"/>
    <w:rsid w:val="000B0901"/>
    <w:rsid w:val="000C58EE"/>
    <w:rsid w:val="00104446"/>
    <w:rsid w:val="0013199A"/>
    <w:rsid w:val="001A2E20"/>
    <w:rsid w:val="001B33E6"/>
    <w:rsid w:val="001C313D"/>
    <w:rsid w:val="001D28FE"/>
    <w:rsid w:val="001D55CF"/>
    <w:rsid w:val="002073DD"/>
    <w:rsid w:val="00212BBD"/>
    <w:rsid w:val="0027452F"/>
    <w:rsid w:val="00274941"/>
    <w:rsid w:val="002B39F1"/>
    <w:rsid w:val="002E6842"/>
    <w:rsid w:val="00300432"/>
    <w:rsid w:val="00352B25"/>
    <w:rsid w:val="003A58CB"/>
    <w:rsid w:val="003B63F9"/>
    <w:rsid w:val="004B692F"/>
    <w:rsid w:val="004C4B6C"/>
    <w:rsid w:val="0051683D"/>
    <w:rsid w:val="005E15B0"/>
    <w:rsid w:val="0060461B"/>
    <w:rsid w:val="00636E55"/>
    <w:rsid w:val="00680DFC"/>
    <w:rsid w:val="006D2DA9"/>
    <w:rsid w:val="0071027C"/>
    <w:rsid w:val="00797265"/>
    <w:rsid w:val="007E0D79"/>
    <w:rsid w:val="008559EB"/>
    <w:rsid w:val="008A3C38"/>
    <w:rsid w:val="008D51D9"/>
    <w:rsid w:val="009075EF"/>
    <w:rsid w:val="00911FEF"/>
    <w:rsid w:val="00925884"/>
    <w:rsid w:val="00944559"/>
    <w:rsid w:val="00963D59"/>
    <w:rsid w:val="00984533"/>
    <w:rsid w:val="00A424B6"/>
    <w:rsid w:val="00A87045"/>
    <w:rsid w:val="00AA771C"/>
    <w:rsid w:val="00AE55A9"/>
    <w:rsid w:val="00B247C9"/>
    <w:rsid w:val="00B4791B"/>
    <w:rsid w:val="00BE5A5D"/>
    <w:rsid w:val="00C26F23"/>
    <w:rsid w:val="00C648BD"/>
    <w:rsid w:val="00CA2306"/>
    <w:rsid w:val="00CC5AA4"/>
    <w:rsid w:val="00CC749A"/>
    <w:rsid w:val="00CD04C6"/>
    <w:rsid w:val="00D30C40"/>
    <w:rsid w:val="00E3672D"/>
    <w:rsid w:val="00E61002"/>
    <w:rsid w:val="00F4045D"/>
    <w:rsid w:val="00F5275C"/>
    <w:rsid w:val="00FF2CD0"/>
    <w:rsid w:val="00FF6F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9F1"/>
    <w:pPr>
      <w:widowControl w:val="0"/>
      <w:spacing w:before="0" w:after="200"/>
    </w:pPr>
  </w:style>
  <w:style w:type="paragraph" w:styleId="Heading1">
    <w:name w:val="heading 1"/>
    <w:basedOn w:val="Normal"/>
    <w:next w:val="Normal"/>
    <w:link w:val="Heading1Char"/>
    <w:uiPriority w:val="9"/>
    <w:qFormat/>
    <w:rsid w:val="002B39F1"/>
    <w:pPr>
      <w:keepNext/>
      <w:keepLines/>
      <w:widowControl/>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39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B39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1027C"/>
    <w:pPr>
      <w:keepNext/>
      <w:keepLines/>
      <w:widowControl/>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027C"/>
    <w:pPr>
      <w:widowControl/>
      <w:spacing w:before="240" w:after="60"/>
      <w:outlineLvl w:val="4"/>
    </w:pPr>
    <w:rPr>
      <w:rFonts w:ascii="Cambria" w:eastAsia="Times New Roman" w:hAnsi="Cambria" w:cs="Times New Roman"/>
      <w:b/>
      <w:bCs/>
      <w:i/>
      <w:iCs/>
      <w:color w:val="4F81BD"/>
      <w:sz w:val="26"/>
      <w:szCs w:val="26"/>
    </w:rPr>
  </w:style>
  <w:style w:type="paragraph" w:styleId="Heading8">
    <w:name w:val="heading 8"/>
    <w:basedOn w:val="Normal"/>
    <w:next w:val="Normal"/>
    <w:link w:val="Heading8Char"/>
    <w:uiPriority w:val="9"/>
    <w:semiHidden/>
    <w:unhideWhenUsed/>
    <w:qFormat/>
    <w:rsid w:val="0071027C"/>
    <w:pPr>
      <w:widowControl/>
      <w:spacing w:before="240" w:after="60"/>
      <w:outlineLvl w:val="7"/>
    </w:pPr>
    <w:rPr>
      <w:rFonts w:ascii="Cambria" w:eastAsia="Times New Roman" w:hAnsi="Cambria" w:cs="Times New Roman"/>
      <w:i/>
      <w:i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9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39F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B39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1027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1027C"/>
    <w:rPr>
      <w:rFonts w:ascii="Cambria" w:eastAsia="Times New Roman" w:hAnsi="Cambria" w:cs="Times New Roman"/>
      <w:b/>
      <w:bCs/>
      <w:i/>
      <w:iCs/>
      <w:color w:val="4F81BD"/>
      <w:sz w:val="26"/>
      <w:szCs w:val="26"/>
    </w:rPr>
  </w:style>
  <w:style w:type="paragraph" w:styleId="FootnoteText">
    <w:name w:val="footnote text"/>
    <w:basedOn w:val="Normal"/>
    <w:link w:val="FootnoteTextChar"/>
    <w:uiPriority w:val="99"/>
    <w:unhideWhenUsed/>
    <w:rsid w:val="002B39F1"/>
    <w:pPr>
      <w:spacing w:after="0" w:line="240" w:lineRule="auto"/>
    </w:pPr>
    <w:rPr>
      <w:sz w:val="20"/>
      <w:szCs w:val="20"/>
    </w:rPr>
  </w:style>
  <w:style w:type="character" w:customStyle="1" w:styleId="FootnoteTextChar">
    <w:name w:val="Footnote Text Char"/>
    <w:basedOn w:val="DefaultParagraphFont"/>
    <w:link w:val="FootnoteText"/>
    <w:uiPriority w:val="99"/>
    <w:rsid w:val="002B39F1"/>
    <w:rPr>
      <w:sz w:val="20"/>
      <w:szCs w:val="20"/>
    </w:rPr>
  </w:style>
  <w:style w:type="character" w:styleId="FootnoteReference">
    <w:name w:val="footnote reference"/>
    <w:basedOn w:val="DefaultParagraphFont"/>
    <w:uiPriority w:val="99"/>
    <w:unhideWhenUsed/>
    <w:rsid w:val="002B39F1"/>
    <w:rPr>
      <w:vertAlign w:val="superscript"/>
    </w:rPr>
  </w:style>
  <w:style w:type="paragraph" w:styleId="BalloonText">
    <w:name w:val="Balloon Text"/>
    <w:basedOn w:val="Normal"/>
    <w:link w:val="BalloonTextChar"/>
    <w:uiPriority w:val="99"/>
    <w:semiHidden/>
    <w:unhideWhenUsed/>
    <w:rsid w:val="002B3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9F1"/>
    <w:rPr>
      <w:rFonts w:ascii="Tahoma" w:hAnsi="Tahoma" w:cs="Tahoma"/>
      <w:sz w:val="16"/>
      <w:szCs w:val="16"/>
    </w:rPr>
  </w:style>
  <w:style w:type="paragraph" w:styleId="Header">
    <w:name w:val="header"/>
    <w:basedOn w:val="Normal"/>
    <w:link w:val="HeaderChar"/>
    <w:uiPriority w:val="99"/>
    <w:unhideWhenUsed/>
    <w:rsid w:val="00CD04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4C6"/>
  </w:style>
  <w:style w:type="paragraph" w:styleId="Footer">
    <w:name w:val="footer"/>
    <w:basedOn w:val="Normal"/>
    <w:link w:val="FooterChar"/>
    <w:uiPriority w:val="99"/>
    <w:unhideWhenUsed/>
    <w:rsid w:val="00CD04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4C6"/>
  </w:style>
  <w:style w:type="paragraph" w:styleId="ListParagraph">
    <w:name w:val="List Paragraph"/>
    <w:basedOn w:val="Normal"/>
    <w:link w:val="ListParagraphChar"/>
    <w:uiPriority w:val="34"/>
    <w:qFormat/>
    <w:rsid w:val="0071027C"/>
    <w:pPr>
      <w:widowControl/>
      <w:spacing w:after="0" w:line="240" w:lineRule="auto"/>
      <w:ind w:left="720"/>
      <w:contextualSpacing/>
    </w:pPr>
    <w:rPr>
      <w:rFonts w:ascii="Times New Roman" w:eastAsia="Times New Roman" w:hAnsi="Times New Roman" w:cs="Times New Roman"/>
      <w:sz w:val="24"/>
      <w:szCs w:val="24"/>
      <w:lang w:val="af-ZA" w:eastAsia="af-ZA"/>
    </w:rPr>
  </w:style>
  <w:style w:type="character" w:customStyle="1" w:styleId="ListParagraphChar">
    <w:name w:val="List Paragraph Char"/>
    <w:basedOn w:val="DefaultParagraphFont"/>
    <w:link w:val="ListParagraph"/>
    <w:uiPriority w:val="34"/>
    <w:rsid w:val="0071027C"/>
    <w:rPr>
      <w:rFonts w:ascii="Times New Roman" w:eastAsia="Times New Roman" w:hAnsi="Times New Roman" w:cs="Times New Roman"/>
      <w:sz w:val="24"/>
      <w:szCs w:val="24"/>
      <w:lang w:val="af-ZA" w:eastAsia="af-ZA"/>
    </w:rPr>
  </w:style>
  <w:style w:type="paragraph" w:styleId="NormalWeb">
    <w:name w:val="Normal (Web)"/>
    <w:basedOn w:val="Normal"/>
    <w:uiPriority w:val="99"/>
    <w:unhideWhenUsed/>
    <w:rsid w:val="0071027C"/>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JustifiedCharChar">
    <w:name w:val="Style Justified Char Char"/>
    <w:basedOn w:val="Normal"/>
    <w:autoRedefine/>
    <w:rsid w:val="00B247C9"/>
    <w:pPr>
      <w:widowControl/>
      <w:numPr>
        <w:numId w:val="88"/>
      </w:numPr>
      <w:spacing w:after="0" w:line="240" w:lineRule="auto"/>
      <w:jc w:val="both"/>
    </w:pPr>
    <w:rPr>
      <w:rFonts w:ascii="Arial" w:eastAsia="Times New Roman" w:hAnsi="Arial" w:cs="Arial"/>
      <w:lang w:val="en-GB"/>
    </w:rPr>
  </w:style>
  <w:style w:type="paragraph" w:customStyle="1" w:styleId="tabletextNS">
    <w:name w:val="table:textNS"/>
    <w:basedOn w:val="Normal"/>
    <w:rsid w:val="0071027C"/>
    <w:pPr>
      <w:widowControl/>
      <w:spacing w:after="0" w:line="240" w:lineRule="auto"/>
    </w:pPr>
    <w:rPr>
      <w:rFonts w:ascii="Arial Narrow" w:eastAsia="Times New Roman" w:hAnsi="Arial Narrow" w:cs="Times New Roman"/>
      <w:sz w:val="24"/>
      <w:szCs w:val="20"/>
      <w:lang w:val="en-GB"/>
    </w:rPr>
  </w:style>
  <w:style w:type="paragraph" w:customStyle="1" w:styleId="Default">
    <w:name w:val="Default"/>
    <w:rsid w:val="0071027C"/>
    <w:pPr>
      <w:autoSpaceDE w:val="0"/>
      <w:autoSpaceDN w:val="0"/>
      <w:adjustRightInd w:val="0"/>
      <w:spacing w:before="0" w:line="240" w:lineRule="auto"/>
    </w:pPr>
    <w:rPr>
      <w:rFonts w:ascii="Arial" w:hAnsi="Arial" w:cs="Arial"/>
      <w:color w:val="000000"/>
      <w:sz w:val="24"/>
      <w:szCs w:val="24"/>
    </w:rPr>
  </w:style>
  <w:style w:type="paragraph" w:customStyle="1" w:styleId="Pa1">
    <w:name w:val="Pa1"/>
    <w:basedOn w:val="Normal"/>
    <w:next w:val="Normal"/>
    <w:uiPriority w:val="99"/>
    <w:rsid w:val="0071027C"/>
    <w:pPr>
      <w:widowControl/>
      <w:autoSpaceDE w:val="0"/>
      <w:autoSpaceDN w:val="0"/>
      <w:adjustRightInd w:val="0"/>
      <w:spacing w:after="0" w:line="221" w:lineRule="atLeast"/>
    </w:pPr>
    <w:rPr>
      <w:rFonts w:ascii="GillSans" w:eastAsia="Calibri" w:hAnsi="GillSans" w:cs="Times New Roman"/>
      <w:sz w:val="24"/>
      <w:szCs w:val="24"/>
    </w:rPr>
  </w:style>
  <w:style w:type="paragraph" w:customStyle="1" w:styleId="Pa18">
    <w:name w:val="Pa18"/>
    <w:basedOn w:val="Normal"/>
    <w:next w:val="Normal"/>
    <w:uiPriority w:val="99"/>
    <w:rsid w:val="0071027C"/>
    <w:pPr>
      <w:widowControl/>
      <w:autoSpaceDE w:val="0"/>
      <w:autoSpaceDN w:val="0"/>
      <w:adjustRightInd w:val="0"/>
      <w:spacing w:after="0" w:line="251" w:lineRule="atLeast"/>
    </w:pPr>
    <w:rPr>
      <w:rFonts w:ascii="GillSans" w:eastAsia="Calibri" w:hAnsi="GillSans" w:cs="Times New Roman"/>
      <w:sz w:val="24"/>
      <w:szCs w:val="24"/>
    </w:rPr>
  </w:style>
  <w:style w:type="paragraph" w:customStyle="1" w:styleId="Pa26">
    <w:name w:val="Pa26"/>
    <w:basedOn w:val="Normal"/>
    <w:next w:val="Normal"/>
    <w:uiPriority w:val="99"/>
    <w:rsid w:val="0071027C"/>
    <w:pPr>
      <w:widowControl/>
      <w:autoSpaceDE w:val="0"/>
      <w:autoSpaceDN w:val="0"/>
      <w:adjustRightInd w:val="0"/>
      <w:spacing w:after="0" w:line="221" w:lineRule="atLeast"/>
    </w:pPr>
    <w:rPr>
      <w:rFonts w:ascii="GillSans" w:eastAsia="Calibri" w:hAnsi="GillSans" w:cs="Times New Roman"/>
      <w:sz w:val="24"/>
      <w:szCs w:val="24"/>
    </w:rPr>
  </w:style>
  <w:style w:type="character" w:styleId="CommentReference">
    <w:name w:val="annotation reference"/>
    <w:basedOn w:val="DefaultParagraphFont"/>
    <w:uiPriority w:val="99"/>
    <w:semiHidden/>
    <w:unhideWhenUsed/>
    <w:rsid w:val="0071027C"/>
    <w:rPr>
      <w:sz w:val="16"/>
      <w:szCs w:val="16"/>
    </w:rPr>
  </w:style>
  <w:style w:type="paragraph" w:styleId="CommentText">
    <w:name w:val="annotation text"/>
    <w:basedOn w:val="Normal"/>
    <w:link w:val="CommentTextChar"/>
    <w:uiPriority w:val="99"/>
    <w:unhideWhenUsed/>
    <w:rsid w:val="0071027C"/>
    <w:pPr>
      <w:spacing w:line="240" w:lineRule="auto"/>
    </w:pPr>
    <w:rPr>
      <w:sz w:val="20"/>
      <w:szCs w:val="20"/>
    </w:rPr>
  </w:style>
  <w:style w:type="character" w:customStyle="1" w:styleId="CommentTextChar">
    <w:name w:val="Comment Text Char"/>
    <w:basedOn w:val="DefaultParagraphFont"/>
    <w:link w:val="CommentText"/>
    <w:uiPriority w:val="99"/>
    <w:rsid w:val="0071027C"/>
    <w:rPr>
      <w:sz w:val="20"/>
      <w:szCs w:val="20"/>
    </w:rPr>
  </w:style>
  <w:style w:type="paragraph" w:styleId="CommentSubject">
    <w:name w:val="annotation subject"/>
    <w:basedOn w:val="CommentText"/>
    <w:next w:val="CommentText"/>
    <w:link w:val="CommentSubjectChar"/>
    <w:uiPriority w:val="99"/>
    <w:semiHidden/>
    <w:unhideWhenUsed/>
    <w:rsid w:val="0071027C"/>
    <w:rPr>
      <w:b/>
      <w:bCs/>
    </w:rPr>
  </w:style>
  <w:style w:type="character" w:customStyle="1" w:styleId="CommentSubjectChar">
    <w:name w:val="Comment Subject Char"/>
    <w:basedOn w:val="CommentTextChar"/>
    <w:link w:val="CommentSubject"/>
    <w:uiPriority w:val="99"/>
    <w:semiHidden/>
    <w:rsid w:val="0071027C"/>
    <w:rPr>
      <w:b/>
      <w:bCs/>
      <w:sz w:val="20"/>
      <w:szCs w:val="20"/>
    </w:rPr>
  </w:style>
  <w:style w:type="table" w:styleId="TableGrid">
    <w:name w:val="Table Grid"/>
    <w:basedOn w:val="TableNormal"/>
    <w:uiPriority w:val="59"/>
    <w:rsid w:val="0071027C"/>
    <w:pPr>
      <w:spacing w:before="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1027C"/>
    <w:rPr>
      <w:color w:val="0000FF"/>
      <w:u w:val="single"/>
    </w:rPr>
  </w:style>
  <w:style w:type="paragraph" w:styleId="PlainText">
    <w:name w:val="Plain Text"/>
    <w:basedOn w:val="Normal"/>
    <w:link w:val="PlainTextChar"/>
    <w:uiPriority w:val="99"/>
    <w:unhideWhenUsed/>
    <w:rsid w:val="0071027C"/>
    <w:pPr>
      <w:widowControl/>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71027C"/>
    <w:rPr>
      <w:rFonts w:ascii="Consolas" w:eastAsia="Calibri" w:hAnsi="Consolas" w:cs="Times New Roman"/>
      <w:sz w:val="21"/>
      <w:szCs w:val="21"/>
    </w:rPr>
  </w:style>
  <w:style w:type="paragraph" w:styleId="ListBullet2">
    <w:name w:val="List Bullet 2"/>
    <w:aliases w:val="Char2"/>
    <w:basedOn w:val="Normal"/>
    <w:semiHidden/>
    <w:unhideWhenUsed/>
    <w:rsid w:val="0071027C"/>
    <w:pPr>
      <w:widowControl/>
      <w:tabs>
        <w:tab w:val="num" w:pos="720"/>
      </w:tabs>
      <w:spacing w:after="0" w:line="240" w:lineRule="auto"/>
      <w:ind w:left="720" w:hanging="360"/>
    </w:pPr>
    <w:rPr>
      <w:rFonts w:ascii="Arial" w:eastAsia="Calibri" w:hAnsi="Arial" w:cs="Times New Roman"/>
      <w:sz w:val="24"/>
      <w:szCs w:val="24"/>
    </w:rPr>
  </w:style>
  <w:style w:type="paragraph" w:styleId="BodyText">
    <w:name w:val="Body Text"/>
    <w:basedOn w:val="Normal"/>
    <w:link w:val="BodyTextChar"/>
    <w:unhideWhenUsed/>
    <w:rsid w:val="0071027C"/>
    <w:pPr>
      <w:widowControl/>
      <w:spacing w:after="0" w:line="240" w:lineRule="auto"/>
    </w:pPr>
    <w:rPr>
      <w:rFonts w:ascii="Times New Roman" w:eastAsia="Times New Roman" w:hAnsi="Times New Roman" w:cs="Times New Roman"/>
      <w:b/>
      <w:sz w:val="24"/>
      <w:szCs w:val="24"/>
      <w:lang w:val="en-GB"/>
    </w:rPr>
  </w:style>
  <w:style w:type="character" w:customStyle="1" w:styleId="BodyTextChar">
    <w:name w:val="Body Text Char"/>
    <w:basedOn w:val="DefaultParagraphFont"/>
    <w:link w:val="BodyText"/>
    <w:rsid w:val="0071027C"/>
    <w:rPr>
      <w:rFonts w:ascii="Times New Roman" w:eastAsia="Times New Roman" w:hAnsi="Times New Roman" w:cs="Times New Roman"/>
      <w:b/>
      <w:sz w:val="24"/>
      <w:szCs w:val="24"/>
      <w:lang w:val="en-GB"/>
    </w:rPr>
  </w:style>
  <w:style w:type="paragraph" w:customStyle="1" w:styleId="Heading-figures">
    <w:name w:val="Heading - figures"/>
    <w:basedOn w:val="Normal"/>
    <w:next w:val="Normal"/>
    <w:qFormat/>
    <w:rsid w:val="0071027C"/>
    <w:pPr>
      <w:widowControl/>
      <w:spacing w:after="60" w:line="240" w:lineRule="auto"/>
    </w:pPr>
    <w:rPr>
      <w:rFonts w:ascii="Arial" w:eastAsia="Times New Roman" w:hAnsi="Arial" w:cs="Arial"/>
      <w:b/>
      <w:lang w:val="en-GB"/>
    </w:rPr>
  </w:style>
  <w:style w:type="paragraph" w:customStyle="1" w:styleId="BulletLIST">
    <w:name w:val="Bullet LIST"/>
    <w:qFormat/>
    <w:rsid w:val="0071027C"/>
    <w:pPr>
      <w:tabs>
        <w:tab w:val="num" w:pos="288"/>
      </w:tabs>
      <w:spacing w:before="120" w:line="240" w:lineRule="auto"/>
      <w:ind w:left="288" w:hanging="288"/>
    </w:pPr>
    <w:rPr>
      <w:rFonts w:ascii="Arial" w:eastAsia="Times New Roman" w:hAnsi="Arial" w:cs="Arial"/>
      <w:lang w:val="en-GB"/>
    </w:rPr>
  </w:style>
  <w:style w:type="paragraph" w:styleId="ListBullet">
    <w:name w:val="List Bullet"/>
    <w:basedOn w:val="Normal"/>
    <w:uiPriority w:val="99"/>
    <w:semiHidden/>
    <w:unhideWhenUsed/>
    <w:rsid w:val="0071027C"/>
    <w:pPr>
      <w:widowControl/>
      <w:tabs>
        <w:tab w:val="num" w:pos="360"/>
      </w:tabs>
      <w:ind w:left="360" w:hanging="360"/>
      <w:contextualSpacing/>
    </w:pPr>
    <w:rPr>
      <w:rFonts w:ascii="Calibri" w:eastAsia="Calibri" w:hAnsi="Calibri" w:cs="Times New Roman"/>
    </w:rPr>
  </w:style>
  <w:style w:type="paragraph" w:customStyle="1" w:styleId="SMBodyIndent">
    <w:name w:val="SM Body Indent"/>
    <w:basedOn w:val="Normal"/>
    <w:rsid w:val="0071027C"/>
    <w:pPr>
      <w:widowControl/>
      <w:snapToGrid w:val="0"/>
      <w:spacing w:after="0" w:line="240" w:lineRule="auto"/>
      <w:ind w:left="360" w:right="375"/>
    </w:pPr>
    <w:rPr>
      <w:rFonts w:ascii="Arial" w:eastAsia="Batang" w:hAnsi="Arial" w:cs="Times New Roman"/>
      <w:szCs w:val="20"/>
      <w:lang w:val="en-GB"/>
    </w:rPr>
  </w:style>
  <w:style w:type="paragraph" w:customStyle="1" w:styleId="TZHeading3">
    <w:name w:val="TZ Heading 3"/>
    <w:basedOn w:val="Normal"/>
    <w:rsid w:val="0071027C"/>
    <w:pPr>
      <w:widowControl/>
      <w:tabs>
        <w:tab w:val="left" w:pos="2520"/>
      </w:tabs>
      <w:spacing w:after="0" w:line="360" w:lineRule="auto"/>
    </w:pPr>
    <w:rPr>
      <w:rFonts w:ascii="Helvetica Neue" w:eastAsia="Arial" w:hAnsi="Helvetica Neue" w:cs="Arial"/>
      <w:b/>
      <w:noProof/>
      <w:sz w:val="24"/>
      <w:lang w:val="en-GB"/>
    </w:rPr>
  </w:style>
  <w:style w:type="character" w:customStyle="1" w:styleId="Heading8Char">
    <w:name w:val="Heading 8 Char"/>
    <w:basedOn w:val="DefaultParagraphFont"/>
    <w:link w:val="Heading8"/>
    <w:uiPriority w:val="9"/>
    <w:semiHidden/>
    <w:rsid w:val="0071027C"/>
    <w:rPr>
      <w:rFonts w:ascii="Cambria" w:eastAsia="Times New Roman" w:hAnsi="Cambria" w:cs="Times New Roman"/>
      <w:i/>
      <w:iCs/>
      <w:color w:val="4F81BD"/>
      <w:sz w:val="24"/>
      <w:szCs w:val="24"/>
    </w:rPr>
  </w:style>
  <w:style w:type="paragraph" w:styleId="NoSpacing">
    <w:name w:val="No Spacing"/>
    <w:link w:val="NoSpacingChar"/>
    <w:uiPriority w:val="1"/>
    <w:qFormat/>
    <w:rsid w:val="0071027C"/>
    <w:rPr>
      <w:rFonts w:ascii="Cambria" w:eastAsia="Calibri" w:hAnsi="Cambria" w:cs="Times New Roman"/>
      <w:color w:val="4F81BD"/>
    </w:rPr>
  </w:style>
  <w:style w:type="character" w:customStyle="1" w:styleId="NoSpacingChar">
    <w:name w:val="No Spacing Char"/>
    <w:link w:val="NoSpacing"/>
    <w:uiPriority w:val="1"/>
    <w:locked/>
    <w:rsid w:val="0071027C"/>
    <w:rPr>
      <w:rFonts w:ascii="Cambria" w:eastAsia="Calibri" w:hAnsi="Cambria" w:cs="Times New Roman"/>
      <w:color w:val="4F81BD"/>
    </w:rPr>
  </w:style>
  <w:style w:type="paragraph" w:styleId="TOC1">
    <w:name w:val="toc 1"/>
    <w:basedOn w:val="Normal"/>
    <w:next w:val="Normal"/>
    <w:autoRedefine/>
    <w:uiPriority w:val="39"/>
    <w:unhideWhenUsed/>
    <w:rsid w:val="0071027C"/>
    <w:pPr>
      <w:widowControl/>
      <w:spacing w:before="200" w:after="100"/>
    </w:pPr>
    <w:rPr>
      <w:rFonts w:ascii="Cambria" w:eastAsia="Calibri" w:hAnsi="Cambria" w:cs="Times New Roman"/>
      <w:color w:val="4F81BD"/>
    </w:rPr>
  </w:style>
  <w:style w:type="paragraph" w:styleId="TOC2">
    <w:name w:val="toc 2"/>
    <w:basedOn w:val="Normal"/>
    <w:next w:val="Normal"/>
    <w:autoRedefine/>
    <w:uiPriority w:val="39"/>
    <w:unhideWhenUsed/>
    <w:rsid w:val="0071027C"/>
    <w:pPr>
      <w:widowControl/>
      <w:spacing w:before="200" w:after="100"/>
      <w:ind w:left="220"/>
    </w:pPr>
    <w:rPr>
      <w:rFonts w:ascii="Cambria" w:eastAsia="Calibri" w:hAnsi="Cambria" w:cs="Times New Roman"/>
      <w:color w:val="4F81BD"/>
    </w:rPr>
  </w:style>
  <w:style w:type="paragraph" w:styleId="TOC3">
    <w:name w:val="toc 3"/>
    <w:basedOn w:val="Normal"/>
    <w:next w:val="Normal"/>
    <w:autoRedefine/>
    <w:uiPriority w:val="39"/>
    <w:unhideWhenUsed/>
    <w:rsid w:val="0071027C"/>
    <w:pPr>
      <w:widowControl/>
      <w:spacing w:before="200" w:after="100"/>
      <w:ind w:left="440"/>
    </w:pPr>
    <w:rPr>
      <w:rFonts w:ascii="Cambria" w:eastAsia="Calibri" w:hAnsi="Cambria" w:cs="Times New Roman"/>
      <w:color w:val="4F81BD"/>
    </w:rPr>
  </w:style>
  <w:style w:type="paragraph" w:customStyle="1" w:styleId="Pa3">
    <w:name w:val="Pa3"/>
    <w:basedOn w:val="Normal"/>
    <w:next w:val="Normal"/>
    <w:rsid w:val="0071027C"/>
    <w:pPr>
      <w:widowControl/>
      <w:autoSpaceDE w:val="0"/>
      <w:autoSpaceDN w:val="0"/>
      <w:adjustRightInd w:val="0"/>
      <w:spacing w:before="200" w:after="0" w:line="240" w:lineRule="atLeast"/>
    </w:pPr>
    <w:rPr>
      <w:rFonts w:ascii="Times New Roman" w:eastAsia="Times New Roman" w:hAnsi="Times New Roman" w:cs="Times New Roman"/>
      <w:color w:val="4F81BD"/>
      <w:sz w:val="24"/>
      <w:szCs w:val="24"/>
    </w:rPr>
  </w:style>
  <w:style w:type="character" w:customStyle="1" w:styleId="A0">
    <w:name w:val="A0"/>
    <w:rsid w:val="0071027C"/>
    <w:rPr>
      <w:color w:val="000000"/>
      <w:sz w:val="23"/>
      <w:szCs w:val="23"/>
    </w:rPr>
  </w:style>
  <w:style w:type="paragraph" w:styleId="TOCHeading">
    <w:name w:val="TOC Heading"/>
    <w:basedOn w:val="Heading1"/>
    <w:next w:val="Normal"/>
    <w:uiPriority w:val="39"/>
    <w:unhideWhenUsed/>
    <w:qFormat/>
    <w:rsid w:val="0071027C"/>
    <w:pPr>
      <w:outlineLvl w:val="9"/>
    </w:pPr>
    <w:rPr>
      <w:rFonts w:ascii="Cambria" w:eastAsia="Times New Roman" w:hAnsi="Cambria" w:cs="Times New Roman"/>
      <w:color w:val="365F91"/>
    </w:rPr>
  </w:style>
  <w:style w:type="paragraph" w:customStyle="1" w:styleId="Pa9">
    <w:name w:val="Pa9"/>
    <w:basedOn w:val="Default"/>
    <w:next w:val="Default"/>
    <w:uiPriority w:val="99"/>
    <w:rsid w:val="0071027C"/>
    <w:pPr>
      <w:spacing w:before="200" w:line="241" w:lineRule="atLeast"/>
    </w:pPr>
    <w:rPr>
      <w:rFonts w:ascii="Optima DemiBold" w:eastAsia="Calibri" w:hAnsi="Optima DemiBold" w:cs="Times New Roman"/>
      <w:color w:val="auto"/>
    </w:rPr>
  </w:style>
  <w:style w:type="paragraph" w:customStyle="1" w:styleId="Pa13">
    <w:name w:val="Pa13"/>
    <w:basedOn w:val="Default"/>
    <w:next w:val="Default"/>
    <w:uiPriority w:val="99"/>
    <w:rsid w:val="0071027C"/>
    <w:pPr>
      <w:spacing w:before="200" w:line="241" w:lineRule="atLeast"/>
    </w:pPr>
    <w:rPr>
      <w:rFonts w:ascii="Optima DemiBold" w:eastAsia="Calibri" w:hAnsi="Optima DemiBold" w:cs="Times New Roman"/>
      <w:color w:val="auto"/>
    </w:rPr>
  </w:style>
  <w:style w:type="paragraph" w:customStyle="1" w:styleId="yiv5445433586msonormal">
    <w:name w:val="yiv5445433586msonormal"/>
    <w:basedOn w:val="Normal"/>
    <w:rsid w:val="0071027C"/>
    <w:pPr>
      <w:widowControl/>
      <w:spacing w:before="100" w:beforeAutospacing="1" w:after="100" w:afterAutospacing="1" w:line="240" w:lineRule="auto"/>
    </w:pPr>
    <w:rPr>
      <w:rFonts w:ascii="Times New Roman" w:eastAsia="Times New Roman" w:hAnsi="Times New Roman" w:cs="Times New Roman"/>
      <w:color w:val="4F81BD"/>
      <w:sz w:val="24"/>
      <w:szCs w:val="24"/>
    </w:rPr>
  </w:style>
  <w:style w:type="character" w:customStyle="1" w:styleId="HTMLPreformattedChar">
    <w:name w:val="HTML Preformatted Char"/>
    <w:basedOn w:val="DefaultParagraphFont"/>
    <w:link w:val="HTMLPreformatted"/>
    <w:uiPriority w:val="99"/>
    <w:rsid w:val="0071027C"/>
    <w:rPr>
      <w:rFonts w:ascii="Courier New" w:eastAsia="Times New Roman" w:hAnsi="Courier New" w:cs="Courier New"/>
      <w:color w:val="4F81BD"/>
      <w:sz w:val="24"/>
      <w:szCs w:val="24"/>
    </w:rPr>
  </w:style>
  <w:style w:type="paragraph" w:styleId="HTMLPreformatted">
    <w:name w:val="HTML Preformatted"/>
    <w:basedOn w:val="Normal"/>
    <w:link w:val="HTMLPreformattedChar"/>
    <w:uiPriority w:val="99"/>
    <w:rsid w:val="007102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pPr>
    <w:rPr>
      <w:rFonts w:ascii="Courier New" w:eastAsia="Times New Roman" w:hAnsi="Courier New" w:cs="Courier New"/>
      <w:color w:val="4F81BD"/>
      <w:sz w:val="24"/>
      <w:szCs w:val="24"/>
    </w:rPr>
  </w:style>
  <w:style w:type="character" w:styleId="HTMLCite">
    <w:name w:val="HTML Cite"/>
    <w:basedOn w:val="DefaultParagraphFont"/>
    <w:uiPriority w:val="99"/>
    <w:semiHidden/>
    <w:unhideWhenUsed/>
    <w:rsid w:val="0071027C"/>
    <w:rPr>
      <w:i/>
      <w:iCs/>
    </w:rPr>
  </w:style>
  <w:style w:type="paragraph" w:customStyle="1" w:styleId="Pa7">
    <w:name w:val="Pa7"/>
    <w:basedOn w:val="Normal"/>
    <w:next w:val="Normal"/>
    <w:uiPriority w:val="99"/>
    <w:rsid w:val="00FF2CD0"/>
    <w:pPr>
      <w:widowControl/>
      <w:autoSpaceDE w:val="0"/>
      <w:autoSpaceDN w:val="0"/>
      <w:adjustRightInd w:val="0"/>
      <w:spacing w:after="0" w:line="201" w:lineRule="atLeast"/>
    </w:pPr>
    <w:rPr>
      <w:rFonts w:ascii="Swis721 Lt BT" w:hAnsi="Swis721 Lt BT"/>
      <w:sz w:val="24"/>
      <w:szCs w:val="24"/>
    </w:rPr>
  </w:style>
  <w:style w:type="paragraph" w:customStyle="1" w:styleId="Pa8">
    <w:name w:val="Pa8"/>
    <w:basedOn w:val="Normal"/>
    <w:next w:val="Normal"/>
    <w:uiPriority w:val="99"/>
    <w:rsid w:val="00FF2CD0"/>
    <w:pPr>
      <w:widowControl/>
      <w:autoSpaceDE w:val="0"/>
      <w:autoSpaceDN w:val="0"/>
      <w:adjustRightInd w:val="0"/>
      <w:spacing w:after="0" w:line="201" w:lineRule="atLeast"/>
    </w:pPr>
    <w:rPr>
      <w:rFonts w:ascii="Swis721 Lt BT" w:hAnsi="Swis721 Lt BT"/>
      <w:sz w:val="24"/>
      <w:szCs w:val="24"/>
    </w:rPr>
  </w:style>
  <w:style w:type="character" w:customStyle="1" w:styleId="A5">
    <w:name w:val="A5"/>
    <w:uiPriority w:val="99"/>
    <w:rsid w:val="00FF2CD0"/>
    <w:rPr>
      <w:rFonts w:cs="Swis721 Lt BT"/>
      <w:color w:val="000000"/>
      <w:sz w:val="20"/>
      <w:szCs w:val="20"/>
    </w:rPr>
  </w:style>
  <w:style w:type="paragraph" w:customStyle="1" w:styleId="Pa14">
    <w:name w:val="Pa14"/>
    <w:basedOn w:val="Normal"/>
    <w:next w:val="Normal"/>
    <w:uiPriority w:val="99"/>
    <w:rsid w:val="00FF2CD0"/>
    <w:pPr>
      <w:widowControl/>
      <w:autoSpaceDE w:val="0"/>
      <w:autoSpaceDN w:val="0"/>
      <w:adjustRightInd w:val="0"/>
      <w:spacing w:after="0" w:line="201" w:lineRule="atLeast"/>
    </w:pPr>
    <w:rPr>
      <w:rFonts w:ascii="Swis721 Lt BT" w:hAnsi="Swis721 Lt BT"/>
      <w:sz w:val="24"/>
      <w:szCs w:val="24"/>
    </w:rPr>
  </w:style>
  <w:style w:type="character" w:customStyle="1" w:styleId="CommentTextChar1">
    <w:name w:val="Comment Text Char1"/>
    <w:basedOn w:val="DefaultParagraphFont"/>
    <w:uiPriority w:val="99"/>
    <w:semiHidden/>
    <w:rsid w:val="00FF2CD0"/>
    <w:rPr>
      <w:sz w:val="20"/>
      <w:szCs w:val="20"/>
    </w:rPr>
  </w:style>
  <w:style w:type="paragraph" w:customStyle="1" w:styleId="Pa30">
    <w:name w:val="Pa30"/>
    <w:basedOn w:val="Normal"/>
    <w:next w:val="Normal"/>
    <w:uiPriority w:val="99"/>
    <w:rsid w:val="00FF2CD0"/>
    <w:pPr>
      <w:widowControl/>
      <w:autoSpaceDE w:val="0"/>
      <w:autoSpaceDN w:val="0"/>
      <w:adjustRightInd w:val="0"/>
      <w:spacing w:after="0" w:line="281" w:lineRule="atLeast"/>
    </w:pPr>
    <w:rPr>
      <w:rFonts w:ascii="GillSans" w:eastAsia="Calibri" w:hAnsi="GillSans" w:cs="Times New Roman"/>
      <w:sz w:val="24"/>
      <w:szCs w:val="24"/>
    </w:rPr>
  </w:style>
  <w:style w:type="paragraph" w:customStyle="1" w:styleId="captiontable">
    <w:name w:val="caption:table"/>
    <w:basedOn w:val="Normal"/>
    <w:next w:val="Normal"/>
    <w:rsid w:val="00FF2CD0"/>
    <w:pPr>
      <w:keepNext/>
      <w:widowControl/>
      <w:spacing w:after="240" w:line="240" w:lineRule="auto"/>
      <w:ind w:left="1440" w:hanging="1440"/>
    </w:pPr>
    <w:rPr>
      <w:rFonts w:ascii="Arial" w:eastAsia="Times New Roman" w:hAnsi="Arial" w:cs="Times New Roman"/>
      <w:b/>
      <w:szCs w:val="20"/>
      <w:lang w:val="en-GB"/>
    </w:rPr>
  </w:style>
  <w:style w:type="character" w:customStyle="1" w:styleId="A3">
    <w:name w:val="A3"/>
    <w:uiPriority w:val="99"/>
    <w:rsid w:val="00FF2CD0"/>
    <w:rPr>
      <w:rFonts w:ascii="Myriad" w:hAnsi="Myriad" w:cs="Myriad" w:hint="default"/>
      <w:color w:val="000000"/>
      <w:sz w:val="22"/>
      <w:szCs w:val="22"/>
    </w:rPr>
  </w:style>
  <w:style w:type="character" w:customStyle="1" w:styleId="HeaderChar1">
    <w:name w:val="Header Char1"/>
    <w:basedOn w:val="DefaultParagraphFont"/>
    <w:uiPriority w:val="99"/>
    <w:semiHidden/>
    <w:rsid w:val="00FF2CD0"/>
  </w:style>
  <w:style w:type="character" w:customStyle="1" w:styleId="FooterChar1">
    <w:name w:val="Footer Char1"/>
    <w:basedOn w:val="DefaultParagraphFont"/>
    <w:uiPriority w:val="99"/>
    <w:semiHidden/>
    <w:rsid w:val="00FF2CD0"/>
  </w:style>
  <w:style w:type="character" w:customStyle="1" w:styleId="CommentSubjectChar1">
    <w:name w:val="Comment Subject Char1"/>
    <w:basedOn w:val="CommentTextChar1"/>
    <w:uiPriority w:val="99"/>
    <w:semiHidden/>
    <w:rsid w:val="00FF2CD0"/>
    <w:rPr>
      <w:b/>
      <w:bCs/>
      <w:sz w:val="20"/>
      <w:szCs w:val="20"/>
    </w:rPr>
  </w:style>
  <w:style w:type="paragraph" w:customStyle="1" w:styleId="SMBodyText">
    <w:name w:val="SM Body Text"/>
    <w:basedOn w:val="Normal"/>
    <w:rsid w:val="00FF2CD0"/>
    <w:pPr>
      <w:widowControl/>
      <w:tabs>
        <w:tab w:val="left" w:pos="2520"/>
      </w:tabs>
      <w:spacing w:after="0" w:line="240" w:lineRule="auto"/>
    </w:pPr>
    <w:rPr>
      <w:rFonts w:ascii="Arial" w:eastAsia="Batang" w:hAnsi="Arial" w:cs="Times New Roman"/>
      <w:szCs w:val="24"/>
      <w:lang w:val="en-GB"/>
    </w:rPr>
  </w:style>
  <w:style w:type="paragraph" w:customStyle="1" w:styleId="SMBullet3">
    <w:name w:val="SM Bullet3"/>
    <w:basedOn w:val="Normal"/>
    <w:rsid w:val="00FF2CD0"/>
    <w:pPr>
      <w:widowControl/>
      <w:tabs>
        <w:tab w:val="num" w:pos="720"/>
      </w:tabs>
      <w:spacing w:after="60" w:line="240" w:lineRule="auto"/>
      <w:ind w:left="720" w:hanging="720"/>
    </w:pPr>
    <w:rPr>
      <w:rFonts w:ascii="Arial" w:eastAsia="PMingLiU" w:hAnsi="Arial" w:cs="Times New Roman"/>
      <w:color w:val="000000"/>
      <w:szCs w:val="20"/>
      <w:lang w:val="en-GB"/>
    </w:rPr>
  </w:style>
  <w:style w:type="paragraph" w:customStyle="1" w:styleId="MJTableText">
    <w:name w:val="MJ_TableText"/>
    <w:basedOn w:val="Normal"/>
    <w:rsid w:val="00FF2CD0"/>
    <w:pPr>
      <w:widowControl/>
      <w:spacing w:after="0" w:line="240" w:lineRule="auto"/>
      <w:jc w:val="center"/>
    </w:pPr>
    <w:rPr>
      <w:rFonts w:ascii="Century Gothic" w:eastAsia="Times New Roman" w:hAnsi="Century Gothic" w:cs="Times New Roman"/>
      <w:sz w:val="18"/>
      <w:szCs w:val="20"/>
      <w:lang w:val="en-GB"/>
    </w:rPr>
  </w:style>
  <w:style w:type="paragraph" w:customStyle="1" w:styleId="SMBulletssingle">
    <w:name w:val="SM Bullets single"/>
    <w:basedOn w:val="Normal"/>
    <w:rsid w:val="00FF2CD0"/>
    <w:pPr>
      <w:widowControl/>
      <w:spacing w:before="60" w:after="0" w:line="240" w:lineRule="auto"/>
    </w:pPr>
    <w:rPr>
      <w:rFonts w:ascii="Arial" w:eastAsia="Batang" w:hAnsi="Arial" w:cs="Times New Roman"/>
      <w:szCs w:val="20"/>
      <w:lang w:val="en-GB"/>
    </w:rPr>
  </w:style>
  <w:style w:type="paragraph" w:customStyle="1" w:styleId="SMTableHead">
    <w:name w:val="SM Table Head"/>
    <w:basedOn w:val="Normal"/>
    <w:rsid w:val="00FF2CD0"/>
    <w:pPr>
      <w:widowControl/>
      <w:spacing w:after="120" w:line="240" w:lineRule="auto"/>
    </w:pPr>
    <w:rPr>
      <w:rFonts w:ascii="Arial" w:eastAsia="Batang" w:hAnsi="Arial" w:cs="Times New Roman"/>
      <w:b/>
      <w:sz w:val="20"/>
      <w:szCs w:val="20"/>
      <w:lang w:val="en-GB"/>
    </w:rPr>
  </w:style>
  <w:style w:type="paragraph" w:customStyle="1" w:styleId="TZbodytext">
    <w:name w:val="TZ body text"/>
    <w:basedOn w:val="Normal"/>
    <w:rsid w:val="00FF2CD0"/>
    <w:pPr>
      <w:widowControl/>
      <w:spacing w:after="0" w:line="360" w:lineRule="auto"/>
    </w:pPr>
    <w:rPr>
      <w:rFonts w:ascii="Helvetica Neue Light" w:eastAsia="Arial" w:hAnsi="Helvetica Neue Light" w:cs="Arial"/>
      <w:lang w:val="en-GB"/>
    </w:rPr>
  </w:style>
  <w:style w:type="character" w:customStyle="1" w:styleId="Heading3Char1">
    <w:name w:val="Heading 3 Char1"/>
    <w:uiPriority w:val="9"/>
    <w:locked/>
    <w:rsid w:val="00FF2CD0"/>
    <w:rPr>
      <w:rFonts w:ascii="Cambria" w:eastAsia="Times New Roman" w:hAnsi="Cambria" w:cs="Times New Roman"/>
      <w:b/>
      <w:bCs/>
      <w:sz w:val="26"/>
      <w:szCs w:val="26"/>
    </w:rPr>
  </w:style>
  <w:style w:type="character" w:styleId="HTMLTypewriter">
    <w:name w:val="HTML Typewriter"/>
    <w:basedOn w:val="DefaultParagraphFont"/>
    <w:uiPriority w:val="99"/>
    <w:rsid w:val="00FF2CD0"/>
    <w:rPr>
      <w:rFonts w:ascii="Courier New" w:hAnsi="Courier New" w:cs="Courier New"/>
      <w:sz w:val="20"/>
      <w:szCs w:val="20"/>
    </w:rPr>
  </w:style>
  <w:style w:type="paragraph" w:styleId="TOC4">
    <w:name w:val="toc 4"/>
    <w:basedOn w:val="Normal"/>
    <w:next w:val="Normal"/>
    <w:autoRedefine/>
    <w:uiPriority w:val="39"/>
    <w:unhideWhenUsed/>
    <w:rsid w:val="00FF2CD0"/>
    <w:pPr>
      <w:widowControl/>
      <w:spacing w:after="100"/>
      <w:ind w:left="660"/>
    </w:pPr>
    <w:rPr>
      <w:rFonts w:eastAsiaTheme="minorEastAsia"/>
    </w:rPr>
  </w:style>
  <w:style w:type="paragraph" w:styleId="TOC5">
    <w:name w:val="toc 5"/>
    <w:basedOn w:val="Normal"/>
    <w:next w:val="Normal"/>
    <w:autoRedefine/>
    <w:uiPriority w:val="39"/>
    <w:unhideWhenUsed/>
    <w:rsid w:val="00FF2CD0"/>
    <w:pPr>
      <w:widowControl/>
      <w:spacing w:after="100"/>
      <w:ind w:left="880"/>
    </w:pPr>
    <w:rPr>
      <w:rFonts w:eastAsiaTheme="minorEastAsia"/>
    </w:rPr>
  </w:style>
  <w:style w:type="paragraph" w:styleId="TOC6">
    <w:name w:val="toc 6"/>
    <w:basedOn w:val="Normal"/>
    <w:next w:val="Normal"/>
    <w:autoRedefine/>
    <w:uiPriority w:val="39"/>
    <w:unhideWhenUsed/>
    <w:rsid w:val="00FF2CD0"/>
    <w:pPr>
      <w:widowControl/>
      <w:spacing w:after="100"/>
      <w:ind w:left="1100"/>
    </w:pPr>
    <w:rPr>
      <w:rFonts w:eastAsiaTheme="minorEastAsia"/>
    </w:rPr>
  </w:style>
  <w:style w:type="paragraph" w:styleId="TOC7">
    <w:name w:val="toc 7"/>
    <w:basedOn w:val="Normal"/>
    <w:next w:val="Normal"/>
    <w:autoRedefine/>
    <w:uiPriority w:val="39"/>
    <w:unhideWhenUsed/>
    <w:rsid w:val="00FF2CD0"/>
    <w:pPr>
      <w:widowControl/>
      <w:spacing w:after="100"/>
      <w:ind w:left="1320"/>
    </w:pPr>
    <w:rPr>
      <w:rFonts w:eastAsiaTheme="minorEastAsia"/>
    </w:rPr>
  </w:style>
  <w:style w:type="paragraph" w:styleId="TOC8">
    <w:name w:val="toc 8"/>
    <w:basedOn w:val="Normal"/>
    <w:next w:val="Normal"/>
    <w:autoRedefine/>
    <w:uiPriority w:val="39"/>
    <w:unhideWhenUsed/>
    <w:rsid w:val="00FF2CD0"/>
    <w:pPr>
      <w:widowControl/>
      <w:spacing w:after="100"/>
      <w:ind w:left="1540"/>
    </w:pPr>
    <w:rPr>
      <w:rFonts w:eastAsiaTheme="minorEastAsia"/>
    </w:rPr>
  </w:style>
  <w:style w:type="paragraph" w:styleId="TOC9">
    <w:name w:val="toc 9"/>
    <w:basedOn w:val="Normal"/>
    <w:next w:val="Normal"/>
    <w:autoRedefine/>
    <w:uiPriority w:val="39"/>
    <w:unhideWhenUsed/>
    <w:rsid w:val="00FF2CD0"/>
    <w:pPr>
      <w:widowControl/>
      <w:spacing w:after="100"/>
      <w:ind w:left="176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9F1"/>
    <w:pPr>
      <w:widowControl w:val="0"/>
      <w:spacing w:before="0" w:after="200"/>
    </w:pPr>
  </w:style>
  <w:style w:type="paragraph" w:styleId="Heading1">
    <w:name w:val="heading 1"/>
    <w:basedOn w:val="Normal"/>
    <w:next w:val="Normal"/>
    <w:link w:val="Heading1Char"/>
    <w:uiPriority w:val="9"/>
    <w:qFormat/>
    <w:rsid w:val="002B39F1"/>
    <w:pPr>
      <w:keepNext/>
      <w:keepLines/>
      <w:widowControl/>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39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B39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1027C"/>
    <w:pPr>
      <w:keepNext/>
      <w:keepLines/>
      <w:widowControl/>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027C"/>
    <w:pPr>
      <w:widowControl/>
      <w:spacing w:before="240" w:after="60"/>
      <w:outlineLvl w:val="4"/>
    </w:pPr>
    <w:rPr>
      <w:rFonts w:ascii="Cambria" w:eastAsia="Times New Roman" w:hAnsi="Cambria" w:cs="Times New Roman"/>
      <w:b/>
      <w:bCs/>
      <w:i/>
      <w:iCs/>
      <w:color w:val="4F81BD"/>
      <w:sz w:val="26"/>
      <w:szCs w:val="26"/>
    </w:rPr>
  </w:style>
  <w:style w:type="paragraph" w:styleId="Heading8">
    <w:name w:val="heading 8"/>
    <w:basedOn w:val="Normal"/>
    <w:next w:val="Normal"/>
    <w:link w:val="Heading8Char"/>
    <w:uiPriority w:val="9"/>
    <w:semiHidden/>
    <w:unhideWhenUsed/>
    <w:qFormat/>
    <w:rsid w:val="0071027C"/>
    <w:pPr>
      <w:widowControl/>
      <w:spacing w:before="240" w:after="60"/>
      <w:outlineLvl w:val="7"/>
    </w:pPr>
    <w:rPr>
      <w:rFonts w:ascii="Cambria" w:eastAsia="Times New Roman" w:hAnsi="Cambria" w:cs="Times New Roman"/>
      <w:i/>
      <w:i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9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39F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B39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1027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1027C"/>
    <w:rPr>
      <w:rFonts w:ascii="Cambria" w:eastAsia="Times New Roman" w:hAnsi="Cambria" w:cs="Times New Roman"/>
      <w:b/>
      <w:bCs/>
      <w:i/>
      <w:iCs/>
      <w:color w:val="4F81BD"/>
      <w:sz w:val="26"/>
      <w:szCs w:val="26"/>
    </w:rPr>
  </w:style>
  <w:style w:type="paragraph" w:styleId="FootnoteText">
    <w:name w:val="footnote text"/>
    <w:basedOn w:val="Normal"/>
    <w:link w:val="FootnoteTextChar"/>
    <w:uiPriority w:val="99"/>
    <w:unhideWhenUsed/>
    <w:rsid w:val="002B39F1"/>
    <w:pPr>
      <w:spacing w:after="0" w:line="240" w:lineRule="auto"/>
    </w:pPr>
    <w:rPr>
      <w:sz w:val="20"/>
      <w:szCs w:val="20"/>
    </w:rPr>
  </w:style>
  <w:style w:type="character" w:customStyle="1" w:styleId="FootnoteTextChar">
    <w:name w:val="Footnote Text Char"/>
    <w:basedOn w:val="DefaultParagraphFont"/>
    <w:link w:val="FootnoteText"/>
    <w:uiPriority w:val="99"/>
    <w:rsid w:val="002B39F1"/>
    <w:rPr>
      <w:sz w:val="20"/>
      <w:szCs w:val="20"/>
    </w:rPr>
  </w:style>
  <w:style w:type="character" w:styleId="FootnoteReference">
    <w:name w:val="footnote reference"/>
    <w:basedOn w:val="DefaultParagraphFont"/>
    <w:uiPriority w:val="99"/>
    <w:unhideWhenUsed/>
    <w:rsid w:val="002B39F1"/>
    <w:rPr>
      <w:vertAlign w:val="superscript"/>
    </w:rPr>
  </w:style>
  <w:style w:type="paragraph" w:styleId="BalloonText">
    <w:name w:val="Balloon Text"/>
    <w:basedOn w:val="Normal"/>
    <w:link w:val="BalloonTextChar"/>
    <w:uiPriority w:val="99"/>
    <w:semiHidden/>
    <w:unhideWhenUsed/>
    <w:rsid w:val="002B3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9F1"/>
    <w:rPr>
      <w:rFonts w:ascii="Tahoma" w:hAnsi="Tahoma" w:cs="Tahoma"/>
      <w:sz w:val="16"/>
      <w:szCs w:val="16"/>
    </w:rPr>
  </w:style>
  <w:style w:type="paragraph" w:styleId="Header">
    <w:name w:val="header"/>
    <w:basedOn w:val="Normal"/>
    <w:link w:val="HeaderChar"/>
    <w:uiPriority w:val="99"/>
    <w:unhideWhenUsed/>
    <w:rsid w:val="00CD04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4C6"/>
  </w:style>
  <w:style w:type="paragraph" w:styleId="Footer">
    <w:name w:val="footer"/>
    <w:basedOn w:val="Normal"/>
    <w:link w:val="FooterChar"/>
    <w:uiPriority w:val="99"/>
    <w:unhideWhenUsed/>
    <w:rsid w:val="00CD04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4C6"/>
  </w:style>
  <w:style w:type="paragraph" w:styleId="ListParagraph">
    <w:name w:val="List Paragraph"/>
    <w:basedOn w:val="Normal"/>
    <w:link w:val="ListParagraphChar"/>
    <w:uiPriority w:val="34"/>
    <w:qFormat/>
    <w:rsid w:val="0071027C"/>
    <w:pPr>
      <w:widowControl/>
      <w:spacing w:after="0" w:line="240" w:lineRule="auto"/>
      <w:ind w:left="720"/>
      <w:contextualSpacing/>
    </w:pPr>
    <w:rPr>
      <w:rFonts w:ascii="Times New Roman" w:eastAsia="Times New Roman" w:hAnsi="Times New Roman" w:cs="Times New Roman"/>
      <w:sz w:val="24"/>
      <w:szCs w:val="24"/>
      <w:lang w:val="af-ZA" w:eastAsia="af-ZA"/>
    </w:rPr>
  </w:style>
  <w:style w:type="character" w:customStyle="1" w:styleId="ListParagraphChar">
    <w:name w:val="List Paragraph Char"/>
    <w:basedOn w:val="DefaultParagraphFont"/>
    <w:link w:val="ListParagraph"/>
    <w:uiPriority w:val="34"/>
    <w:rsid w:val="0071027C"/>
    <w:rPr>
      <w:rFonts w:ascii="Times New Roman" w:eastAsia="Times New Roman" w:hAnsi="Times New Roman" w:cs="Times New Roman"/>
      <w:sz w:val="24"/>
      <w:szCs w:val="24"/>
      <w:lang w:val="af-ZA" w:eastAsia="af-ZA"/>
    </w:rPr>
  </w:style>
  <w:style w:type="paragraph" w:styleId="NormalWeb">
    <w:name w:val="Normal (Web)"/>
    <w:basedOn w:val="Normal"/>
    <w:uiPriority w:val="99"/>
    <w:unhideWhenUsed/>
    <w:rsid w:val="0071027C"/>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JustifiedCharChar">
    <w:name w:val="Style Justified Char Char"/>
    <w:basedOn w:val="Normal"/>
    <w:autoRedefine/>
    <w:rsid w:val="00B247C9"/>
    <w:pPr>
      <w:widowControl/>
      <w:numPr>
        <w:numId w:val="88"/>
      </w:numPr>
      <w:spacing w:after="0" w:line="240" w:lineRule="auto"/>
      <w:jc w:val="both"/>
    </w:pPr>
    <w:rPr>
      <w:rFonts w:ascii="Arial" w:eastAsia="Times New Roman" w:hAnsi="Arial" w:cs="Arial"/>
      <w:lang w:val="en-GB"/>
    </w:rPr>
  </w:style>
  <w:style w:type="paragraph" w:customStyle="1" w:styleId="tabletextNS">
    <w:name w:val="table:textNS"/>
    <w:basedOn w:val="Normal"/>
    <w:rsid w:val="0071027C"/>
    <w:pPr>
      <w:widowControl/>
      <w:spacing w:after="0" w:line="240" w:lineRule="auto"/>
    </w:pPr>
    <w:rPr>
      <w:rFonts w:ascii="Arial Narrow" w:eastAsia="Times New Roman" w:hAnsi="Arial Narrow" w:cs="Times New Roman"/>
      <w:sz w:val="24"/>
      <w:szCs w:val="20"/>
      <w:lang w:val="en-GB"/>
    </w:rPr>
  </w:style>
  <w:style w:type="paragraph" w:customStyle="1" w:styleId="Default">
    <w:name w:val="Default"/>
    <w:rsid w:val="0071027C"/>
    <w:pPr>
      <w:autoSpaceDE w:val="0"/>
      <w:autoSpaceDN w:val="0"/>
      <w:adjustRightInd w:val="0"/>
      <w:spacing w:before="0" w:line="240" w:lineRule="auto"/>
    </w:pPr>
    <w:rPr>
      <w:rFonts w:ascii="Arial" w:hAnsi="Arial" w:cs="Arial"/>
      <w:color w:val="000000"/>
      <w:sz w:val="24"/>
      <w:szCs w:val="24"/>
    </w:rPr>
  </w:style>
  <w:style w:type="paragraph" w:customStyle="1" w:styleId="Pa1">
    <w:name w:val="Pa1"/>
    <w:basedOn w:val="Normal"/>
    <w:next w:val="Normal"/>
    <w:uiPriority w:val="99"/>
    <w:rsid w:val="0071027C"/>
    <w:pPr>
      <w:widowControl/>
      <w:autoSpaceDE w:val="0"/>
      <w:autoSpaceDN w:val="0"/>
      <w:adjustRightInd w:val="0"/>
      <w:spacing w:after="0" w:line="221" w:lineRule="atLeast"/>
    </w:pPr>
    <w:rPr>
      <w:rFonts w:ascii="GillSans" w:eastAsia="Calibri" w:hAnsi="GillSans" w:cs="Times New Roman"/>
      <w:sz w:val="24"/>
      <w:szCs w:val="24"/>
    </w:rPr>
  </w:style>
  <w:style w:type="paragraph" w:customStyle="1" w:styleId="Pa18">
    <w:name w:val="Pa18"/>
    <w:basedOn w:val="Normal"/>
    <w:next w:val="Normal"/>
    <w:uiPriority w:val="99"/>
    <w:rsid w:val="0071027C"/>
    <w:pPr>
      <w:widowControl/>
      <w:autoSpaceDE w:val="0"/>
      <w:autoSpaceDN w:val="0"/>
      <w:adjustRightInd w:val="0"/>
      <w:spacing w:after="0" w:line="251" w:lineRule="atLeast"/>
    </w:pPr>
    <w:rPr>
      <w:rFonts w:ascii="GillSans" w:eastAsia="Calibri" w:hAnsi="GillSans" w:cs="Times New Roman"/>
      <w:sz w:val="24"/>
      <w:szCs w:val="24"/>
    </w:rPr>
  </w:style>
  <w:style w:type="paragraph" w:customStyle="1" w:styleId="Pa26">
    <w:name w:val="Pa26"/>
    <w:basedOn w:val="Normal"/>
    <w:next w:val="Normal"/>
    <w:uiPriority w:val="99"/>
    <w:rsid w:val="0071027C"/>
    <w:pPr>
      <w:widowControl/>
      <w:autoSpaceDE w:val="0"/>
      <w:autoSpaceDN w:val="0"/>
      <w:adjustRightInd w:val="0"/>
      <w:spacing w:after="0" w:line="221" w:lineRule="atLeast"/>
    </w:pPr>
    <w:rPr>
      <w:rFonts w:ascii="GillSans" w:eastAsia="Calibri" w:hAnsi="GillSans" w:cs="Times New Roman"/>
      <w:sz w:val="24"/>
      <w:szCs w:val="24"/>
    </w:rPr>
  </w:style>
  <w:style w:type="character" w:styleId="CommentReference">
    <w:name w:val="annotation reference"/>
    <w:basedOn w:val="DefaultParagraphFont"/>
    <w:uiPriority w:val="99"/>
    <w:semiHidden/>
    <w:unhideWhenUsed/>
    <w:rsid w:val="0071027C"/>
    <w:rPr>
      <w:sz w:val="16"/>
      <w:szCs w:val="16"/>
    </w:rPr>
  </w:style>
  <w:style w:type="paragraph" w:styleId="CommentText">
    <w:name w:val="annotation text"/>
    <w:basedOn w:val="Normal"/>
    <w:link w:val="CommentTextChar"/>
    <w:uiPriority w:val="99"/>
    <w:unhideWhenUsed/>
    <w:rsid w:val="0071027C"/>
    <w:pPr>
      <w:spacing w:line="240" w:lineRule="auto"/>
    </w:pPr>
    <w:rPr>
      <w:sz w:val="20"/>
      <w:szCs w:val="20"/>
    </w:rPr>
  </w:style>
  <w:style w:type="character" w:customStyle="1" w:styleId="CommentTextChar">
    <w:name w:val="Comment Text Char"/>
    <w:basedOn w:val="DefaultParagraphFont"/>
    <w:link w:val="CommentText"/>
    <w:uiPriority w:val="99"/>
    <w:rsid w:val="0071027C"/>
    <w:rPr>
      <w:sz w:val="20"/>
      <w:szCs w:val="20"/>
    </w:rPr>
  </w:style>
  <w:style w:type="paragraph" w:styleId="CommentSubject">
    <w:name w:val="annotation subject"/>
    <w:basedOn w:val="CommentText"/>
    <w:next w:val="CommentText"/>
    <w:link w:val="CommentSubjectChar"/>
    <w:uiPriority w:val="99"/>
    <w:semiHidden/>
    <w:unhideWhenUsed/>
    <w:rsid w:val="0071027C"/>
    <w:rPr>
      <w:b/>
      <w:bCs/>
    </w:rPr>
  </w:style>
  <w:style w:type="character" w:customStyle="1" w:styleId="CommentSubjectChar">
    <w:name w:val="Comment Subject Char"/>
    <w:basedOn w:val="CommentTextChar"/>
    <w:link w:val="CommentSubject"/>
    <w:uiPriority w:val="99"/>
    <w:semiHidden/>
    <w:rsid w:val="0071027C"/>
    <w:rPr>
      <w:b/>
      <w:bCs/>
      <w:sz w:val="20"/>
      <w:szCs w:val="20"/>
    </w:rPr>
  </w:style>
  <w:style w:type="table" w:styleId="TableGrid">
    <w:name w:val="Table Grid"/>
    <w:basedOn w:val="TableNormal"/>
    <w:uiPriority w:val="59"/>
    <w:rsid w:val="0071027C"/>
    <w:pPr>
      <w:spacing w:before="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1027C"/>
    <w:rPr>
      <w:color w:val="0000FF"/>
      <w:u w:val="single"/>
    </w:rPr>
  </w:style>
  <w:style w:type="paragraph" w:styleId="PlainText">
    <w:name w:val="Plain Text"/>
    <w:basedOn w:val="Normal"/>
    <w:link w:val="PlainTextChar"/>
    <w:uiPriority w:val="99"/>
    <w:unhideWhenUsed/>
    <w:rsid w:val="0071027C"/>
    <w:pPr>
      <w:widowControl/>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71027C"/>
    <w:rPr>
      <w:rFonts w:ascii="Consolas" w:eastAsia="Calibri" w:hAnsi="Consolas" w:cs="Times New Roman"/>
      <w:sz w:val="21"/>
      <w:szCs w:val="21"/>
    </w:rPr>
  </w:style>
  <w:style w:type="paragraph" w:styleId="ListBullet2">
    <w:name w:val="List Bullet 2"/>
    <w:aliases w:val="Char2"/>
    <w:basedOn w:val="Normal"/>
    <w:semiHidden/>
    <w:unhideWhenUsed/>
    <w:rsid w:val="0071027C"/>
    <w:pPr>
      <w:widowControl/>
      <w:tabs>
        <w:tab w:val="num" w:pos="720"/>
      </w:tabs>
      <w:spacing w:after="0" w:line="240" w:lineRule="auto"/>
      <w:ind w:left="720" w:hanging="360"/>
    </w:pPr>
    <w:rPr>
      <w:rFonts w:ascii="Arial" w:eastAsia="Calibri" w:hAnsi="Arial" w:cs="Times New Roman"/>
      <w:sz w:val="24"/>
      <w:szCs w:val="24"/>
    </w:rPr>
  </w:style>
  <w:style w:type="paragraph" w:styleId="BodyText">
    <w:name w:val="Body Text"/>
    <w:basedOn w:val="Normal"/>
    <w:link w:val="BodyTextChar"/>
    <w:unhideWhenUsed/>
    <w:rsid w:val="0071027C"/>
    <w:pPr>
      <w:widowControl/>
      <w:spacing w:after="0" w:line="240" w:lineRule="auto"/>
    </w:pPr>
    <w:rPr>
      <w:rFonts w:ascii="Times New Roman" w:eastAsia="Times New Roman" w:hAnsi="Times New Roman" w:cs="Times New Roman"/>
      <w:b/>
      <w:sz w:val="24"/>
      <w:szCs w:val="24"/>
      <w:lang w:val="en-GB"/>
    </w:rPr>
  </w:style>
  <w:style w:type="character" w:customStyle="1" w:styleId="BodyTextChar">
    <w:name w:val="Body Text Char"/>
    <w:basedOn w:val="DefaultParagraphFont"/>
    <w:link w:val="BodyText"/>
    <w:rsid w:val="0071027C"/>
    <w:rPr>
      <w:rFonts w:ascii="Times New Roman" w:eastAsia="Times New Roman" w:hAnsi="Times New Roman" w:cs="Times New Roman"/>
      <w:b/>
      <w:sz w:val="24"/>
      <w:szCs w:val="24"/>
      <w:lang w:val="en-GB"/>
    </w:rPr>
  </w:style>
  <w:style w:type="paragraph" w:customStyle="1" w:styleId="Heading-figures">
    <w:name w:val="Heading - figures"/>
    <w:basedOn w:val="Normal"/>
    <w:next w:val="Normal"/>
    <w:qFormat/>
    <w:rsid w:val="0071027C"/>
    <w:pPr>
      <w:widowControl/>
      <w:spacing w:after="60" w:line="240" w:lineRule="auto"/>
    </w:pPr>
    <w:rPr>
      <w:rFonts w:ascii="Arial" w:eastAsia="Times New Roman" w:hAnsi="Arial" w:cs="Arial"/>
      <w:b/>
      <w:lang w:val="en-GB"/>
    </w:rPr>
  </w:style>
  <w:style w:type="paragraph" w:customStyle="1" w:styleId="BulletLIST">
    <w:name w:val="Bullet LIST"/>
    <w:qFormat/>
    <w:rsid w:val="0071027C"/>
    <w:pPr>
      <w:tabs>
        <w:tab w:val="num" w:pos="288"/>
      </w:tabs>
      <w:spacing w:before="120" w:line="240" w:lineRule="auto"/>
      <w:ind w:left="288" w:hanging="288"/>
    </w:pPr>
    <w:rPr>
      <w:rFonts w:ascii="Arial" w:eastAsia="Times New Roman" w:hAnsi="Arial" w:cs="Arial"/>
      <w:lang w:val="en-GB"/>
    </w:rPr>
  </w:style>
  <w:style w:type="paragraph" w:styleId="ListBullet">
    <w:name w:val="List Bullet"/>
    <w:basedOn w:val="Normal"/>
    <w:uiPriority w:val="99"/>
    <w:semiHidden/>
    <w:unhideWhenUsed/>
    <w:rsid w:val="0071027C"/>
    <w:pPr>
      <w:widowControl/>
      <w:tabs>
        <w:tab w:val="num" w:pos="360"/>
      </w:tabs>
      <w:ind w:left="360" w:hanging="360"/>
      <w:contextualSpacing/>
    </w:pPr>
    <w:rPr>
      <w:rFonts w:ascii="Calibri" w:eastAsia="Calibri" w:hAnsi="Calibri" w:cs="Times New Roman"/>
    </w:rPr>
  </w:style>
  <w:style w:type="paragraph" w:customStyle="1" w:styleId="SMBodyIndent">
    <w:name w:val="SM Body Indent"/>
    <w:basedOn w:val="Normal"/>
    <w:rsid w:val="0071027C"/>
    <w:pPr>
      <w:widowControl/>
      <w:snapToGrid w:val="0"/>
      <w:spacing w:after="0" w:line="240" w:lineRule="auto"/>
      <w:ind w:left="360" w:right="375"/>
    </w:pPr>
    <w:rPr>
      <w:rFonts w:ascii="Arial" w:eastAsia="Batang" w:hAnsi="Arial" w:cs="Times New Roman"/>
      <w:szCs w:val="20"/>
      <w:lang w:val="en-GB"/>
    </w:rPr>
  </w:style>
  <w:style w:type="paragraph" w:customStyle="1" w:styleId="TZHeading3">
    <w:name w:val="TZ Heading 3"/>
    <w:basedOn w:val="Normal"/>
    <w:rsid w:val="0071027C"/>
    <w:pPr>
      <w:widowControl/>
      <w:tabs>
        <w:tab w:val="left" w:pos="2520"/>
      </w:tabs>
      <w:spacing w:after="0" w:line="360" w:lineRule="auto"/>
    </w:pPr>
    <w:rPr>
      <w:rFonts w:ascii="Helvetica Neue" w:eastAsia="Arial" w:hAnsi="Helvetica Neue" w:cs="Arial"/>
      <w:b/>
      <w:noProof/>
      <w:sz w:val="24"/>
      <w:lang w:val="en-GB"/>
    </w:rPr>
  </w:style>
  <w:style w:type="character" w:customStyle="1" w:styleId="Heading8Char">
    <w:name w:val="Heading 8 Char"/>
    <w:basedOn w:val="DefaultParagraphFont"/>
    <w:link w:val="Heading8"/>
    <w:uiPriority w:val="9"/>
    <w:semiHidden/>
    <w:rsid w:val="0071027C"/>
    <w:rPr>
      <w:rFonts w:ascii="Cambria" w:eastAsia="Times New Roman" w:hAnsi="Cambria" w:cs="Times New Roman"/>
      <w:i/>
      <w:iCs/>
      <w:color w:val="4F81BD"/>
      <w:sz w:val="24"/>
      <w:szCs w:val="24"/>
    </w:rPr>
  </w:style>
  <w:style w:type="paragraph" w:styleId="NoSpacing">
    <w:name w:val="No Spacing"/>
    <w:link w:val="NoSpacingChar"/>
    <w:uiPriority w:val="1"/>
    <w:qFormat/>
    <w:rsid w:val="0071027C"/>
    <w:rPr>
      <w:rFonts w:ascii="Cambria" w:eastAsia="Calibri" w:hAnsi="Cambria" w:cs="Times New Roman"/>
      <w:color w:val="4F81BD"/>
    </w:rPr>
  </w:style>
  <w:style w:type="character" w:customStyle="1" w:styleId="NoSpacingChar">
    <w:name w:val="No Spacing Char"/>
    <w:link w:val="NoSpacing"/>
    <w:uiPriority w:val="1"/>
    <w:locked/>
    <w:rsid w:val="0071027C"/>
    <w:rPr>
      <w:rFonts w:ascii="Cambria" w:eastAsia="Calibri" w:hAnsi="Cambria" w:cs="Times New Roman"/>
      <w:color w:val="4F81BD"/>
    </w:rPr>
  </w:style>
  <w:style w:type="paragraph" w:styleId="TOC1">
    <w:name w:val="toc 1"/>
    <w:basedOn w:val="Normal"/>
    <w:next w:val="Normal"/>
    <w:autoRedefine/>
    <w:uiPriority w:val="39"/>
    <w:unhideWhenUsed/>
    <w:rsid w:val="0071027C"/>
    <w:pPr>
      <w:widowControl/>
      <w:spacing w:before="200" w:after="100"/>
    </w:pPr>
    <w:rPr>
      <w:rFonts w:ascii="Cambria" w:eastAsia="Calibri" w:hAnsi="Cambria" w:cs="Times New Roman"/>
      <w:color w:val="4F81BD"/>
    </w:rPr>
  </w:style>
  <w:style w:type="paragraph" w:styleId="TOC2">
    <w:name w:val="toc 2"/>
    <w:basedOn w:val="Normal"/>
    <w:next w:val="Normal"/>
    <w:autoRedefine/>
    <w:uiPriority w:val="39"/>
    <w:unhideWhenUsed/>
    <w:rsid w:val="0071027C"/>
    <w:pPr>
      <w:widowControl/>
      <w:spacing w:before="200" w:after="100"/>
      <w:ind w:left="220"/>
    </w:pPr>
    <w:rPr>
      <w:rFonts w:ascii="Cambria" w:eastAsia="Calibri" w:hAnsi="Cambria" w:cs="Times New Roman"/>
      <w:color w:val="4F81BD"/>
    </w:rPr>
  </w:style>
  <w:style w:type="paragraph" w:styleId="TOC3">
    <w:name w:val="toc 3"/>
    <w:basedOn w:val="Normal"/>
    <w:next w:val="Normal"/>
    <w:autoRedefine/>
    <w:uiPriority w:val="39"/>
    <w:unhideWhenUsed/>
    <w:rsid w:val="0071027C"/>
    <w:pPr>
      <w:widowControl/>
      <w:spacing w:before="200" w:after="100"/>
      <w:ind w:left="440"/>
    </w:pPr>
    <w:rPr>
      <w:rFonts w:ascii="Cambria" w:eastAsia="Calibri" w:hAnsi="Cambria" w:cs="Times New Roman"/>
      <w:color w:val="4F81BD"/>
    </w:rPr>
  </w:style>
  <w:style w:type="paragraph" w:customStyle="1" w:styleId="Pa3">
    <w:name w:val="Pa3"/>
    <w:basedOn w:val="Normal"/>
    <w:next w:val="Normal"/>
    <w:rsid w:val="0071027C"/>
    <w:pPr>
      <w:widowControl/>
      <w:autoSpaceDE w:val="0"/>
      <w:autoSpaceDN w:val="0"/>
      <w:adjustRightInd w:val="0"/>
      <w:spacing w:before="200" w:after="0" w:line="240" w:lineRule="atLeast"/>
    </w:pPr>
    <w:rPr>
      <w:rFonts w:ascii="Times New Roman" w:eastAsia="Times New Roman" w:hAnsi="Times New Roman" w:cs="Times New Roman"/>
      <w:color w:val="4F81BD"/>
      <w:sz w:val="24"/>
      <w:szCs w:val="24"/>
    </w:rPr>
  </w:style>
  <w:style w:type="character" w:customStyle="1" w:styleId="A0">
    <w:name w:val="A0"/>
    <w:rsid w:val="0071027C"/>
    <w:rPr>
      <w:color w:val="000000"/>
      <w:sz w:val="23"/>
      <w:szCs w:val="23"/>
    </w:rPr>
  </w:style>
  <w:style w:type="paragraph" w:styleId="TOCHeading">
    <w:name w:val="TOC Heading"/>
    <w:basedOn w:val="Heading1"/>
    <w:next w:val="Normal"/>
    <w:uiPriority w:val="39"/>
    <w:unhideWhenUsed/>
    <w:qFormat/>
    <w:rsid w:val="0071027C"/>
    <w:pPr>
      <w:outlineLvl w:val="9"/>
    </w:pPr>
    <w:rPr>
      <w:rFonts w:ascii="Cambria" w:eastAsia="Times New Roman" w:hAnsi="Cambria" w:cs="Times New Roman"/>
      <w:color w:val="365F91"/>
    </w:rPr>
  </w:style>
  <w:style w:type="paragraph" w:customStyle="1" w:styleId="Pa9">
    <w:name w:val="Pa9"/>
    <w:basedOn w:val="Default"/>
    <w:next w:val="Default"/>
    <w:uiPriority w:val="99"/>
    <w:rsid w:val="0071027C"/>
    <w:pPr>
      <w:spacing w:before="200" w:line="241" w:lineRule="atLeast"/>
    </w:pPr>
    <w:rPr>
      <w:rFonts w:ascii="Optima DemiBold" w:eastAsia="Calibri" w:hAnsi="Optima DemiBold" w:cs="Times New Roman"/>
      <w:color w:val="auto"/>
    </w:rPr>
  </w:style>
  <w:style w:type="paragraph" w:customStyle="1" w:styleId="Pa13">
    <w:name w:val="Pa13"/>
    <w:basedOn w:val="Default"/>
    <w:next w:val="Default"/>
    <w:uiPriority w:val="99"/>
    <w:rsid w:val="0071027C"/>
    <w:pPr>
      <w:spacing w:before="200" w:line="241" w:lineRule="atLeast"/>
    </w:pPr>
    <w:rPr>
      <w:rFonts w:ascii="Optima DemiBold" w:eastAsia="Calibri" w:hAnsi="Optima DemiBold" w:cs="Times New Roman"/>
      <w:color w:val="auto"/>
    </w:rPr>
  </w:style>
  <w:style w:type="paragraph" w:customStyle="1" w:styleId="yiv5445433586msonormal">
    <w:name w:val="yiv5445433586msonormal"/>
    <w:basedOn w:val="Normal"/>
    <w:rsid w:val="0071027C"/>
    <w:pPr>
      <w:widowControl/>
      <w:spacing w:before="100" w:beforeAutospacing="1" w:after="100" w:afterAutospacing="1" w:line="240" w:lineRule="auto"/>
    </w:pPr>
    <w:rPr>
      <w:rFonts w:ascii="Times New Roman" w:eastAsia="Times New Roman" w:hAnsi="Times New Roman" w:cs="Times New Roman"/>
      <w:color w:val="4F81BD"/>
      <w:sz w:val="24"/>
      <w:szCs w:val="24"/>
    </w:rPr>
  </w:style>
  <w:style w:type="character" w:customStyle="1" w:styleId="HTMLPreformattedChar">
    <w:name w:val="HTML Preformatted Char"/>
    <w:basedOn w:val="DefaultParagraphFont"/>
    <w:link w:val="HTMLPreformatted"/>
    <w:uiPriority w:val="99"/>
    <w:rsid w:val="0071027C"/>
    <w:rPr>
      <w:rFonts w:ascii="Courier New" w:eastAsia="Times New Roman" w:hAnsi="Courier New" w:cs="Courier New"/>
      <w:color w:val="4F81BD"/>
      <w:sz w:val="24"/>
      <w:szCs w:val="24"/>
    </w:rPr>
  </w:style>
  <w:style w:type="paragraph" w:styleId="HTMLPreformatted">
    <w:name w:val="HTML Preformatted"/>
    <w:basedOn w:val="Normal"/>
    <w:link w:val="HTMLPreformattedChar"/>
    <w:uiPriority w:val="99"/>
    <w:rsid w:val="0071027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pPr>
    <w:rPr>
      <w:rFonts w:ascii="Courier New" w:eastAsia="Times New Roman" w:hAnsi="Courier New" w:cs="Courier New"/>
      <w:color w:val="4F81BD"/>
      <w:sz w:val="24"/>
      <w:szCs w:val="24"/>
    </w:rPr>
  </w:style>
  <w:style w:type="character" w:styleId="HTMLCite">
    <w:name w:val="HTML Cite"/>
    <w:basedOn w:val="DefaultParagraphFont"/>
    <w:uiPriority w:val="99"/>
    <w:semiHidden/>
    <w:unhideWhenUsed/>
    <w:rsid w:val="0071027C"/>
    <w:rPr>
      <w:i/>
      <w:iCs/>
    </w:rPr>
  </w:style>
  <w:style w:type="paragraph" w:customStyle="1" w:styleId="Pa7">
    <w:name w:val="Pa7"/>
    <w:basedOn w:val="Normal"/>
    <w:next w:val="Normal"/>
    <w:uiPriority w:val="99"/>
    <w:rsid w:val="00FF2CD0"/>
    <w:pPr>
      <w:widowControl/>
      <w:autoSpaceDE w:val="0"/>
      <w:autoSpaceDN w:val="0"/>
      <w:adjustRightInd w:val="0"/>
      <w:spacing w:after="0" w:line="201" w:lineRule="atLeast"/>
    </w:pPr>
    <w:rPr>
      <w:rFonts w:ascii="Swis721 Lt BT" w:hAnsi="Swis721 Lt BT"/>
      <w:sz w:val="24"/>
      <w:szCs w:val="24"/>
    </w:rPr>
  </w:style>
  <w:style w:type="paragraph" w:customStyle="1" w:styleId="Pa8">
    <w:name w:val="Pa8"/>
    <w:basedOn w:val="Normal"/>
    <w:next w:val="Normal"/>
    <w:uiPriority w:val="99"/>
    <w:rsid w:val="00FF2CD0"/>
    <w:pPr>
      <w:widowControl/>
      <w:autoSpaceDE w:val="0"/>
      <w:autoSpaceDN w:val="0"/>
      <w:adjustRightInd w:val="0"/>
      <w:spacing w:after="0" w:line="201" w:lineRule="atLeast"/>
    </w:pPr>
    <w:rPr>
      <w:rFonts w:ascii="Swis721 Lt BT" w:hAnsi="Swis721 Lt BT"/>
      <w:sz w:val="24"/>
      <w:szCs w:val="24"/>
    </w:rPr>
  </w:style>
  <w:style w:type="character" w:customStyle="1" w:styleId="A5">
    <w:name w:val="A5"/>
    <w:uiPriority w:val="99"/>
    <w:rsid w:val="00FF2CD0"/>
    <w:rPr>
      <w:rFonts w:cs="Swis721 Lt BT"/>
      <w:color w:val="000000"/>
      <w:sz w:val="20"/>
      <w:szCs w:val="20"/>
    </w:rPr>
  </w:style>
  <w:style w:type="paragraph" w:customStyle="1" w:styleId="Pa14">
    <w:name w:val="Pa14"/>
    <w:basedOn w:val="Normal"/>
    <w:next w:val="Normal"/>
    <w:uiPriority w:val="99"/>
    <w:rsid w:val="00FF2CD0"/>
    <w:pPr>
      <w:widowControl/>
      <w:autoSpaceDE w:val="0"/>
      <w:autoSpaceDN w:val="0"/>
      <w:adjustRightInd w:val="0"/>
      <w:spacing w:after="0" w:line="201" w:lineRule="atLeast"/>
    </w:pPr>
    <w:rPr>
      <w:rFonts w:ascii="Swis721 Lt BT" w:hAnsi="Swis721 Lt BT"/>
      <w:sz w:val="24"/>
      <w:szCs w:val="24"/>
    </w:rPr>
  </w:style>
  <w:style w:type="character" w:customStyle="1" w:styleId="CommentTextChar1">
    <w:name w:val="Comment Text Char1"/>
    <w:basedOn w:val="DefaultParagraphFont"/>
    <w:uiPriority w:val="99"/>
    <w:semiHidden/>
    <w:rsid w:val="00FF2CD0"/>
    <w:rPr>
      <w:sz w:val="20"/>
      <w:szCs w:val="20"/>
    </w:rPr>
  </w:style>
  <w:style w:type="paragraph" w:customStyle="1" w:styleId="Pa30">
    <w:name w:val="Pa30"/>
    <w:basedOn w:val="Normal"/>
    <w:next w:val="Normal"/>
    <w:uiPriority w:val="99"/>
    <w:rsid w:val="00FF2CD0"/>
    <w:pPr>
      <w:widowControl/>
      <w:autoSpaceDE w:val="0"/>
      <w:autoSpaceDN w:val="0"/>
      <w:adjustRightInd w:val="0"/>
      <w:spacing w:after="0" w:line="281" w:lineRule="atLeast"/>
    </w:pPr>
    <w:rPr>
      <w:rFonts w:ascii="GillSans" w:eastAsia="Calibri" w:hAnsi="GillSans" w:cs="Times New Roman"/>
      <w:sz w:val="24"/>
      <w:szCs w:val="24"/>
    </w:rPr>
  </w:style>
  <w:style w:type="paragraph" w:customStyle="1" w:styleId="captiontable">
    <w:name w:val="caption:table"/>
    <w:basedOn w:val="Normal"/>
    <w:next w:val="Normal"/>
    <w:rsid w:val="00FF2CD0"/>
    <w:pPr>
      <w:keepNext/>
      <w:widowControl/>
      <w:spacing w:after="240" w:line="240" w:lineRule="auto"/>
      <w:ind w:left="1440" w:hanging="1440"/>
    </w:pPr>
    <w:rPr>
      <w:rFonts w:ascii="Arial" w:eastAsia="Times New Roman" w:hAnsi="Arial" w:cs="Times New Roman"/>
      <w:b/>
      <w:szCs w:val="20"/>
      <w:lang w:val="en-GB"/>
    </w:rPr>
  </w:style>
  <w:style w:type="character" w:customStyle="1" w:styleId="A3">
    <w:name w:val="A3"/>
    <w:uiPriority w:val="99"/>
    <w:rsid w:val="00FF2CD0"/>
    <w:rPr>
      <w:rFonts w:ascii="Myriad" w:hAnsi="Myriad" w:cs="Myriad" w:hint="default"/>
      <w:color w:val="000000"/>
      <w:sz w:val="22"/>
      <w:szCs w:val="22"/>
    </w:rPr>
  </w:style>
  <w:style w:type="character" w:customStyle="1" w:styleId="HeaderChar1">
    <w:name w:val="Header Char1"/>
    <w:basedOn w:val="DefaultParagraphFont"/>
    <w:uiPriority w:val="99"/>
    <w:semiHidden/>
    <w:rsid w:val="00FF2CD0"/>
  </w:style>
  <w:style w:type="character" w:customStyle="1" w:styleId="FooterChar1">
    <w:name w:val="Footer Char1"/>
    <w:basedOn w:val="DefaultParagraphFont"/>
    <w:uiPriority w:val="99"/>
    <w:semiHidden/>
    <w:rsid w:val="00FF2CD0"/>
  </w:style>
  <w:style w:type="character" w:customStyle="1" w:styleId="CommentSubjectChar1">
    <w:name w:val="Comment Subject Char1"/>
    <w:basedOn w:val="CommentTextChar1"/>
    <w:uiPriority w:val="99"/>
    <w:semiHidden/>
    <w:rsid w:val="00FF2CD0"/>
    <w:rPr>
      <w:b/>
      <w:bCs/>
      <w:sz w:val="20"/>
      <w:szCs w:val="20"/>
    </w:rPr>
  </w:style>
  <w:style w:type="paragraph" w:customStyle="1" w:styleId="SMBodyText">
    <w:name w:val="SM Body Text"/>
    <w:basedOn w:val="Normal"/>
    <w:rsid w:val="00FF2CD0"/>
    <w:pPr>
      <w:widowControl/>
      <w:tabs>
        <w:tab w:val="left" w:pos="2520"/>
      </w:tabs>
      <w:spacing w:after="0" w:line="240" w:lineRule="auto"/>
    </w:pPr>
    <w:rPr>
      <w:rFonts w:ascii="Arial" w:eastAsia="Batang" w:hAnsi="Arial" w:cs="Times New Roman"/>
      <w:szCs w:val="24"/>
      <w:lang w:val="en-GB"/>
    </w:rPr>
  </w:style>
  <w:style w:type="paragraph" w:customStyle="1" w:styleId="SMBullet3">
    <w:name w:val="SM Bullet3"/>
    <w:basedOn w:val="Normal"/>
    <w:rsid w:val="00FF2CD0"/>
    <w:pPr>
      <w:widowControl/>
      <w:tabs>
        <w:tab w:val="num" w:pos="720"/>
      </w:tabs>
      <w:spacing w:after="60" w:line="240" w:lineRule="auto"/>
      <w:ind w:left="720" w:hanging="720"/>
    </w:pPr>
    <w:rPr>
      <w:rFonts w:ascii="Arial" w:eastAsia="PMingLiU" w:hAnsi="Arial" w:cs="Times New Roman"/>
      <w:color w:val="000000"/>
      <w:szCs w:val="20"/>
      <w:lang w:val="en-GB"/>
    </w:rPr>
  </w:style>
  <w:style w:type="paragraph" w:customStyle="1" w:styleId="MJTableText">
    <w:name w:val="MJ_TableText"/>
    <w:basedOn w:val="Normal"/>
    <w:rsid w:val="00FF2CD0"/>
    <w:pPr>
      <w:widowControl/>
      <w:spacing w:after="0" w:line="240" w:lineRule="auto"/>
      <w:jc w:val="center"/>
    </w:pPr>
    <w:rPr>
      <w:rFonts w:ascii="Century Gothic" w:eastAsia="Times New Roman" w:hAnsi="Century Gothic" w:cs="Times New Roman"/>
      <w:sz w:val="18"/>
      <w:szCs w:val="20"/>
      <w:lang w:val="en-GB"/>
    </w:rPr>
  </w:style>
  <w:style w:type="paragraph" w:customStyle="1" w:styleId="SMBulletssingle">
    <w:name w:val="SM Bullets single"/>
    <w:basedOn w:val="Normal"/>
    <w:rsid w:val="00FF2CD0"/>
    <w:pPr>
      <w:widowControl/>
      <w:spacing w:before="60" w:after="0" w:line="240" w:lineRule="auto"/>
    </w:pPr>
    <w:rPr>
      <w:rFonts w:ascii="Arial" w:eastAsia="Batang" w:hAnsi="Arial" w:cs="Times New Roman"/>
      <w:szCs w:val="20"/>
      <w:lang w:val="en-GB"/>
    </w:rPr>
  </w:style>
  <w:style w:type="paragraph" w:customStyle="1" w:styleId="SMTableHead">
    <w:name w:val="SM Table Head"/>
    <w:basedOn w:val="Normal"/>
    <w:rsid w:val="00FF2CD0"/>
    <w:pPr>
      <w:widowControl/>
      <w:spacing w:after="120" w:line="240" w:lineRule="auto"/>
    </w:pPr>
    <w:rPr>
      <w:rFonts w:ascii="Arial" w:eastAsia="Batang" w:hAnsi="Arial" w:cs="Times New Roman"/>
      <w:b/>
      <w:sz w:val="20"/>
      <w:szCs w:val="20"/>
      <w:lang w:val="en-GB"/>
    </w:rPr>
  </w:style>
  <w:style w:type="paragraph" w:customStyle="1" w:styleId="TZbodytext">
    <w:name w:val="TZ body text"/>
    <w:basedOn w:val="Normal"/>
    <w:rsid w:val="00FF2CD0"/>
    <w:pPr>
      <w:widowControl/>
      <w:spacing w:after="0" w:line="360" w:lineRule="auto"/>
    </w:pPr>
    <w:rPr>
      <w:rFonts w:ascii="Helvetica Neue Light" w:eastAsia="Arial" w:hAnsi="Helvetica Neue Light" w:cs="Arial"/>
      <w:lang w:val="en-GB"/>
    </w:rPr>
  </w:style>
  <w:style w:type="character" w:customStyle="1" w:styleId="Heading3Char1">
    <w:name w:val="Heading 3 Char1"/>
    <w:uiPriority w:val="9"/>
    <w:locked/>
    <w:rsid w:val="00FF2CD0"/>
    <w:rPr>
      <w:rFonts w:ascii="Cambria" w:eastAsia="Times New Roman" w:hAnsi="Cambria" w:cs="Times New Roman"/>
      <w:b/>
      <w:bCs/>
      <w:sz w:val="26"/>
      <w:szCs w:val="26"/>
    </w:rPr>
  </w:style>
  <w:style w:type="character" w:styleId="HTMLTypewriter">
    <w:name w:val="HTML Typewriter"/>
    <w:basedOn w:val="DefaultParagraphFont"/>
    <w:uiPriority w:val="99"/>
    <w:rsid w:val="00FF2CD0"/>
    <w:rPr>
      <w:rFonts w:ascii="Courier New" w:hAnsi="Courier New" w:cs="Courier New"/>
      <w:sz w:val="20"/>
      <w:szCs w:val="20"/>
    </w:rPr>
  </w:style>
  <w:style w:type="paragraph" w:styleId="TOC4">
    <w:name w:val="toc 4"/>
    <w:basedOn w:val="Normal"/>
    <w:next w:val="Normal"/>
    <w:autoRedefine/>
    <w:uiPriority w:val="39"/>
    <w:unhideWhenUsed/>
    <w:rsid w:val="00FF2CD0"/>
    <w:pPr>
      <w:widowControl/>
      <w:spacing w:after="100"/>
      <w:ind w:left="660"/>
    </w:pPr>
    <w:rPr>
      <w:rFonts w:eastAsiaTheme="minorEastAsia"/>
    </w:rPr>
  </w:style>
  <w:style w:type="paragraph" w:styleId="TOC5">
    <w:name w:val="toc 5"/>
    <w:basedOn w:val="Normal"/>
    <w:next w:val="Normal"/>
    <w:autoRedefine/>
    <w:uiPriority w:val="39"/>
    <w:unhideWhenUsed/>
    <w:rsid w:val="00FF2CD0"/>
    <w:pPr>
      <w:widowControl/>
      <w:spacing w:after="100"/>
      <w:ind w:left="880"/>
    </w:pPr>
    <w:rPr>
      <w:rFonts w:eastAsiaTheme="minorEastAsia"/>
    </w:rPr>
  </w:style>
  <w:style w:type="paragraph" w:styleId="TOC6">
    <w:name w:val="toc 6"/>
    <w:basedOn w:val="Normal"/>
    <w:next w:val="Normal"/>
    <w:autoRedefine/>
    <w:uiPriority w:val="39"/>
    <w:unhideWhenUsed/>
    <w:rsid w:val="00FF2CD0"/>
    <w:pPr>
      <w:widowControl/>
      <w:spacing w:after="100"/>
      <w:ind w:left="1100"/>
    </w:pPr>
    <w:rPr>
      <w:rFonts w:eastAsiaTheme="minorEastAsia"/>
    </w:rPr>
  </w:style>
  <w:style w:type="paragraph" w:styleId="TOC7">
    <w:name w:val="toc 7"/>
    <w:basedOn w:val="Normal"/>
    <w:next w:val="Normal"/>
    <w:autoRedefine/>
    <w:uiPriority w:val="39"/>
    <w:unhideWhenUsed/>
    <w:rsid w:val="00FF2CD0"/>
    <w:pPr>
      <w:widowControl/>
      <w:spacing w:after="100"/>
      <w:ind w:left="1320"/>
    </w:pPr>
    <w:rPr>
      <w:rFonts w:eastAsiaTheme="minorEastAsia"/>
    </w:rPr>
  </w:style>
  <w:style w:type="paragraph" w:styleId="TOC8">
    <w:name w:val="toc 8"/>
    <w:basedOn w:val="Normal"/>
    <w:next w:val="Normal"/>
    <w:autoRedefine/>
    <w:uiPriority w:val="39"/>
    <w:unhideWhenUsed/>
    <w:rsid w:val="00FF2CD0"/>
    <w:pPr>
      <w:widowControl/>
      <w:spacing w:after="100"/>
      <w:ind w:left="1540"/>
    </w:pPr>
    <w:rPr>
      <w:rFonts w:eastAsiaTheme="minorEastAsia"/>
    </w:rPr>
  </w:style>
  <w:style w:type="paragraph" w:styleId="TOC9">
    <w:name w:val="toc 9"/>
    <w:basedOn w:val="Normal"/>
    <w:next w:val="Normal"/>
    <w:autoRedefine/>
    <w:uiPriority w:val="39"/>
    <w:unhideWhenUsed/>
    <w:rsid w:val="00FF2CD0"/>
    <w:pPr>
      <w:widowControl/>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5.e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who.int/hiv/pub/" TargetMode="Externa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wmf"/><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header" Target="header6.xml"/><Relationship Id="rId10" Type="http://schemas.openxmlformats.org/officeDocument/2006/relationships/diagramData" Target="diagrams/data1.xml"/><Relationship Id="rId19" Type="http://schemas.openxmlformats.org/officeDocument/2006/relationships/hyperlink" Target="http://www.faqs.org/nutrition/Diab-Em/Diet.htm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hyperlink" Target="http://www.who.int/hiv/pub/guidelines/HIVstaging150307.pdf" TargetMode="External"/><Relationship Id="rId27" Type="http://schemas.openxmlformats.org/officeDocument/2006/relationships/header" Target="header5.xml"/><Relationship Id="rId30"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www.hivsharespace.net/system/files/imce/2013%2010%2030%20_What%20is%20SBCC_final.doc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5B754C-AACF-2E41-B8FD-364CD9ABB08E}"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en-US"/>
        </a:p>
      </dgm:t>
    </dgm:pt>
    <dgm:pt modelId="{665A2DDF-6015-C846-93D9-DA99734893BB}">
      <dgm:prSet phldrT="[Text]" custT="1"/>
      <dgm:spPr/>
      <dgm:t>
        <a:bodyPr/>
        <a:lstStyle/>
        <a:p>
          <a:r>
            <a:rPr lang="en-US" sz="1100"/>
            <a:t>PCR1</a:t>
          </a:r>
        </a:p>
        <a:p>
          <a:r>
            <a:rPr lang="en-US" sz="1100"/>
            <a:t>To all 4-6 weeks HIV exposed or symptomtic  infants &lt;18 months </a:t>
          </a:r>
        </a:p>
      </dgm:t>
    </dgm:pt>
    <dgm:pt modelId="{899FA7B8-323E-EE4B-AD12-CEC83F817666}" type="parTrans" cxnId="{23CF9AC0-FC1D-6D47-B573-D3B11B09CDCA}">
      <dgm:prSet/>
      <dgm:spPr/>
      <dgm:t>
        <a:bodyPr/>
        <a:lstStyle/>
        <a:p>
          <a:endParaRPr lang="en-US"/>
        </a:p>
      </dgm:t>
    </dgm:pt>
    <dgm:pt modelId="{B16B5600-B2B1-9B40-9BAB-3193DAA6EA4F}" type="sibTrans" cxnId="{23CF9AC0-FC1D-6D47-B573-D3B11B09CDCA}">
      <dgm:prSet/>
      <dgm:spPr/>
      <dgm:t>
        <a:bodyPr/>
        <a:lstStyle/>
        <a:p>
          <a:endParaRPr lang="en-US"/>
        </a:p>
      </dgm:t>
    </dgm:pt>
    <dgm:pt modelId="{220EE396-1A9F-5643-8E06-D4417C2EA295}">
      <dgm:prSet phldrT="[Text]" custT="1"/>
      <dgm:spPr/>
      <dgm:t>
        <a:bodyPr/>
        <a:lstStyle/>
        <a:p>
          <a:r>
            <a:rPr lang="en-US" sz="1100"/>
            <a:t>PCR 1 = +ve</a:t>
          </a:r>
        </a:p>
        <a:p>
          <a:r>
            <a:rPr lang="en-US" sz="1100"/>
            <a:t>Reapeat the PCR Test</a:t>
          </a:r>
        </a:p>
      </dgm:t>
    </dgm:pt>
    <dgm:pt modelId="{A20F7752-6358-3A48-9C0B-8A50C078FDF1}" type="sibTrans" cxnId="{D7D637BE-FC1B-0D4E-A460-CEB323D32C0E}">
      <dgm:prSet/>
      <dgm:spPr/>
      <dgm:t>
        <a:bodyPr/>
        <a:lstStyle/>
        <a:p>
          <a:endParaRPr lang="en-US"/>
        </a:p>
      </dgm:t>
    </dgm:pt>
    <dgm:pt modelId="{DD997AE6-D895-B145-BE4B-D7C91AFEF28D}" type="parTrans" cxnId="{D7D637BE-FC1B-0D4E-A460-CEB323D32C0E}">
      <dgm:prSet/>
      <dgm:spPr/>
      <dgm:t>
        <a:bodyPr/>
        <a:lstStyle/>
        <a:p>
          <a:endParaRPr lang="en-US"/>
        </a:p>
      </dgm:t>
    </dgm:pt>
    <dgm:pt modelId="{4A1159C2-9077-DB49-A66B-F8CBD9CCE9A0}">
      <dgm:prSet phldrT="[Text]" custT="1"/>
      <dgm:spPr/>
      <dgm:t>
        <a:bodyPr/>
        <a:lstStyle/>
        <a:p>
          <a:r>
            <a:rPr lang="en-US" sz="1100"/>
            <a:t>Unsastifactory Sample, reject and inform site immediately</a:t>
          </a:r>
        </a:p>
      </dgm:t>
    </dgm:pt>
    <dgm:pt modelId="{83EB4A5F-F906-EF4B-B95E-73880C4D984F}" type="sibTrans" cxnId="{82AFE55B-A342-EE4E-87E0-C953EC8609B4}">
      <dgm:prSet/>
      <dgm:spPr/>
      <dgm:t>
        <a:bodyPr/>
        <a:lstStyle/>
        <a:p>
          <a:endParaRPr lang="en-US"/>
        </a:p>
      </dgm:t>
    </dgm:pt>
    <dgm:pt modelId="{6A3024FF-0786-D945-B941-D53B36600819}" type="parTrans" cxnId="{82AFE55B-A342-EE4E-87E0-C953EC8609B4}">
      <dgm:prSet/>
      <dgm:spPr/>
      <dgm:t>
        <a:bodyPr/>
        <a:lstStyle/>
        <a:p>
          <a:endParaRPr lang="en-US"/>
        </a:p>
      </dgm:t>
    </dgm:pt>
    <dgm:pt modelId="{24D25B1A-0B37-3947-A2D6-90225C11AA59}">
      <dgm:prSet phldrT="[Text]" custT="1"/>
      <dgm:spPr/>
      <dgm:t>
        <a:bodyPr/>
        <a:lstStyle/>
        <a:p>
          <a:r>
            <a:rPr lang="en-US" sz="1100"/>
            <a:t>PCR 1 = - ve</a:t>
          </a:r>
        </a:p>
        <a:p>
          <a:r>
            <a:rPr lang="en-US" sz="1100"/>
            <a:t>Give out results as Negative</a:t>
          </a:r>
        </a:p>
      </dgm:t>
    </dgm:pt>
    <dgm:pt modelId="{25D89A7D-D30A-C440-9311-EE1305D701DD}" type="sibTrans" cxnId="{3852BE35-4D67-564F-AC69-1A163C4C201A}">
      <dgm:prSet/>
      <dgm:spPr/>
      <dgm:t>
        <a:bodyPr/>
        <a:lstStyle/>
        <a:p>
          <a:endParaRPr lang="en-US"/>
        </a:p>
      </dgm:t>
    </dgm:pt>
    <dgm:pt modelId="{3F92C687-A2AC-EC4B-B735-7307ECC6B9B0}" type="parTrans" cxnId="{3852BE35-4D67-564F-AC69-1A163C4C201A}">
      <dgm:prSet/>
      <dgm:spPr/>
      <dgm:t>
        <a:bodyPr/>
        <a:lstStyle/>
        <a:p>
          <a:endParaRPr lang="en-US"/>
        </a:p>
      </dgm:t>
    </dgm:pt>
    <dgm:pt modelId="{9CD88A6C-85E3-084E-B7EE-74037B7EAB7D}" type="asst">
      <dgm:prSet phldrT="[Text]" custT="1"/>
      <dgm:spPr/>
      <dgm:t>
        <a:bodyPr/>
        <a:lstStyle/>
        <a:p>
          <a:r>
            <a:rPr lang="en-US" sz="1100"/>
            <a:t>PCR 2 = +ve</a:t>
          </a:r>
        </a:p>
        <a:p>
          <a:r>
            <a:rPr lang="en-US" sz="1100"/>
            <a:t>Give out results as Positive </a:t>
          </a:r>
        </a:p>
      </dgm:t>
    </dgm:pt>
    <dgm:pt modelId="{8422E801-76AD-EC47-8408-F5A42C07AF42}" type="parTrans" cxnId="{88082885-D28C-4A42-A017-9929D63CF8A5}">
      <dgm:prSet/>
      <dgm:spPr/>
      <dgm:t>
        <a:bodyPr/>
        <a:lstStyle/>
        <a:p>
          <a:endParaRPr lang="en-US"/>
        </a:p>
      </dgm:t>
    </dgm:pt>
    <dgm:pt modelId="{BC015100-A115-D84B-B68B-FEB18B0FA794}" type="sibTrans" cxnId="{88082885-D28C-4A42-A017-9929D63CF8A5}">
      <dgm:prSet/>
      <dgm:spPr/>
      <dgm:t>
        <a:bodyPr/>
        <a:lstStyle/>
        <a:p>
          <a:endParaRPr lang="en-US"/>
        </a:p>
      </dgm:t>
    </dgm:pt>
    <dgm:pt modelId="{7D556251-3CFB-1542-986E-93360C311A74}" type="asst">
      <dgm:prSet phldrT="[Text]" custT="1"/>
      <dgm:spPr/>
      <dgm:t>
        <a:bodyPr/>
        <a:lstStyle/>
        <a:p>
          <a:r>
            <a:rPr lang="en-US" sz="1100"/>
            <a:t>PCR 2 = - ve</a:t>
          </a:r>
        </a:p>
        <a:p>
          <a:r>
            <a:rPr lang="en-US" sz="1100"/>
            <a:t>Give out results as Negative</a:t>
          </a:r>
        </a:p>
      </dgm:t>
    </dgm:pt>
    <dgm:pt modelId="{FAFD693C-D9F9-DB4B-BFBB-CFDC5D49A7BC}" type="parTrans" cxnId="{B9C5DB0C-FA54-5F4B-A3F0-7548F7FDEAC8}">
      <dgm:prSet/>
      <dgm:spPr/>
      <dgm:t>
        <a:bodyPr/>
        <a:lstStyle/>
        <a:p>
          <a:endParaRPr lang="en-US"/>
        </a:p>
      </dgm:t>
    </dgm:pt>
    <dgm:pt modelId="{9B57F522-16B8-474D-BD2C-63F7359C75BC}" type="sibTrans" cxnId="{B9C5DB0C-FA54-5F4B-A3F0-7548F7FDEAC8}">
      <dgm:prSet/>
      <dgm:spPr/>
      <dgm:t>
        <a:bodyPr/>
        <a:lstStyle/>
        <a:p>
          <a:endParaRPr lang="en-US"/>
        </a:p>
      </dgm:t>
    </dgm:pt>
    <dgm:pt modelId="{8702FB96-1610-B14C-8C1A-D4013B9AD0C9}" type="pres">
      <dgm:prSet presAssocID="{D75B754C-AACF-2E41-B8FD-364CD9ABB08E}" presName="hierChild1" presStyleCnt="0">
        <dgm:presLayoutVars>
          <dgm:orgChart val="1"/>
          <dgm:chPref val="1"/>
          <dgm:dir/>
          <dgm:animOne val="branch"/>
          <dgm:animLvl val="lvl"/>
          <dgm:resizeHandles/>
        </dgm:presLayoutVars>
      </dgm:prSet>
      <dgm:spPr/>
      <dgm:t>
        <a:bodyPr/>
        <a:lstStyle/>
        <a:p>
          <a:endParaRPr lang="en-US"/>
        </a:p>
      </dgm:t>
    </dgm:pt>
    <dgm:pt modelId="{68F6C181-0A6E-C34B-B902-66461BC72190}" type="pres">
      <dgm:prSet presAssocID="{665A2DDF-6015-C846-93D9-DA99734893BB}" presName="hierRoot1" presStyleCnt="0">
        <dgm:presLayoutVars>
          <dgm:hierBranch val="init"/>
        </dgm:presLayoutVars>
      </dgm:prSet>
      <dgm:spPr/>
    </dgm:pt>
    <dgm:pt modelId="{6D4D2762-4168-B14B-9D86-776B97FAE393}" type="pres">
      <dgm:prSet presAssocID="{665A2DDF-6015-C846-93D9-DA99734893BB}" presName="rootComposite1" presStyleCnt="0"/>
      <dgm:spPr/>
    </dgm:pt>
    <dgm:pt modelId="{C1A1F893-493C-7847-BC23-0CC0D0762F51}" type="pres">
      <dgm:prSet presAssocID="{665A2DDF-6015-C846-93D9-DA99734893BB}" presName="rootText1" presStyleLbl="node0" presStyleIdx="0" presStyleCnt="3" custScaleX="170364" custScaleY="93117" custLinFactNeighborX="-15026" custLinFactNeighborY="-91428">
        <dgm:presLayoutVars>
          <dgm:chPref val="3"/>
        </dgm:presLayoutVars>
      </dgm:prSet>
      <dgm:spPr/>
      <dgm:t>
        <a:bodyPr/>
        <a:lstStyle/>
        <a:p>
          <a:endParaRPr lang="en-US"/>
        </a:p>
      </dgm:t>
    </dgm:pt>
    <dgm:pt modelId="{777A66B6-29DB-3A42-AB19-E55662CE8F9F}" type="pres">
      <dgm:prSet presAssocID="{665A2DDF-6015-C846-93D9-DA99734893BB}" presName="rootConnector1" presStyleLbl="node1" presStyleIdx="0" presStyleCnt="0"/>
      <dgm:spPr/>
      <dgm:t>
        <a:bodyPr/>
        <a:lstStyle/>
        <a:p>
          <a:endParaRPr lang="en-US"/>
        </a:p>
      </dgm:t>
    </dgm:pt>
    <dgm:pt modelId="{81047DA8-A59B-E945-947B-7F04F89469F6}" type="pres">
      <dgm:prSet presAssocID="{665A2DDF-6015-C846-93D9-DA99734893BB}" presName="hierChild2" presStyleCnt="0"/>
      <dgm:spPr/>
    </dgm:pt>
    <dgm:pt modelId="{6A66C5EB-48AC-9246-B293-E830E229ABC6}" type="pres">
      <dgm:prSet presAssocID="{DD997AE6-D895-B145-BE4B-D7C91AFEF28D}" presName="Name37" presStyleLbl="parChTrans1D2" presStyleIdx="0" presStyleCnt="3"/>
      <dgm:spPr/>
      <dgm:t>
        <a:bodyPr/>
        <a:lstStyle/>
        <a:p>
          <a:endParaRPr lang="en-US"/>
        </a:p>
      </dgm:t>
    </dgm:pt>
    <dgm:pt modelId="{DAA05204-D1CC-1947-9B13-EF927EDFFA74}" type="pres">
      <dgm:prSet presAssocID="{220EE396-1A9F-5643-8E06-D4417C2EA295}" presName="hierRoot2" presStyleCnt="0">
        <dgm:presLayoutVars>
          <dgm:hierBranch val="init"/>
        </dgm:presLayoutVars>
      </dgm:prSet>
      <dgm:spPr/>
    </dgm:pt>
    <dgm:pt modelId="{437F94A3-B821-134C-97F8-EB479D3E1B23}" type="pres">
      <dgm:prSet presAssocID="{220EE396-1A9F-5643-8E06-D4417C2EA295}" presName="rootComposite" presStyleCnt="0"/>
      <dgm:spPr/>
    </dgm:pt>
    <dgm:pt modelId="{753C7569-D203-2F47-8382-9AC64C1FDB40}" type="pres">
      <dgm:prSet presAssocID="{220EE396-1A9F-5643-8E06-D4417C2EA295}" presName="rootText" presStyleLbl="node2" presStyleIdx="0" presStyleCnt="3" custLinFactNeighborX="3716" custLinFactNeighborY="7763">
        <dgm:presLayoutVars>
          <dgm:chPref val="3"/>
        </dgm:presLayoutVars>
      </dgm:prSet>
      <dgm:spPr/>
      <dgm:t>
        <a:bodyPr/>
        <a:lstStyle/>
        <a:p>
          <a:endParaRPr lang="en-US"/>
        </a:p>
      </dgm:t>
    </dgm:pt>
    <dgm:pt modelId="{6517EDA9-3710-9944-9929-86F55FBE2F01}" type="pres">
      <dgm:prSet presAssocID="{220EE396-1A9F-5643-8E06-D4417C2EA295}" presName="rootConnector" presStyleLbl="node2" presStyleIdx="0" presStyleCnt="3"/>
      <dgm:spPr/>
      <dgm:t>
        <a:bodyPr/>
        <a:lstStyle/>
        <a:p>
          <a:endParaRPr lang="en-US"/>
        </a:p>
      </dgm:t>
    </dgm:pt>
    <dgm:pt modelId="{265850AE-86DA-6949-84A0-23E915A35B01}" type="pres">
      <dgm:prSet presAssocID="{220EE396-1A9F-5643-8E06-D4417C2EA295}" presName="hierChild4" presStyleCnt="0"/>
      <dgm:spPr/>
    </dgm:pt>
    <dgm:pt modelId="{A4B4CA3C-D658-F541-AF98-E6DEA3B803C7}" type="pres">
      <dgm:prSet presAssocID="{220EE396-1A9F-5643-8E06-D4417C2EA295}" presName="hierChild5" presStyleCnt="0"/>
      <dgm:spPr/>
    </dgm:pt>
    <dgm:pt modelId="{815263E5-ED53-2449-8282-9D2906F4C10E}" type="pres">
      <dgm:prSet presAssocID="{3F92C687-A2AC-EC4B-B735-7307ECC6B9B0}" presName="Name37" presStyleLbl="parChTrans1D2" presStyleIdx="1" presStyleCnt="3"/>
      <dgm:spPr/>
      <dgm:t>
        <a:bodyPr/>
        <a:lstStyle/>
        <a:p>
          <a:endParaRPr lang="en-US"/>
        </a:p>
      </dgm:t>
    </dgm:pt>
    <dgm:pt modelId="{37B774E6-A22C-4049-A51A-8F5741E81AC7}" type="pres">
      <dgm:prSet presAssocID="{24D25B1A-0B37-3947-A2D6-90225C11AA59}" presName="hierRoot2" presStyleCnt="0">
        <dgm:presLayoutVars>
          <dgm:hierBranch val="init"/>
        </dgm:presLayoutVars>
      </dgm:prSet>
      <dgm:spPr/>
    </dgm:pt>
    <dgm:pt modelId="{FE2D7BDD-C11E-4245-870C-881B41F22271}" type="pres">
      <dgm:prSet presAssocID="{24D25B1A-0B37-3947-A2D6-90225C11AA59}" presName="rootComposite" presStyleCnt="0"/>
      <dgm:spPr/>
    </dgm:pt>
    <dgm:pt modelId="{F1D9C4BF-00A9-F74B-84AF-9036A4CDAD3C}" type="pres">
      <dgm:prSet presAssocID="{24D25B1A-0B37-3947-A2D6-90225C11AA59}" presName="rootText" presStyleLbl="node2" presStyleIdx="1" presStyleCnt="3">
        <dgm:presLayoutVars>
          <dgm:chPref val="3"/>
        </dgm:presLayoutVars>
      </dgm:prSet>
      <dgm:spPr/>
      <dgm:t>
        <a:bodyPr/>
        <a:lstStyle/>
        <a:p>
          <a:endParaRPr lang="en-US"/>
        </a:p>
      </dgm:t>
    </dgm:pt>
    <dgm:pt modelId="{96881BB4-70C3-B245-886D-D89E7DF6AB98}" type="pres">
      <dgm:prSet presAssocID="{24D25B1A-0B37-3947-A2D6-90225C11AA59}" presName="rootConnector" presStyleLbl="node2" presStyleIdx="1" presStyleCnt="3"/>
      <dgm:spPr/>
      <dgm:t>
        <a:bodyPr/>
        <a:lstStyle/>
        <a:p>
          <a:endParaRPr lang="en-US"/>
        </a:p>
      </dgm:t>
    </dgm:pt>
    <dgm:pt modelId="{60BB9BEB-B3AD-944D-8478-FE4FF98F4668}" type="pres">
      <dgm:prSet presAssocID="{24D25B1A-0B37-3947-A2D6-90225C11AA59}" presName="hierChild4" presStyleCnt="0"/>
      <dgm:spPr/>
    </dgm:pt>
    <dgm:pt modelId="{4487AF4F-9FE6-4D48-8B8D-44B10EE04E1C}" type="pres">
      <dgm:prSet presAssocID="{24D25B1A-0B37-3947-A2D6-90225C11AA59}" presName="hierChild5" presStyleCnt="0"/>
      <dgm:spPr/>
    </dgm:pt>
    <dgm:pt modelId="{56CE9319-D8C3-0648-B3FC-12E9668FD0EC}" type="pres">
      <dgm:prSet presAssocID="{6A3024FF-0786-D945-B941-D53B36600819}" presName="Name37" presStyleLbl="parChTrans1D2" presStyleIdx="2" presStyleCnt="3"/>
      <dgm:spPr/>
      <dgm:t>
        <a:bodyPr/>
        <a:lstStyle/>
        <a:p>
          <a:endParaRPr lang="en-US"/>
        </a:p>
      </dgm:t>
    </dgm:pt>
    <dgm:pt modelId="{3AF58A53-8AE4-F040-90F8-39C403AF05B9}" type="pres">
      <dgm:prSet presAssocID="{4A1159C2-9077-DB49-A66B-F8CBD9CCE9A0}" presName="hierRoot2" presStyleCnt="0">
        <dgm:presLayoutVars>
          <dgm:hierBranch val="init"/>
        </dgm:presLayoutVars>
      </dgm:prSet>
      <dgm:spPr/>
    </dgm:pt>
    <dgm:pt modelId="{4B67271E-C647-D74C-A890-56F7ADF5D967}" type="pres">
      <dgm:prSet presAssocID="{4A1159C2-9077-DB49-A66B-F8CBD9CCE9A0}" presName="rootComposite" presStyleCnt="0"/>
      <dgm:spPr/>
    </dgm:pt>
    <dgm:pt modelId="{582F3051-503A-C445-BE35-E51E21CA2462}" type="pres">
      <dgm:prSet presAssocID="{4A1159C2-9077-DB49-A66B-F8CBD9CCE9A0}" presName="rootText" presStyleLbl="node2" presStyleIdx="2" presStyleCnt="3">
        <dgm:presLayoutVars>
          <dgm:chPref val="3"/>
        </dgm:presLayoutVars>
      </dgm:prSet>
      <dgm:spPr/>
      <dgm:t>
        <a:bodyPr/>
        <a:lstStyle/>
        <a:p>
          <a:endParaRPr lang="en-US"/>
        </a:p>
      </dgm:t>
    </dgm:pt>
    <dgm:pt modelId="{E60A9A9C-D26C-E742-86DB-B9E38685B501}" type="pres">
      <dgm:prSet presAssocID="{4A1159C2-9077-DB49-A66B-F8CBD9CCE9A0}" presName="rootConnector" presStyleLbl="node2" presStyleIdx="2" presStyleCnt="3"/>
      <dgm:spPr/>
      <dgm:t>
        <a:bodyPr/>
        <a:lstStyle/>
        <a:p>
          <a:endParaRPr lang="en-US"/>
        </a:p>
      </dgm:t>
    </dgm:pt>
    <dgm:pt modelId="{3C8C780D-0506-C74F-802B-1D03DB7B3578}" type="pres">
      <dgm:prSet presAssocID="{4A1159C2-9077-DB49-A66B-F8CBD9CCE9A0}" presName="hierChild4" presStyleCnt="0"/>
      <dgm:spPr/>
    </dgm:pt>
    <dgm:pt modelId="{4DDDAA45-6083-C749-ACEF-0CDB5AD092FF}" type="pres">
      <dgm:prSet presAssocID="{4A1159C2-9077-DB49-A66B-F8CBD9CCE9A0}" presName="hierChild5" presStyleCnt="0"/>
      <dgm:spPr/>
    </dgm:pt>
    <dgm:pt modelId="{55D16DF7-495A-D547-935E-F9D011EAB1D4}" type="pres">
      <dgm:prSet presAssocID="{665A2DDF-6015-C846-93D9-DA99734893BB}" presName="hierChild3" presStyleCnt="0"/>
      <dgm:spPr/>
    </dgm:pt>
    <dgm:pt modelId="{5ABC51D8-66F2-C940-A52E-8E773D1B9C9F}" type="pres">
      <dgm:prSet presAssocID="{9CD88A6C-85E3-084E-B7EE-74037B7EAB7D}" presName="hierRoot1" presStyleCnt="0">
        <dgm:presLayoutVars>
          <dgm:hierBranch val="init"/>
        </dgm:presLayoutVars>
      </dgm:prSet>
      <dgm:spPr/>
    </dgm:pt>
    <dgm:pt modelId="{25BEC3E0-0673-C940-832F-C6E09FAA077D}" type="pres">
      <dgm:prSet presAssocID="{9CD88A6C-85E3-084E-B7EE-74037B7EAB7D}" presName="rootComposite1" presStyleCnt="0"/>
      <dgm:spPr/>
    </dgm:pt>
    <dgm:pt modelId="{F6A8550C-CD63-C24A-9641-D68182381DE5}" type="pres">
      <dgm:prSet presAssocID="{9CD88A6C-85E3-084E-B7EE-74037B7EAB7D}" presName="rootText1" presStyleLbl="node0" presStyleIdx="1" presStyleCnt="3" custLinFactX="-100000" custLinFactY="166935" custLinFactNeighborX="-177467" custLinFactNeighborY="200000">
        <dgm:presLayoutVars>
          <dgm:chPref val="3"/>
        </dgm:presLayoutVars>
      </dgm:prSet>
      <dgm:spPr/>
      <dgm:t>
        <a:bodyPr/>
        <a:lstStyle/>
        <a:p>
          <a:endParaRPr lang="en-US"/>
        </a:p>
      </dgm:t>
    </dgm:pt>
    <dgm:pt modelId="{710A63FB-0328-DB46-922B-99F69F7EC103}" type="pres">
      <dgm:prSet presAssocID="{9CD88A6C-85E3-084E-B7EE-74037B7EAB7D}" presName="rootConnector1" presStyleLbl="asst0" presStyleIdx="0" presStyleCnt="0"/>
      <dgm:spPr/>
      <dgm:t>
        <a:bodyPr/>
        <a:lstStyle/>
        <a:p>
          <a:endParaRPr lang="en-US"/>
        </a:p>
      </dgm:t>
    </dgm:pt>
    <dgm:pt modelId="{D3AEB739-926B-EF47-9995-3A288B4C332F}" type="pres">
      <dgm:prSet presAssocID="{9CD88A6C-85E3-084E-B7EE-74037B7EAB7D}" presName="hierChild2" presStyleCnt="0"/>
      <dgm:spPr/>
    </dgm:pt>
    <dgm:pt modelId="{BB44D7E1-6BDF-4F46-BB99-7830CD1DC55C}" type="pres">
      <dgm:prSet presAssocID="{9CD88A6C-85E3-084E-B7EE-74037B7EAB7D}" presName="hierChild3" presStyleCnt="0"/>
      <dgm:spPr/>
    </dgm:pt>
    <dgm:pt modelId="{D5AB7D16-F99F-3E41-95BB-8C4353F688DD}" type="pres">
      <dgm:prSet presAssocID="{7D556251-3CFB-1542-986E-93360C311A74}" presName="hierRoot1" presStyleCnt="0">
        <dgm:presLayoutVars>
          <dgm:hierBranch val="init"/>
        </dgm:presLayoutVars>
      </dgm:prSet>
      <dgm:spPr/>
    </dgm:pt>
    <dgm:pt modelId="{2301BCC4-8C33-164E-B0A5-3015E5571BAE}" type="pres">
      <dgm:prSet presAssocID="{7D556251-3CFB-1542-986E-93360C311A74}" presName="rootComposite1" presStyleCnt="0"/>
      <dgm:spPr/>
    </dgm:pt>
    <dgm:pt modelId="{7431D286-0975-FA4D-8F78-999690479F29}" type="pres">
      <dgm:prSet presAssocID="{7D556251-3CFB-1542-986E-93360C311A74}" presName="rootText1" presStyleLbl="node0" presStyleIdx="2" presStyleCnt="3" custLinFactX="-100000" custLinFactY="166935" custLinFactNeighborX="-147545" custLinFactNeighborY="200000">
        <dgm:presLayoutVars>
          <dgm:chPref val="3"/>
        </dgm:presLayoutVars>
      </dgm:prSet>
      <dgm:spPr/>
      <dgm:t>
        <a:bodyPr/>
        <a:lstStyle/>
        <a:p>
          <a:endParaRPr lang="en-US"/>
        </a:p>
      </dgm:t>
    </dgm:pt>
    <dgm:pt modelId="{853EDE6F-5C0C-B84B-8F7C-21D0FDB34A3C}" type="pres">
      <dgm:prSet presAssocID="{7D556251-3CFB-1542-986E-93360C311A74}" presName="rootConnector1" presStyleLbl="asst0" presStyleIdx="0" presStyleCnt="0"/>
      <dgm:spPr/>
      <dgm:t>
        <a:bodyPr/>
        <a:lstStyle/>
        <a:p>
          <a:endParaRPr lang="en-US"/>
        </a:p>
      </dgm:t>
    </dgm:pt>
    <dgm:pt modelId="{7A514017-9089-694F-9B0C-F545FC5D14B0}" type="pres">
      <dgm:prSet presAssocID="{7D556251-3CFB-1542-986E-93360C311A74}" presName="hierChild2" presStyleCnt="0"/>
      <dgm:spPr/>
    </dgm:pt>
    <dgm:pt modelId="{80A6E755-F84E-6D48-9CF0-C00DF8D87F7C}" type="pres">
      <dgm:prSet presAssocID="{7D556251-3CFB-1542-986E-93360C311A74}" presName="hierChild3" presStyleCnt="0"/>
      <dgm:spPr/>
    </dgm:pt>
  </dgm:ptLst>
  <dgm:cxnLst>
    <dgm:cxn modelId="{34B63650-148F-4D10-A79A-C7366BFA5EB8}" type="presOf" srcId="{665A2DDF-6015-C846-93D9-DA99734893BB}" destId="{777A66B6-29DB-3A42-AB19-E55662CE8F9F}" srcOrd="1" destOrd="0" presId="urn:microsoft.com/office/officeart/2005/8/layout/orgChart1"/>
    <dgm:cxn modelId="{3852BE35-4D67-564F-AC69-1A163C4C201A}" srcId="{665A2DDF-6015-C846-93D9-DA99734893BB}" destId="{24D25B1A-0B37-3947-A2D6-90225C11AA59}" srcOrd="1" destOrd="0" parTransId="{3F92C687-A2AC-EC4B-B735-7307ECC6B9B0}" sibTransId="{25D89A7D-D30A-C440-9311-EE1305D701DD}"/>
    <dgm:cxn modelId="{DF88F343-603A-468C-8B40-F357623173CE}" type="presOf" srcId="{D75B754C-AACF-2E41-B8FD-364CD9ABB08E}" destId="{8702FB96-1610-B14C-8C1A-D4013B9AD0C9}" srcOrd="0" destOrd="0" presId="urn:microsoft.com/office/officeart/2005/8/layout/orgChart1"/>
    <dgm:cxn modelId="{0F2AC464-8E34-406A-8668-3AFC8E95B20C}" type="presOf" srcId="{7D556251-3CFB-1542-986E-93360C311A74}" destId="{853EDE6F-5C0C-B84B-8F7C-21D0FDB34A3C}" srcOrd="1" destOrd="0" presId="urn:microsoft.com/office/officeart/2005/8/layout/orgChart1"/>
    <dgm:cxn modelId="{B9C5DB0C-FA54-5F4B-A3F0-7548F7FDEAC8}" srcId="{D75B754C-AACF-2E41-B8FD-364CD9ABB08E}" destId="{7D556251-3CFB-1542-986E-93360C311A74}" srcOrd="2" destOrd="0" parTransId="{FAFD693C-D9F9-DB4B-BFBB-CFDC5D49A7BC}" sibTransId="{9B57F522-16B8-474D-BD2C-63F7359C75BC}"/>
    <dgm:cxn modelId="{C1B8EF95-FFB9-448C-968E-D203B6ED8693}" type="presOf" srcId="{9CD88A6C-85E3-084E-B7EE-74037B7EAB7D}" destId="{710A63FB-0328-DB46-922B-99F69F7EC103}" srcOrd="1" destOrd="0" presId="urn:microsoft.com/office/officeart/2005/8/layout/orgChart1"/>
    <dgm:cxn modelId="{23CF9AC0-FC1D-6D47-B573-D3B11B09CDCA}" srcId="{D75B754C-AACF-2E41-B8FD-364CD9ABB08E}" destId="{665A2DDF-6015-C846-93D9-DA99734893BB}" srcOrd="0" destOrd="0" parTransId="{899FA7B8-323E-EE4B-AD12-CEC83F817666}" sibTransId="{B16B5600-B2B1-9B40-9BAB-3193DAA6EA4F}"/>
    <dgm:cxn modelId="{849D454C-4DC1-4A48-BAF1-B97AA27BB426}" type="presOf" srcId="{4A1159C2-9077-DB49-A66B-F8CBD9CCE9A0}" destId="{582F3051-503A-C445-BE35-E51E21CA2462}" srcOrd="0" destOrd="0" presId="urn:microsoft.com/office/officeart/2005/8/layout/orgChart1"/>
    <dgm:cxn modelId="{3F57CBEB-8C0D-4A07-8058-8F512A56AA26}" type="presOf" srcId="{9CD88A6C-85E3-084E-B7EE-74037B7EAB7D}" destId="{F6A8550C-CD63-C24A-9641-D68182381DE5}" srcOrd="0" destOrd="0" presId="urn:microsoft.com/office/officeart/2005/8/layout/orgChart1"/>
    <dgm:cxn modelId="{2972A8EE-C6AF-424C-9D6F-B933F001774C}" type="presOf" srcId="{3F92C687-A2AC-EC4B-B735-7307ECC6B9B0}" destId="{815263E5-ED53-2449-8282-9D2906F4C10E}" srcOrd="0" destOrd="0" presId="urn:microsoft.com/office/officeart/2005/8/layout/orgChart1"/>
    <dgm:cxn modelId="{0E722156-4326-4A23-9A6A-142C70EEBFF7}" type="presOf" srcId="{665A2DDF-6015-C846-93D9-DA99734893BB}" destId="{C1A1F893-493C-7847-BC23-0CC0D0762F51}" srcOrd="0" destOrd="0" presId="urn:microsoft.com/office/officeart/2005/8/layout/orgChart1"/>
    <dgm:cxn modelId="{C4031452-26B5-4816-86F1-A68B862C45F0}" type="presOf" srcId="{220EE396-1A9F-5643-8E06-D4417C2EA295}" destId="{6517EDA9-3710-9944-9929-86F55FBE2F01}" srcOrd="1" destOrd="0" presId="urn:microsoft.com/office/officeart/2005/8/layout/orgChart1"/>
    <dgm:cxn modelId="{88082885-D28C-4A42-A017-9929D63CF8A5}" srcId="{D75B754C-AACF-2E41-B8FD-364CD9ABB08E}" destId="{9CD88A6C-85E3-084E-B7EE-74037B7EAB7D}" srcOrd="1" destOrd="0" parTransId="{8422E801-76AD-EC47-8408-F5A42C07AF42}" sibTransId="{BC015100-A115-D84B-B68B-FEB18B0FA794}"/>
    <dgm:cxn modelId="{82AFE55B-A342-EE4E-87E0-C953EC8609B4}" srcId="{665A2DDF-6015-C846-93D9-DA99734893BB}" destId="{4A1159C2-9077-DB49-A66B-F8CBD9CCE9A0}" srcOrd="2" destOrd="0" parTransId="{6A3024FF-0786-D945-B941-D53B36600819}" sibTransId="{83EB4A5F-F906-EF4B-B95E-73880C4D984F}"/>
    <dgm:cxn modelId="{D7D637BE-FC1B-0D4E-A460-CEB323D32C0E}" srcId="{665A2DDF-6015-C846-93D9-DA99734893BB}" destId="{220EE396-1A9F-5643-8E06-D4417C2EA295}" srcOrd="0" destOrd="0" parTransId="{DD997AE6-D895-B145-BE4B-D7C91AFEF28D}" sibTransId="{A20F7752-6358-3A48-9C0B-8A50C078FDF1}"/>
    <dgm:cxn modelId="{EF5DED47-5160-4D15-8D32-BA204887BDA9}" type="presOf" srcId="{DD997AE6-D895-B145-BE4B-D7C91AFEF28D}" destId="{6A66C5EB-48AC-9246-B293-E830E229ABC6}" srcOrd="0" destOrd="0" presId="urn:microsoft.com/office/officeart/2005/8/layout/orgChart1"/>
    <dgm:cxn modelId="{942259F7-3ABF-4A4D-AC5C-013F6CD7FBB8}" type="presOf" srcId="{24D25B1A-0B37-3947-A2D6-90225C11AA59}" destId="{F1D9C4BF-00A9-F74B-84AF-9036A4CDAD3C}" srcOrd="0" destOrd="0" presId="urn:microsoft.com/office/officeart/2005/8/layout/orgChart1"/>
    <dgm:cxn modelId="{7B04ECE3-707F-4E0F-90CA-E53288B252CF}" type="presOf" srcId="{6A3024FF-0786-D945-B941-D53B36600819}" destId="{56CE9319-D8C3-0648-B3FC-12E9668FD0EC}" srcOrd="0" destOrd="0" presId="urn:microsoft.com/office/officeart/2005/8/layout/orgChart1"/>
    <dgm:cxn modelId="{98E52E09-A4A6-41C5-8A11-C478E96C9FDD}" type="presOf" srcId="{220EE396-1A9F-5643-8E06-D4417C2EA295}" destId="{753C7569-D203-2F47-8382-9AC64C1FDB40}" srcOrd="0" destOrd="0" presId="urn:microsoft.com/office/officeart/2005/8/layout/orgChart1"/>
    <dgm:cxn modelId="{6F431410-E3F0-4C28-A367-DB119A21575E}" type="presOf" srcId="{24D25B1A-0B37-3947-A2D6-90225C11AA59}" destId="{96881BB4-70C3-B245-886D-D89E7DF6AB98}" srcOrd="1" destOrd="0" presId="urn:microsoft.com/office/officeart/2005/8/layout/orgChart1"/>
    <dgm:cxn modelId="{51110A41-F15B-49DF-AD9E-8DC09ABBD503}" type="presOf" srcId="{7D556251-3CFB-1542-986E-93360C311A74}" destId="{7431D286-0975-FA4D-8F78-999690479F29}" srcOrd="0" destOrd="0" presId="urn:microsoft.com/office/officeart/2005/8/layout/orgChart1"/>
    <dgm:cxn modelId="{3F38FD41-E6B2-47B4-8A4D-95DAF193C205}" type="presOf" srcId="{4A1159C2-9077-DB49-A66B-F8CBD9CCE9A0}" destId="{E60A9A9C-D26C-E742-86DB-B9E38685B501}" srcOrd="1" destOrd="0" presId="urn:microsoft.com/office/officeart/2005/8/layout/orgChart1"/>
    <dgm:cxn modelId="{41F1C902-6372-413F-9D67-45039D18CF57}" type="presParOf" srcId="{8702FB96-1610-B14C-8C1A-D4013B9AD0C9}" destId="{68F6C181-0A6E-C34B-B902-66461BC72190}" srcOrd="0" destOrd="0" presId="urn:microsoft.com/office/officeart/2005/8/layout/orgChart1"/>
    <dgm:cxn modelId="{FCFAE634-8F4C-49E8-9D5C-16F1683F501A}" type="presParOf" srcId="{68F6C181-0A6E-C34B-B902-66461BC72190}" destId="{6D4D2762-4168-B14B-9D86-776B97FAE393}" srcOrd="0" destOrd="0" presId="urn:microsoft.com/office/officeart/2005/8/layout/orgChart1"/>
    <dgm:cxn modelId="{FEA6C9E3-1508-4FCC-BCD2-B945293DEDE0}" type="presParOf" srcId="{6D4D2762-4168-B14B-9D86-776B97FAE393}" destId="{C1A1F893-493C-7847-BC23-0CC0D0762F51}" srcOrd="0" destOrd="0" presId="urn:microsoft.com/office/officeart/2005/8/layout/orgChart1"/>
    <dgm:cxn modelId="{179B3E9B-2264-4894-BCC4-FEF8FFB8F73A}" type="presParOf" srcId="{6D4D2762-4168-B14B-9D86-776B97FAE393}" destId="{777A66B6-29DB-3A42-AB19-E55662CE8F9F}" srcOrd="1" destOrd="0" presId="urn:microsoft.com/office/officeart/2005/8/layout/orgChart1"/>
    <dgm:cxn modelId="{0EAF80C4-D84F-4CD8-AE10-7918CDF0BCDB}" type="presParOf" srcId="{68F6C181-0A6E-C34B-B902-66461BC72190}" destId="{81047DA8-A59B-E945-947B-7F04F89469F6}" srcOrd="1" destOrd="0" presId="urn:microsoft.com/office/officeart/2005/8/layout/orgChart1"/>
    <dgm:cxn modelId="{3234EA5D-D9A5-49A7-8609-64C2E24265C0}" type="presParOf" srcId="{81047DA8-A59B-E945-947B-7F04F89469F6}" destId="{6A66C5EB-48AC-9246-B293-E830E229ABC6}" srcOrd="0" destOrd="0" presId="urn:microsoft.com/office/officeart/2005/8/layout/orgChart1"/>
    <dgm:cxn modelId="{0F31FAE0-7DDA-4888-AD7A-442B165691B7}" type="presParOf" srcId="{81047DA8-A59B-E945-947B-7F04F89469F6}" destId="{DAA05204-D1CC-1947-9B13-EF927EDFFA74}" srcOrd="1" destOrd="0" presId="urn:microsoft.com/office/officeart/2005/8/layout/orgChart1"/>
    <dgm:cxn modelId="{CCBA0948-9894-498F-BE37-C60A66789B7C}" type="presParOf" srcId="{DAA05204-D1CC-1947-9B13-EF927EDFFA74}" destId="{437F94A3-B821-134C-97F8-EB479D3E1B23}" srcOrd="0" destOrd="0" presId="urn:microsoft.com/office/officeart/2005/8/layout/orgChart1"/>
    <dgm:cxn modelId="{50B1EFAA-06CA-437A-B1D3-E3249D4905BB}" type="presParOf" srcId="{437F94A3-B821-134C-97F8-EB479D3E1B23}" destId="{753C7569-D203-2F47-8382-9AC64C1FDB40}" srcOrd="0" destOrd="0" presId="urn:microsoft.com/office/officeart/2005/8/layout/orgChart1"/>
    <dgm:cxn modelId="{1C51482C-6EC0-49F3-9E80-87D0F2003BB2}" type="presParOf" srcId="{437F94A3-B821-134C-97F8-EB479D3E1B23}" destId="{6517EDA9-3710-9944-9929-86F55FBE2F01}" srcOrd="1" destOrd="0" presId="urn:microsoft.com/office/officeart/2005/8/layout/orgChart1"/>
    <dgm:cxn modelId="{1E14E37D-A2EC-4763-A7B2-C4525414EBF2}" type="presParOf" srcId="{DAA05204-D1CC-1947-9B13-EF927EDFFA74}" destId="{265850AE-86DA-6949-84A0-23E915A35B01}" srcOrd="1" destOrd="0" presId="urn:microsoft.com/office/officeart/2005/8/layout/orgChart1"/>
    <dgm:cxn modelId="{DAAC5680-C433-4D89-87A5-FF5A3AC88FCA}" type="presParOf" srcId="{DAA05204-D1CC-1947-9B13-EF927EDFFA74}" destId="{A4B4CA3C-D658-F541-AF98-E6DEA3B803C7}" srcOrd="2" destOrd="0" presId="urn:microsoft.com/office/officeart/2005/8/layout/orgChart1"/>
    <dgm:cxn modelId="{7CBBB6CF-7064-42AA-AD7D-B62D02239C0C}" type="presParOf" srcId="{81047DA8-A59B-E945-947B-7F04F89469F6}" destId="{815263E5-ED53-2449-8282-9D2906F4C10E}" srcOrd="2" destOrd="0" presId="urn:microsoft.com/office/officeart/2005/8/layout/orgChart1"/>
    <dgm:cxn modelId="{FAB30632-3497-4EAE-857F-6948EC14BB0D}" type="presParOf" srcId="{81047DA8-A59B-E945-947B-7F04F89469F6}" destId="{37B774E6-A22C-4049-A51A-8F5741E81AC7}" srcOrd="3" destOrd="0" presId="urn:microsoft.com/office/officeart/2005/8/layout/orgChart1"/>
    <dgm:cxn modelId="{945D0EE8-08DD-45EB-A6F5-C2CBE07FE3D4}" type="presParOf" srcId="{37B774E6-A22C-4049-A51A-8F5741E81AC7}" destId="{FE2D7BDD-C11E-4245-870C-881B41F22271}" srcOrd="0" destOrd="0" presId="urn:microsoft.com/office/officeart/2005/8/layout/orgChart1"/>
    <dgm:cxn modelId="{BD88B5AA-6C2F-4E96-9718-C1DD01520C7C}" type="presParOf" srcId="{FE2D7BDD-C11E-4245-870C-881B41F22271}" destId="{F1D9C4BF-00A9-F74B-84AF-9036A4CDAD3C}" srcOrd="0" destOrd="0" presId="urn:microsoft.com/office/officeart/2005/8/layout/orgChart1"/>
    <dgm:cxn modelId="{38EFFF9D-DA8A-4D68-94F3-8874C2568434}" type="presParOf" srcId="{FE2D7BDD-C11E-4245-870C-881B41F22271}" destId="{96881BB4-70C3-B245-886D-D89E7DF6AB98}" srcOrd="1" destOrd="0" presId="urn:microsoft.com/office/officeart/2005/8/layout/orgChart1"/>
    <dgm:cxn modelId="{A6CC74F6-C0B8-4905-B90F-1133FD82F269}" type="presParOf" srcId="{37B774E6-A22C-4049-A51A-8F5741E81AC7}" destId="{60BB9BEB-B3AD-944D-8478-FE4FF98F4668}" srcOrd="1" destOrd="0" presId="urn:microsoft.com/office/officeart/2005/8/layout/orgChart1"/>
    <dgm:cxn modelId="{A8DEDDEC-7673-42C8-9DD8-BAEDD44375F3}" type="presParOf" srcId="{37B774E6-A22C-4049-A51A-8F5741E81AC7}" destId="{4487AF4F-9FE6-4D48-8B8D-44B10EE04E1C}" srcOrd="2" destOrd="0" presId="urn:microsoft.com/office/officeart/2005/8/layout/orgChart1"/>
    <dgm:cxn modelId="{E8B7D877-5504-4E48-8425-7FA81EEE3B82}" type="presParOf" srcId="{81047DA8-A59B-E945-947B-7F04F89469F6}" destId="{56CE9319-D8C3-0648-B3FC-12E9668FD0EC}" srcOrd="4" destOrd="0" presId="urn:microsoft.com/office/officeart/2005/8/layout/orgChart1"/>
    <dgm:cxn modelId="{6A221401-4F27-4F03-959A-8E890CD5C5D1}" type="presParOf" srcId="{81047DA8-A59B-E945-947B-7F04F89469F6}" destId="{3AF58A53-8AE4-F040-90F8-39C403AF05B9}" srcOrd="5" destOrd="0" presId="urn:microsoft.com/office/officeart/2005/8/layout/orgChart1"/>
    <dgm:cxn modelId="{95884B29-6280-41CF-9295-207308F48646}" type="presParOf" srcId="{3AF58A53-8AE4-F040-90F8-39C403AF05B9}" destId="{4B67271E-C647-D74C-A890-56F7ADF5D967}" srcOrd="0" destOrd="0" presId="urn:microsoft.com/office/officeart/2005/8/layout/orgChart1"/>
    <dgm:cxn modelId="{DE169E5A-0EB7-4434-B7EE-E2B05748D2FF}" type="presParOf" srcId="{4B67271E-C647-D74C-A890-56F7ADF5D967}" destId="{582F3051-503A-C445-BE35-E51E21CA2462}" srcOrd="0" destOrd="0" presId="urn:microsoft.com/office/officeart/2005/8/layout/orgChart1"/>
    <dgm:cxn modelId="{8C7D1BDE-720E-46E1-8112-5CB0149B9266}" type="presParOf" srcId="{4B67271E-C647-D74C-A890-56F7ADF5D967}" destId="{E60A9A9C-D26C-E742-86DB-B9E38685B501}" srcOrd="1" destOrd="0" presId="urn:microsoft.com/office/officeart/2005/8/layout/orgChart1"/>
    <dgm:cxn modelId="{8A4F6D6A-AC01-4894-A11B-6427102C5586}" type="presParOf" srcId="{3AF58A53-8AE4-F040-90F8-39C403AF05B9}" destId="{3C8C780D-0506-C74F-802B-1D03DB7B3578}" srcOrd="1" destOrd="0" presId="urn:microsoft.com/office/officeart/2005/8/layout/orgChart1"/>
    <dgm:cxn modelId="{0B2F8AB0-5D0B-417C-90FD-D81495231432}" type="presParOf" srcId="{3AF58A53-8AE4-F040-90F8-39C403AF05B9}" destId="{4DDDAA45-6083-C749-ACEF-0CDB5AD092FF}" srcOrd="2" destOrd="0" presId="urn:microsoft.com/office/officeart/2005/8/layout/orgChart1"/>
    <dgm:cxn modelId="{FBA26858-684F-46FF-8BF1-616C7B384E4E}" type="presParOf" srcId="{68F6C181-0A6E-C34B-B902-66461BC72190}" destId="{55D16DF7-495A-D547-935E-F9D011EAB1D4}" srcOrd="2" destOrd="0" presId="urn:microsoft.com/office/officeart/2005/8/layout/orgChart1"/>
    <dgm:cxn modelId="{CABE1ED9-2E7B-4D38-B97B-C99DFD501110}" type="presParOf" srcId="{8702FB96-1610-B14C-8C1A-D4013B9AD0C9}" destId="{5ABC51D8-66F2-C940-A52E-8E773D1B9C9F}" srcOrd="1" destOrd="0" presId="urn:microsoft.com/office/officeart/2005/8/layout/orgChart1"/>
    <dgm:cxn modelId="{4E4F0DED-67BB-473B-BAD2-E725CA7F312B}" type="presParOf" srcId="{5ABC51D8-66F2-C940-A52E-8E773D1B9C9F}" destId="{25BEC3E0-0673-C940-832F-C6E09FAA077D}" srcOrd="0" destOrd="0" presId="urn:microsoft.com/office/officeart/2005/8/layout/orgChart1"/>
    <dgm:cxn modelId="{628FC711-9ED2-4D74-A88E-E3430510D512}" type="presParOf" srcId="{25BEC3E0-0673-C940-832F-C6E09FAA077D}" destId="{F6A8550C-CD63-C24A-9641-D68182381DE5}" srcOrd="0" destOrd="0" presId="urn:microsoft.com/office/officeart/2005/8/layout/orgChart1"/>
    <dgm:cxn modelId="{FB9745B1-4BE0-4673-8048-A90FA3083931}" type="presParOf" srcId="{25BEC3E0-0673-C940-832F-C6E09FAA077D}" destId="{710A63FB-0328-DB46-922B-99F69F7EC103}" srcOrd="1" destOrd="0" presId="urn:microsoft.com/office/officeart/2005/8/layout/orgChart1"/>
    <dgm:cxn modelId="{937F5DEE-F37C-4A42-9E96-4462D2C53F6A}" type="presParOf" srcId="{5ABC51D8-66F2-C940-A52E-8E773D1B9C9F}" destId="{D3AEB739-926B-EF47-9995-3A288B4C332F}" srcOrd="1" destOrd="0" presId="urn:microsoft.com/office/officeart/2005/8/layout/orgChart1"/>
    <dgm:cxn modelId="{54834562-140B-40FC-A345-E261EFED047D}" type="presParOf" srcId="{5ABC51D8-66F2-C940-A52E-8E773D1B9C9F}" destId="{BB44D7E1-6BDF-4F46-BB99-7830CD1DC55C}" srcOrd="2" destOrd="0" presId="urn:microsoft.com/office/officeart/2005/8/layout/orgChart1"/>
    <dgm:cxn modelId="{FEDC0722-505D-4D79-8342-EC8DA3161D82}" type="presParOf" srcId="{8702FB96-1610-B14C-8C1A-D4013B9AD0C9}" destId="{D5AB7D16-F99F-3E41-95BB-8C4353F688DD}" srcOrd="2" destOrd="0" presId="urn:microsoft.com/office/officeart/2005/8/layout/orgChart1"/>
    <dgm:cxn modelId="{0F67BE2B-27CA-4597-847D-BD1989C7F370}" type="presParOf" srcId="{D5AB7D16-F99F-3E41-95BB-8C4353F688DD}" destId="{2301BCC4-8C33-164E-B0A5-3015E5571BAE}" srcOrd="0" destOrd="0" presId="urn:microsoft.com/office/officeart/2005/8/layout/orgChart1"/>
    <dgm:cxn modelId="{55120B2A-D848-478F-8588-A335D6F9496E}" type="presParOf" srcId="{2301BCC4-8C33-164E-B0A5-3015E5571BAE}" destId="{7431D286-0975-FA4D-8F78-999690479F29}" srcOrd="0" destOrd="0" presId="urn:microsoft.com/office/officeart/2005/8/layout/orgChart1"/>
    <dgm:cxn modelId="{BB1E5D3E-F47B-4CC2-A5B4-954A66A6FC0C}" type="presParOf" srcId="{2301BCC4-8C33-164E-B0A5-3015E5571BAE}" destId="{853EDE6F-5C0C-B84B-8F7C-21D0FDB34A3C}" srcOrd="1" destOrd="0" presId="urn:microsoft.com/office/officeart/2005/8/layout/orgChart1"/>
    <dgm:cxn modelId="{713ED983-60FD-4E35-BE4E-04D270A9A831}" type="presParOf" srcId="{D5AB7D16-F99F-3E41-95BB-8C4353F688DD}" destId="{7A514017-9089-694F-9B0C-F545FC5D14B0}" srcOrd="1" destOrd="0" presId="urn:microsoft.com/office/officeart/2005/8/layout/orgChart1"/>
    <dgm:cxn modelId="{67BB531A-5490-4665-8D7C-94B1D3A3CED7}" type="presParOf" srcId="{D5AB7D16-F99F-3E41-95BB-8C4353F688DD}" destId="{80A6E755-F84E-6D48-9CF0-C00DF8D87F7C}"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CE9319-D8C3-0648-B3FC-12E9668FD0EC}">
      <dsp:nvSpPr>
        <dsp:cNvPr id="0" name=""/>
        <dsp:cNvSpPr/>
      </dsp:nvSpPr>
      <dsp:spPr>
        <a:xfrm>
          <a:off x="1718888" y="1877302"/>
          <a:ext cx="1496321" cy="733871"/>
        </a:xfrm>
        <a:custGeom>
          <a:avLst/>
          <a:gdLst/>
          <a:ahLst/>
          <a:cxnLst/>
          <a:rect l="0" t="0" r="0" b="0"/>
          <a:pathLst>
            <a:path>
              <a:moveTo>
                <a:pt x="0" y="0"/>
              </a:moveTo>
              <a:lnTo>
                <a:pt x="0" y="618368"/>
              </a:lnTo>
              <a:lnTo>
                <a:pt x="1496321" y="618368"/>
              </a:lnTo>
              <a:lnTo>
                <a:pt x="1496321" y="73387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15263E5-ED53-2449-8282-9D2906F4C10E}">
      <dsp:nvSpPr>
        <dsp:cNvPr id="0" name=""/>
        <dsp:cNvSpPr/>
      </dsp:nvSpPr>
      <dsp:spPr>
        <a:xfrm>
          <a:off x="1718888" y="1877302"/>
          <a:ext cx="165289" cy="733871"/>
        </a:xfrm>
        <a:custGeom>
          <a:avLst/>
          <a:gdLst/>
          <a:ahLst/>
          <a:cxnLst/>
          <a:rect l="0" t="0" r="0" b="0"/>
          <a:pathLst>
            <a:path>
              <a:moveTo>
                <a:pt x="0" y="0"/>
              </a:moveTo>
              <a:lnTo>
                <a:pt x="0" y="618368"/>
              </a:lnTo>
              <a:lnTo>
                <a:pt x="165289" y="618368"/>
              </a:lnTo>
              <a:lnTo>
                <a:pt x="165289" y="73387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A66C5EB-48AC-9246-B293-E830E229ABC6}">
      <dsp:nvSpPr>
        <dsp:cNvPr id="0" name=""/>
        <dsp:cNvSpPr/>
      </dsp:nvSpPr>
      <dsp:spPr>
        <a:xfrm>
          <a:off x="594024" y="1877302"/>
          <a:ext cx="1124864" cy="776568"/>
        </a:xfrm>
        <a:custGeom>
          <a:avLst/>
          <a:gdLst/>
          <a:ahLst/>
          <a:cxnLst/>
          <a:rect l="0" t="0" r="0" b="0"/>
          <a:pathLst>
            <a:path>
              <a:moveTo>
                <a:pt x="1124864" y="0"/>
              </a:moveTo>
              <a:lnTo>
                <a:pt x="1124864" y="661066"/>
              </a:lnTo>
              <a:lnTo>
                <a:pt x="0" y="661066"/>
              </a:lnTo>
              <a:lnTo>
                <a:pt x="0" y="77656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1A1F893-493C-7847-BC23-0CC0D0762F51}">
      <dsp:nvSpPr>
        <dsp:cNvPr id="0" name=""/>
        <dsp:cNvSpPr/>
      </dsp:nvSpPr>
      <dsp:spPr>
        <a:xfrm>
          <a:off x="781864" y="1365147"/>
          <a:ext cx="1874048" cy="51215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PCR1</a:t>
          </a:r>
        </a:p>
        <a:p>
          <a:pPr lvl="0" algn="ctr" defTabSz="488950">
            <a:lnSpc>
              <a:spcPct val="90000"/>
            </a:lnSpc>
            <a:spcBef>
              <a:spcPct val="0"/>
            </a:spcBef>
            <a:spcAft>
              <a:spcPct val="35000"/>
            </a:spcAft>
          </a:pPr>
          <a:r>
            <a:rPr lang="en-US" sz="1100" kern="1200"/>
            <a:t>To all 4-6 weeks HIV exposed or symptomtic  infants &lt;18 months </a:t>
          </a:r>
        </a:p>
      </dsp:txBody>
      <dsp:txXfrm>
        <a:off x="781864" y="1365147"/>
        <a:ext cx="1874048" cy="512155"/>
      </dsp:txXfrm>
    </dsp:sp>
    <dsp:sp modelId="{753C7569-D203-2F47-8382-9AC64C1FDB40}">
      <dsp:nvSpPr>
        <dsp:cNvPr id="0" name=""/>
        <dsp:cNvSpPr/>
      </dsp:nvSpPr>
      <dsp:spPr>
        <a:xfrm>
          <a:off x="44011" y="2653871"/>
          <a:ext cx="1100025" cy="5500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PCR 1 = +ve</a:t>
          </a:r>
        </a:p>
        <a:p>
          <a:pPr lvl="0" algn="ctr" defTabSz="488950">
            <a:lnSpc>
              <a:spcPct val="90000"/>
            </a:lnSpc>
            <a:spcBef>
              <a:spcPct val="0"/>
            </a:spcBef>
            <a:spcAft>
              <a:spcPct val="35000"/>
            </a:spcAft>
          </a:pPr>
          <a:r>
            <a:rPr lang="en-US" sz="1100" kern="1200"/>
            <a:t>Reapeat the PCR Test</a:t>
          </a:r>
        </a:p>
      </dsp:txBody>
      <dsp:txXfrm>
        <a:off x="44011" y="2653871"/>
        <a:ext cx="1100025" cy="550012"/>
      </dsp:txXfrm>
    </dsp:sp>
    <dsp:sp modelId="{F1D9C4BF-00A9-F74B-84AF-9036A4CDAD3C}">
      <dsp:nvSpPr>
        <dsp:cNvPr id="0" name=""/>
        <dsp:cNvSpPr/>
      </dsp:nvSpPr>
      <dsp:spPr>
        <a:xfrm>
          <a:off x="1334165" y="2611174"/>
          <a:ext cx="1100025" cy="5500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PCR 1 = - ve</a:t>
          </a:r>
        </a:p>
        <a:p>
          <a:pPr lvl="0" algn="ctr" defTabSz="488950">
            <a:lnSpc>
              <a:spcPct val="90000"/>
            </a:lnSpc>
            <a:spcBef>
              <a:spcPct val="0"/>
            </a:spcBef>
            <a:spcAft>
              <a:spcPct val="35000"/>
            </a:spcAft>
          </a:pPr>
          <a:r>
            <a:rPr lang="en-US" sz="1100" kern="1200"/>
            <a:t>Give out results as Negative</a:t>
          </a:r>
        </a:p>
      </dsp:txBody>
      <dsp:txXfrm>
        <a:off x="1334165" y="2611174"/>
        <a:ext cx="1100025" cy="550012"/>
      </dsp:txXfrm>
    </dsp:sp>
    <dsp:sp modelId="{582F3051-503A-C445-BE35-E51E21CA2462}">
      <dsp:nvSpPr>
        <dsp:cNvPr id="0" name=""/>
        <dsp:cNvSpPr/>
      </dsp:nvSpPr>
      <dsp:spPr>
        <a:xfrm>
          <a:off x="2665197" y="2611174"/>
          <a:ext cx="1100025" cy="5500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Unsastifactory Sample, reject and inform site immediately</a:t>
          </a:r>
        </a:p>
      </dsp:txBody>
      <dsp:txXfrm>
        <a:off x="2665197" y="2611174"/>
        <a:ext cx="1100025" cy="550012"/>
      </dsp:txXfrm>
    </dsp:sp>
    <dsp:sp modelId="{F6A8550C-CD63-C24A-9641-D68182381DE5}">
      <dsp:nvSpPr>
        <dsp:cNvPr id="0" name=""/>
        <dsp:cNvSpPr/>
      </dsp:nvSpPr>
      <dsp:spPr>
        <a:xfrm>
          <a:off x="0" y="3886203"/>
          <a:ext cx="1100025" cy="5500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PCR 2 = +ve</a:t>
          </a:r>
        </a:p>
        <a:p>
          <a:pPr lvl="0" algn="ctr" defTabSz="488950">
            <a:lnSpc>
              <a:spcPct val="90000"/>
            </a:lnSpc>
            <a:spcBef>
              <a:spcPct val="0"/>
            </a:spcBef>
            <a:spcAft>
              <a:spcPct val="35000"/>
            </a:spcAft>
          </a:pPr>
          <a:r>
            <a:rPr lang="en-US" sz="1100" kern="1200"/>
            <a:t>Give out results as Positive </a:t>
          </a:r>
        </a:p>
      </dsp:txBody>
      <dsp:txXfrm>
        <a:off x="0" y="3886203"/>
        <a:ext cx="1100025" cy="550012"/>
      </dsp:txXfrm>
    </dsp:sp>
    <dsp:sp modelId="{7431D286-0975-FA4D-8F78-999690479F29}">
      <dsp:nvSpPr>
        <dsp:cNvPr id="0" name=""/>
        <dsp:cNvSpPr/>
      </dsp:nvSpPr>
      <dsp:spPr>
        <a:xfrm>
          <a:off x="1660180" y="3886203"/>
          <a:ext cx="1100025" cy="5500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PCR 2 = - ve</a:t>
          </a:r>
        </a:p>
        <a:p>
          <a:pPr lvl="0" algn="ctr" defTabSz="488950">
            <a:lnSpc>
              <a:spcPct val="90000"/>
            </a:lnSpc>
            <a:spcBef>
              <a:spcPct val="0"/>
            </a:spcBef>
            <a:spcAft>
              <a:spcPct val="35000"/>
            </a:spcAft>
          </a:pPr>
          <a:r>
            <a:rPr lang="en-US" sz="1100" kern="1200"/>
            <a:t>Give out results as Negative</a:t>
          </a:r>
        </a:p>
      </dsp:txBody>
      <dsp:txXfrm>
        <a:off x="1660180" y="3886203"/>
        <a:ext cx="1100025" cy="5500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52AD9-7404-4268-9B3B-6C02174D7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77307</Words>
  <Characters>440650</Characters>
  <Application>Microsoft Office Word</Application>
  <DocSecurity>0</DocSecurity>
  <Lines>3672</Lines>
  <Paragraphs>1033</Paragraphs>
  <ScaleCrop>false</ScaleCrop>
  <HeadingPairs>
    <vt:vector size="2" baseType="variant">
      <vt:variant>
        <vt:lpstr>Title</vt:lpstr>
      </vt:variant>
      <vt:variant>
        <vt:i4>1</vt:i4>
      </vt:variant>
    </vt:vector>
  </HeadingPairs>
  <TitlesOfParts>
    <vt:vector size="1" baseType="lpstr">
      <vt:lpstr/>
    </vt:vector>
  </TitlesOfParts>
  <Company>World Health Organization</Company>
  <LinksUpToDate>false</LinksUpToDate>
  <CharactersWithSpaces>516924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Sode</dc:creator>
  <cp:lastModifiedBy>JSI</cp:lastModifiedBy>
  <cp:revision>3</cp:revision>
  <dcterms:created xsi:type="dcterms:W3CDTF">2015-05-05T08:57:00Z</dcterms:created>
  <dcterms:modified xsi:type="dcterms:W3CDTF">2015-05-05T08:57:00Z</dcterms:modified>
</cp:coreProperties>
</file>