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0593D" w14:textId="77777777" w:rsidR="006D6983" w:rsidRDefault="00B354B9">
      <w:pPr>
        <w:rPr>
          <w:sz w:val="28"/>
          <w:szCs w:val="28"/>
        </w:rPr>
      </w:pPr>
      <w:r w:rsidRPr="00AD78A4">
        <w:rPr>
          <w:sz w:val="28"/>
          <w:szCs w:val="28"/>
        </w:rPr>
        <w:t>CUANDO COMENZAR</w:t>
      </w:r>
    </w:p>
    <w:p w14:paraId="051C516F" w14:textId="77777777" w:rsidR="004F58DC" w:rsidRDefault="004F58DC">
      <w:pPr>
        <w:rPr>
          <w:sz w:val="28"/>
          <w:szCs w:val="28"/>
        </w:rPr>
      </w:pPr>
    </w:p>
    <w:p w14:paraId="2A6CB264" w14:textId="77777777" w:rsidR="004F58DC" w:rsidRPr="00E3500C" w:rsidRDefault="004F58DC">
      <w:pPr>
        <w:rPr>
          <w:color w:val="FF0000"/>
        </w:rPr>
      </w:pPr>
      <w:r w:rsidRPr="00E3500C">
        <w:rPr>
          <w:color w:val="FF0000"/>
        </w:rPr>
        <w:t xml:space="preserve">La Dirección de Sida y ETS recomienda ofrecer tratamiento a todas las personas con infección por VIH, independientemente del recuento de células CD4. </w:t>
      </w:r>
    </w:p>
    <w:p w14:paraId="27048078" w14:textId="77777777" w:rsidR="00B354B9" w:rsidRDefault="00B354B9"/>
    <w:p w14:paraId="72C142C6" w14:textId="77777777" w:rsidR="00B354B9" w:rsidRDefault="00B354B9" w:rsidP="00AF14DA">
      <w:pPr>
        <w:pStyle w:val="Prrafodelista"/>
        <w:numPr>
          <w:ilvl w:val="0"/>
          <w:numId w:val="6"/>
        </w:numPr>
      </w:pPr>
      <w:r>
        <w:t>Se recomienda ofrecer tratamiento a todas las personas con VIH independendientemente del recuento de CD4, con el objetivo de reducir el riesgo de complicaciones de la infección por VI</w:t>
      </w:r>
      <w:r w:rsidR="00EC3B55">
        <w:t xml:space="preserve">H y </w:t>
      </w:r>
      <w:r w:rsidR="00AF14DA">
        <w:t xml:space="preserve">reducir </w:t>
      </w:r>
      <w:r w:rsidR="00EC3B55">
        <w:t>el riesgo de transmisión (A I</w:t>
      </w:r>
      <w:r>
        <w:t>).</w:t>
      </w:r>
    </w:p>
    <w:p w14:paraId="7B2B9532" w14:textId="77777777" w:rsidR="00B354B9" w:rsidRDefault="00B354B9"/>
    <w:p w14:paraId="52079553" w14:textId="77777777" w:rsidR="00B354B9" w:rsidRDefault="00B354B9" w:rsidP="00AF14DA">
      <w:pPr>
        <w:pStyle w:val="Prrafodelista"/>
        <w:numPr>
          <w:ilvl w:val="0"/>
          <w:numId w:val="6"/>
        </w:numPr>
      </w:pPr>
      <w:r>
        <w:t xml:space="preserve">Se recomienda ofrecer tratamiento antirretroviral independientemente del recuento de CD4 si el objetivo es </w:t>
      </w:r>
      <w:r w:rsidR="00AF14DA">
        <w:t xml:space="preserve">solamente </w:t>
      </w:r>
      <w:r>
        <w:t xml:space="preserve">reducir el riesgo de complicaciones de la infección por VIH, </w:t>
      </w:r>
      <w:r w:rsidR="006C7867">
        <w:t xml:space="preserve">aunque </w:t>
      </w:r>
      <w:r>
        <w:t>en este caso la evidencia varía según la situació</w:t>
      </w:r>
      <w:r w:rsidR="001872E6">
        <w:t xml:space="preserve">n clínica y el recuento de CD4: </w:t>
      </w:r>
    </w:p>
    <w:p w14:paraId="07F87C3B" w14:textId="77777777" w:rsidR="00B354B9" w:rsidRDefault="00B354B9"/>
    <w:p w14:paraId="62C28633" w14:textId="77777777" w:rsidR="00FF6B00" w:rsidRDefault="00FF6B00"/>
    <w:tbl>
      <w:tblPr>
        <w:tblStyle w:val="Tablaconcuadrcula"/>
        <w:tblW w:w="8554" w:type="dxa"/>
        <w:tblLook w:val="04A0" w:firstRow="1" w:lastRow="0" w:firstColumn="1" w:lastColumn="0" w:noHBand="0" w:noVBand="1"/>
      </w:tblPr>
      <w:tblGrid>
        <w:gridCol w:w="6420"/>
        <w:gridCol w:w="2134"/>
      </w:tblGrid>
      <w:tr w:rsidR="00FF6B00" w14:paraId="387158EF" w14:textId="77777777" w:rsidTr="00FF6B00">
        <w:tc>
          <w:tcPr>
            <w:tcW w:w="6771" w:type="dxa"/>
          </w:tcPr>
          <w:p w14:paraId="5BA33728" w14:textId="77777777" w:rsidR="00FF6B00" w:rsidRDefault="00FF6B00">
            <w:r>
              <w:t>SIT</w:t>
            </w:r>
            <w:r w:rsidR="004D29B9">
              <w:t>U</w:t>
            </w:r>
            <w:r>
              <w:t>ACIÓN</w:t>
            </w:r>
          </w:p>
        </w:tc>
        <w:tc>
          <w:tcPr>
            <w:tcW w:w="1783" w:type="dxa"/>
          </w:tcPr>
          <w:p w14:paraId="1F87D133" w14:textId="77777777" w:rsidR="00FF6B00" w:rsidRDefault="00FF6B00">
            <w:r>
              <w:t>GRADO DE RECOMENDACIÓN</w:t>
            </w:r>
          </w:p>
        </w:tc>
      </w:tr>
      <w:tr w:rsidR="00FF6B00" w14:paraId="6353B389" w14:textId="77777777" w:rsidTr="00FF6B00">
        <w:tc>
          <w:tcPr>
            <w:tcW w:w="6771" w:type="dxa"/>
          </w:tcPr>
          <w:p w14:paraId="6F6DA6A2" w14:textId="77777777" w:rsidR="00FF6B00" w:rsidRDefault="004D29B9" w:rsidP="00FF6B00">
            <w:r>
              <w:t>P</w:t>
            </w:r>
            <w:r w:rsidR="00FF6B00" w:rsidRPr="00EC3B55">
              <w:t>ersonas con síntomas relacionados a la infección por VIH, y/o enfermedades marcadoras (incluyendo linfomas, tumores asocia</w:t>
            </w:r>
            <w:r w:rsidR="00FF6B00">
              <w:t>dos al virus VPH, tuberculosis)</w:t>
            </w:r>
          </w:p>
          <w:p w14:paraId="5C9E7E93" w14:textId="77777777" w:rsidR="00FF6B00" w:rsidRDefault="00FF6B00" w:rsidP="00FF6B00">
            <w:pPr>
              <w:ind w:left="360"/>
            </w:pPr>
            <w:r w:rsidRPr="00EC3B55">
              <w:t xml:space="preserve"> </w:t>
            </w:r>
            <w:r w:rsidRPr="00FF6B00">
              <w:rPr>
                <w:sz w:val="20"/>
                <w:szCs w:val="20"/>
              </w:rPr>
              <w:t>Se recomienda comenzar dentro de las 2 semanas desde el diagnóstico, excepto en casos de criptococosis del SNC  y meningitis tuberculosa.</w:t>
            </w:r>
          </w:p>
        </w:tc>
        <w:tc>
          <w:tcPr>
            <w:tcW w:w="1783" w:type="dxa"/>
          </w:tcPr>
          <w:p w14:paraId="476AB2A1" w14:textId="77777777" w:rsidR="00FF6B00" w:rsidRDefault="00FF6B00" w:rsidP="00FF6B00">
            <w:pPr>
              <w:ind w:left="2202" w:hanging="2202"/>
            </w:pPr>
            <w:r>
              <w:t>A I</w:t>
            </w:r>
          </w:p>
        </w:tc>
      </w:tr>
      <w:tr w:rsidR="00FF6B00" w14:paraId="1DF0AA68" w14:textId="77777777" w:rsidTr="00FF6B00">
        <w:tc>
          <w:tcPr>
            <w:tcW w:w="6771" w:type="dxa"/>
          </w:tcPr>
          <w:p w14:paraId="1D1B81F0" w14:textId="77777777" w:rsidR="00FF6B00" w:rsidRDefault="00FF6B00">
            <w:r>
              <w:t>P</w:t>
            </w:r>
            <w:r w:rsidRPr="00EC3B55">
              <w:t xml:space="preserve">ersonas asintomáticas, con recuentos de CD4 </w:t>
            </w:r>
            <w:r>
              <w:rPr>
                <w:rFonts w:eastAsia="MS Gothic"/>
                <w:color w:val="000000"/>
              </w:rPr>
              <w:t>≤ 35</w:t>
            </w:r>
            <w:r w:rsidRPr="00EC3B55">
              <w:rPr>
                <w:rFonts w:eastAsia="MS Gothic"/>
                <w:color w:val="000000"/>
              </w:rPr>
              <w:t>0/mm3</w:t>
            </w:r>
          </w:p>
        </w:tc>
        <w:tc>
          <w:tcPr>
            <w:tcW w:w="1783" w:type="dxa"/>
          </w:tcPr>
          <w:p w14:paraId="43548EA2" w14:textId="77777777" w:rsidR="00FF6B00" w:rsidRDefault="00FF6B00">
            <w:r>
              <w:t>A I</w:t>
            </w:r>
          </w:p>
        </w:tc>
      </w:tr>
      <w:tr w:rsidR="00FF6B00" w14:paraId="3D9AB3CE" w14:textId="77777777" w:rsidTr="00FF6B00">
        <w:tc>
          <w:tcPr>
            <w:tcW w:w="6771" w:type="dxa"/>
          </w:tcPr>
          <w:p w14:paraId="34C60B2F" w14:textId="77777777" w:rsidR="00FF6B00" w:rsidRDefault="00FF6B00" w:rsidP="00FF6B00">
            <w:r>
              <w:t>P</w:t>
            </w:r>
            <w:r w:rsidRPr="00EC3B55">
              <w:t xml:space="preserve">ersonas asintomáticas, con recuentos de CD4 </w:t>
            </w:r>
            <w:r>
              <w:rPr>
                <w:rFonts w:eastAsia="MS Gothic"/>
                <w:color w:val="000000"/>
              </w:rPr>
              <w:t>350-</w:t>
            </w:r>
            <w:r w:rsidRPr="00EC3B55">
              <w:rPr>
                <w:rFonts w:eastAsia="MS Gothic"/>
                <w:color w:val="000000"/>
              </w:rPr>
              <w:t xml:space="preserve"> 500/mm3</w:t>
            </w:r>
          </w:p>
        </w:tc>
        <w:tc>
          <w:tcPr>
            <w:tcW w:w="1783" w:type="dxa"/>
          </w:tcPr>
          <w:p w14:paraId="2CA7D4C7" w14:textId="77777777" w:rsidR="00FF6B00" w:rsidRDefault="00FF6B00">
            <w:r>
              <w:t>A I</w:t>
            </w:r>
          </w:p>
        </w:tc>
      </w:tr>
      <w:tr w:rsidR="00FF6B00" w14:paraId="496E9659" w14:textId="77777777" w:rsidTr="00FF6B00">
        <w:tc>
          <w:tcPr>
            <w:tcW w:w="6771" w:type="dxa"/>
          </w:tcPr>
          <w:p w14:paraId="72F0B3AF" w14:textId="77777777" w:rsidR="00FF6B00" w:rsidRDefault="00FF6B00" w:rsidP="0034399C">
            <w:r>
              <w:t>P</w:t>
            </w:r>
            <w:r w:rsidRPr="00EC3B55">
              <w:t xml:space="preserve">ersonas asintomáticas, con recuentos de CD4 </w:t>
            </w:r>
            <w:r w:rsidR="0034399C" w:rsidRPr="00BA63C6">
              <w:rPr>
                <w:rFonts w:ascii="ＭＳ ゴシック" w:eastAsia="ＭＳ ゴシック"/>
                <w:color w:val="000000"/>
              </w:rPr>
              <w:t>≥</w:t>
            </w:r>
            <w:r w:rsidR="0034399C">
              <w:rPr>
                <w:rFonts w:ascii="ＭＳ ゴシック" w:eastAsia="ＭＳ ゴシック"/>
                <w:color w:val="000000"/>
              </w:rPr>
              <w:t xml:space="preserve"> </w:t>
            </w:r>
            <w:r w:rsidRPr="00EC3B55">
              <w:rPr>
                <w:rFonts w:eastAsia="MS Gothic"/>
                <w:color w:val="000000"/>
              </w:rPr>
              <w:t>500/mm3</w:t>
            </w:r>
          </w:p>
        </w:tc>
        <w:tc>
          <w:tcPr>
            <w:tcW w:w="1783" w:type="dxa"/>
          </w:tcPr>
          <w:p w14:paraId="172A3637" w14:textId="77777777" w:rsidR="00FF6B00" w:rsidRDefault="0034399C">
            <w:r>
              <w:t>A I</w:t>
            </w:r>
          </w:p>
        </w:tc>
      </w:tr>
      <w:tr w:rsidR="00FF6B00" w14:paraId="0E45438B" w14:textId="77777777" w:rsidTr="00FF6B00">
        <w:tc>
          <w:tcPr>
            <w:tcW w:w="6771" w:type="dxa"/>
          </w:tcPr>
          <w:p w14:paraId="328AC147" w14:textId="77777777" w:rsidR="00FF6B00" w:rsidRDefault="00FF6B00">
            <w:r>
              <w:t>Mujeres embarazadas</w:t>
            </w:r>
            <w:bookmarkStart w:id="0" w:name="_GoBack"/>
            <w:bookmarkEnd w:id="0"/>
          </w:p>
        </w:tc>
        <w:tc>
          <w:tcPr>
            <w:tcW w:w="1783" w:type="dxa"/>
          </w:tcPr>
          <w:p w14:paraId="10259EAE" w14:textId="77777777" w:rsidR="00FF6B00" w:rsidRDefault="00FF6B00">
            <w:r>
              <w:t>A I</w:t>
            </w:r>
          </w:p>
        </w:tc>
      </w:tr>
      <w:tr w:rsidR="00FF6B00" w14:paraId="2B6C28E2" w14:textId="77777777" w:rsidTr="00FF6B00">
        <w:tc>
          <w:tcPr>
            <w:tcW w:w="6771" w:type="dxa"/>
          </w:tcPr>
          <w:p w14:paraId="123CE62B" w14:textId="77777777" w:rsidR="00FF6B00" w:rsidRDefault="00FF6B00">
            <w:r>
              <w:t>En personas con coinfección por virus HBV crónica</w:t>
            </w:r>
          </w:p>
        </w:tc>
        <w:tc>
          <w:tcPr>
            <w:tcW w:w="1783" w:type="dxa"/>
          </w:tcPr>
          <w:p w14:paraId="4556BBB7" w14:textId="77777777" w:rsidR="00FF6B00" w:rsidRDefault="00FF6B00">
            <w:r>
              <w:t>A II</w:t>
            </w:r>
          </w:p>
        </w:tc>
      </w:tr>
      <w:tr w:rsidR="00FF6B00" w14:paraId="600C549E" w14:textId="77777777" w:rsidTr="00FF6B00">
        <w:tc>
          <w:tcPr>
            <w:tcW w:w="6771" w:type="dxa"/>
          </w:tcPr>
          <w:p w14:paraId="6F6931ED" w14:textId="77777777" w:rsidR="00FF6B00" w:rsidRDefault="00FF6B00">
            <w:r>
              <w:t>En personas con infección aguda, se recomiendra ofrecer TARV independientemente de los síntomas</w:t>
            </w:r>
          </w:p>
        </w:tc>
        <w:tc>
          <w:tcPr>
            <w:tcW w:w="1783" w:type="dxa"/>
          </w:tcPr>
          <w:p w14:paraId="31AD4A68" w14:textId="77777777" w:rsidR="00FF6B00" w:rsidRDefault="00FF6B00">
            <w:r>
              <w:t>B III</w:t>
            </w:r>
          </w:p>
        </w:tc>
      </w:tr>
    </w:tbl>
    <w:p w14:paraId="54170D42" w14:textId="77777777" w:rsidR="00FF6B00" w:rsidRPr="00EC3B55" w:rsidRDefault="00FF6B00"/>
    <w:p w14:paraId="13649158" w14:textId="77777777" w:rsidR="00EC3B55" w:rsidRDefault="00EC3B55"/>
    <w:p w14:paraId="142893D2" w14:textId="77777777" w:rsidR="00097C67" w:rsidRDefault="00097C67"/>
    <w:p w14:paraId="73BB9143" w14:textId="77777777" w:rsidR="00097C67" w:rsidRDefault="00097C67"/>
    <w:p w14:paraId="7DC0BD75" w14:textId="77777777" w:rsidR="00097C67" w:rsidRDefault="00097C67"/>
    <w:p w14:paraId="66313719" w14:textId="77777777" w:rsidR="00EC3B55" w:rsidRDefault="00097C67">
      <w:r>
        <w:t>Las personas que deban comenzar tratamiento antirretroviral deben estar convencidas y ser capaces de comprometerse con el mismo; además de comprender sus riesgos y beneficios, y la importancia de la adherencia. Algunas personas pueden preferir posponer el inicio de la terapia, y, evaluando siempre caso por caso, los proveedores de salud pueden recomendar diferir el comienzo del TARV sobre la base de factores clínicos y/o psicosociales.</w:t>
      </w:r>
    </w:p>
    <w:p w14:paraId="091BB531" w14:textId="77777777" w:rsidR="00E876A1" w:rsidRDefault="00E876A1"/>
    <w:p w14:paraId="0702DCFD" w14:textId="77777777" w:rsidR="00097C67" w:rsidRDefault="00097C67"/>
    <w:p w14:paraId="13E494A1" w14:textId="77777777" w:rsidR="00AD78A4" w:rsidRDefault="00AD78A4"/>
    <w:p w14:paraId="4326993D" w14:textId="77777777" w:rsidR="00EA2B7F" w:rsidRDefault="00EA2B7F"/>
    <w:p w14:paraId="3AD18E34" w14:textId="77777777" w:rsidR="00EA2B7F" w:rsidRDefault="00EA2B7F"/>
    <w:p w14:paraId="144940F4" w14:textId="77777777" w:rsidR="00EA2B7F" w:rsidRDefault="00EA2B7F"/>
    <w:p w14:paraId="594D7EDF" w14:textId="77777777" w:rsidR="00AD78A4" w:rsidRDefault="00AD78A4">
      <w:r>
        <w:lastRenderedPageBreak/>
        <w:t>CON QUÉ COMENZAR</w:t>
      </w:r>
    </w:p>
    <w:p w14:paraId="0D090DA0" w14:textId="77777777" w:rsidR="00AD78A4" w:rsidRDefault="00AD78A4"/>
    <w:p w14:paraId="2F5C7A15" w14:textId="77777777" w:rsidR="00AD78A4" w:rsidRDefault="00AD78A4">
      <w:r>
        <w:t xml:space="preserve">Existe evidencia </w:t>
      </w:r>
      <w:r w:rsidR="004573F8">
        <w:t>sobre</w:t>
      </w:r>
      <w:r>
        <w:t xml:space="preserve"> la eficacia y seguridad de </w:t>
      </w:r>
      <w:r w:rsidR="004573F8">
        <w:t>diversos</w:t>
      </w:r>
      <w:r>
        <w:t xml:space="preserve"> esquemas antirretrovirales para su uso como inicio de tratamiento. Sin embargo, debido a razo</w:t>
      </w:r>
      <w:r w:rsidR="004573F8">
        <w:t>nes de costo-efectividad;</w:t>
      </w:r>
      <w:r w:rsidR="006C7867">
        <w:t xml:space="preserve"> en</w:t>
      </w:r>
      <w:r>
        <w:t xml:space="preserve"> concordancia con la estrategia 2.0 de OMS/ONUSIDA, </w:t>
      </w:r>
      <w:r w:rsidR="004573F8">
        <w:t xml:space="preserve">y con el objetivo de disminuir la dispersión de esquemas utilizados, </w:t>
      </w:r>
      <w:r>
        <w:t>la DSyETS del MSAL recomienda iniciar con:</w:t>
      </w:r>
    </w:p>
    <w:p w14:paraId="09C451FF" w14:textId="77777777" w:rsidR="00AD78A4" w:rsidRDefault="00AD78A4"/>
    <w:p w14:paraId="4B8A595C" w14:textId="77777777" w:rsidR="004573F8" w:rsidRDefault="004573F8"/>
    <w:p w14:paraId="15930155" w14:textId="77777777" w:rsidR="00AD78A4" w:rsidRDefault="00AD78A4">
      <w:r>
        <w:t>ESQUEMAS RECOMENDADOS:</w:t>
      </w:r>
    </w:p>
    <w:p w14:paraId="43A6C45D" w14:textId="77777777" w:rsidR="00AD78A4" w:rsidRDefault="00AD78A4"/>
    <w:p w14:paraId="6FC7FD3F" w14:textId="77777777" w:rsidR="00AD78A4" w:rsidRDefault="004573F8" w:rsidP="00AD78A4">
      <w:pPr>
        <w:pStyle w:val="Prrafodelista"/>
        <w:numPr>
          <w:ilvl w:val="0"/>
          <w:numId w:val="1"/>
        </w:numPr>
      </w:pPr>
      <w:r>
        <w:t>TDF/FTC/EFV (A I</w:t>
      </w:r>
      <w:r w:rsidR="00AD78A4">
        <w:t>)</w:t>
      </w:r>
    </w:p>
    <w:p w14:paraId="664B5571" w14:textId="77777777" w:rsidR="00AD78A4" w:rsidRDefault="004573F8" w:rsidP="00AD78A4">
      <w:pPr>
        <w:pStyle w:val="Prrafodelista"/>
        <w:numPr>
          <w:ilvl w:val="0"/>
          <w:numId w:val="1"/>
        </w:numPr>
      </w:pPr>
      <w:r>
        <w:t>TDF/3TC + EFV (A I</w:t>
      </w:r>
      <w:r w:rsidR="00AD78A4">
        <w:t>)</w:t>
      </w:r>
    </w:p>
    <w:p w14:paraId="7319BE1E" w14:textId="77777777" w:rsidR="00AD78A4" w:rsidRPr="00AD78A4" w:rsidRDefault="004573F8" w:rsidP="00AD78A4">
      <w:pPr>
        <w:pStyle w:val="Prrafodelista"/>
        <w:numPr>
          <w:ilvl w:val="0"/>
          <w:numId w:val="1"/>
        </w:numPr>
        <w:rPr>
          <w:sz w:val="20"/>
          <w:szCs w:val="20"/>
        </w:rPr>
      </w:pPr>
      <w:r>
        <w:t>ABC/3TC + EFV (A I</w:t>
      </w:r>
      <w:r w:rsidR="00AD78A4">
        <w:t xml:space="preserve">). </w:t>
      </w:r>
      <w:r w:rsidR="00AD78A4" w:rsidRPr="00AD78A4">
        <w:rPr>
          <w:sz w:val="20"/>
          <w:szCs w:val="20"/>
        </w:rPr>
        <w:t xml:space="preserve">NO se recomienda en personas con CV </w:t>
      </w:r>
      <w:r w:rsidR="00AD78A4" w:rsidRPr="00AD78A4">
        <w:rPr>
          <w:rFonts w:eastAsia="MS Gothic"/>
          <w:color w:val="000000"/>
          <w:sz w:val="20"/>
          <w:szCs w:val="20"/>
        </w:rPr>
        <w:t>&gt; 100000 copias/ml</w:t>
      </w:r>
      <w:r w:rsidR="00AD78A4">
        <w:rPr>
          <w:rFonts w:eastAsia="MS Gothic"/>
          <w:color w:val="000000"/>
          <w:sz w:val="20"/>
          <w:szCs w:val="20"/>
        </w:rPr>
        <w:t xml:space="preserve">. Solicitar previamente HLA B5701 (NO se recomienda si dicho alelo está presente). </w:t>
      </w:r>
    </w:p>
    <w:p w14:paraId="3D9F7E95" w14:textId="77777777" w:rsidR="00AD78A4" w:rsidRPr="00EC3B55" w:rsidRDefault="00AD78A4" w:rsidP="00AD78A4">
      <w:pPr>
        <w:pStyle w:val="Prrafodelista"/>
        <w:ind w:left="1060"/>
      </w:pPr>
    </w:p>
    <w:p w14:paraId="2AC7F35F" w14:textId="77777777" w:rsidR="00B354B9" w:rsidRDefault="00B354B9" w:rsidP="00B354B9"/>
    <w:p w14:paraId="53D043CD" w14:textId="77777777" w:rsidR="00497D4B" w:rsidRDefault="00497D4B" w:rsidP="00B354B9">
      <w:r>
        <w:t>ESQUEMAS ALTERNATIVOS</w:t>
      </w:r>
    </w:p>
    <w:p w14:paraId="77C5E377" w14:textId="77777777" w:rsidR="00AD78A4" w:rsidRPr="00497D4B" w:rsidRDefault="00AD78A4" w:rsidP="00497D4B">
      <w:pPr>
        <w:rPr>
          <w:sz w:val="22"/>
          <w:szCs w:val="22"/>
        </w:rPr>
      </w:pPr>
      <w:r w:rsidRPr="00497D4B">
        <w:rPr>
          <w:sz w:val="22"/>
          <w:szCs w:val="22"/>
        </w:rPr>
        <w:t xml:space="preserve">Se recomienda </w:t>
      </w:r>
      <w:r w:rsidR="00406DAA" w:rsidRPr="00497D4B">
        <w:rPr>
          <w:sz w:val="22"/>
          <w:szCs w:val="22"/>
        </w:rPr>
        <w:t>utilizarlos</w:t>
      </w:r>
      <w:r w:rsidRPr="00497D4B">
        <w:rPr>
          <w:sz w:val="22"/>
          <w:szCs w:val="22"/>
        </w:rPr>
        <w:t xml:space="preserve"> si existen contraindicaciones para los esquemas recomendados. </w:t>
      </w:r>
    </w:p>
    <w:p w14:paraId="7DB43DD1" w14:textId="77777777" w:rsidR="00AD78A4" w:rsidRDefault="00AD78A4" w:rsidP="00B354B9"/>
    <w:p w14:paraId="06B48938" w14:textId="77777777" w:rsidR="00AD78A4" w:rsidRDefault="004573F8" w:rsidP="00565140">
      <w:pPr>
        <w:pStyle w:val="Prrafodelista"/>
        <w:numPr>
          <w:ilvl w:val="0"/>
          <w:numId w:val="1"/>
        </w:numPr>
      </w:pPr>
      <w:r>
        <w:t>TDF/FTC o TDF/3TC + ATV/r (A I</w:t>
      </w:r>
      <w:r w:rsidR="00565140">
        <w:t>)</w:t>
      </w:r>
    </w:p>
    <w:p w14:paraId="5700DA6C" w14:textId="77777777" w:rsidR="00565140" w:rsidRDefault="004573F8" w:rsidP="00565140">
      <w:pPr>
        <w:pStyle w:val="Prrafodelista"/>
        <w:numPr>
          <w:ilvl w:val="0"/>
          <w:numId w:val="1"/>
        </w:numPr>
      </w:pPr>
      <w:r>
        <w:t>ABC/3TC + ATV/r  (A I</w:t>
      </w:r>
      <w:r w:rsidR="00565140">
        <w:t>)</w:t>
      </w:r>
    </w:p>
    <w:p w14:paraId="56C83A19" w14:textId="77777777" w:rsidR="00565140" w:rsidRDefault="00565140" w:rsidP="00565140">
      <w:pPr>
        <w:pStyle w:val="Prrafodelista"/>
        <w:numPr>
          <w:ilvl w:val="0"/>
          <w:numId w:val="1"/>
        </w:numPr>
      </w:pPr>
      <w:r>
        <w:t xml:space="preserve">TDF/FTC o TDF/3TC o </w:t>
      </w:r>
      <w:r w:rsidR="004573F8">
        <w:t xml:space="preserve">ABC/3TC </w:t>
      </w:r>
      <w:r w:rsidR="00AF14DA">
        <w:t xml:space="preserve">+ </w:t>
      </w:r>
      <w:r w:rsidR="004573F8">
        <w:t>LPV/R  (B I</w:t>
      </w:r>
      <w:r>
        <w:t>)</w:t>
      </w:r>
    </w:p>
    <w:p w14:paraId="5A69BB41" w14:textId="77777777" w:rsidR="00287E83" w:rsidRDefault="00287E83" w:rsidP="00287E83"/>
    <w:p w14:paraId="25419537" w14:textId="77777777" w:rsidR="00287E83" w:rsidRDefault="00287E83" w:rsidP="00287E83"/>
    <w:p w14:paraId="60062855" w14:textId="77777777" w:rsidR="004573F8" w:rsidRDefault="004573F8" w:rsidP="00287E83">
      <w:r>
        <w:t>ESQUEMAS A UTILIZAR EN SITUACIONES ESPECIALES</w:t>
      </w:r>
    </w:p>
    <w:p w14:paraId="67463E69" w14:textId="77777777" w:rsidR="00497D4B" w:rsidRPr="00497D4B" w:rsidRDefault="00497D4B" w:rsidP="00287E83">
      <w:pPr>
        <w:rPr>
          <w:sz w:val="22"/>
          <w:szCs w:val="22"/>
        </w:rPr>
      </w:pPr>
      <w:r>
        <w:rPr>
          <w:sz w:val="22"/>
          <w:szCs w:val="22"/>
        </w:rPr>
        <w:t xml:space="preserve">Debido a su alto costo, estos esquemas se reservan para su uso en caso de fallos múltiples; sin embargo, podrían ser utilizados en situaciones especiales tales como: interacciones medicamentosas importantes, presencia de comorbilidades relevantes, presencia de resistencia primaria, </w:t>
      </w:r>
    </w:p>
    <w:p w14:paraId="0CD533D0" w14:textId="77777777" w:rsidR="004573F8" w:rsidRDefault="004573F8" w:rsidP="00287E83"/>
    <w:p w14:paraId="6A317B17" w14:textId="77777777" w:rsidR="004573F8" w:rsidRDefault="004573F8" w:rsidP="004573F8">
      <w:pPr>
        <w:pStyle w:val="Prrafodelista"/>
        <w:numPr>
          <w:ilvl w:val="0"/>
          <w:numId w:val="1"/>
        </w:numPr>
      </w:pPr>
      <w:r>
        <w:t>TDF/FTC + DTG (A I)</w:t>
      </w:r>
    </w:p>
    <w:p w14:paraId="074C1AF8" w14:textId="77777777" w:rsidR="004573F8" w:rsidRDefault="004573F8" w:rsidP="004573F8">
      <w:pPr>
        <w:pStyle w:val="Prrafodelista"/>
        <w:numPr>
          <w:ilvl w:val="0"/>
          <w:numId w:val="1"/>
        </w:numPr>
      </w:pPr>
      <w:r>
        <w:t>ABC/3TC/DTG (A I)</w:t>
      </w:r>
    </w:p>
    <w:p w14:paraId="0DB34801" w14:textId="77777777" w:rsidR="00497D4B" w:rsidRDefault="00497D4B" w:rsidP="004573F8">
      <w:pPr>
        <w:pStyle w:val="Prrafodelista"/>
        <w:numPr>
          <w:ilvl w:val="0"/>
          <w:numId w:val="1"/>
        </w:numPr>
      </w:pPr>
      <w:r>
        <w:t>TDF/FTC + RAL</w:t>
      </w:r>
    </w:p>
    <w:p w14:paraId="31DE12C6" w14:textId="77777777" w:rsidR="004573F8" w:rsidRDefault="004573F8" w:rsidP="004573F8">
      <w:pPr>
        <w:pStyle w:val="Prrafodelista"/>
        <w:numPr>
          <w:ilvl w:val="0"/>
          <w:numId w:val="1"/>
        </w:numPr>
      </w:pPr>
      <w:r>
        <w:t>TDF/FTC + DRV/r (A I)</w:t>
      </w:r>
    </w:p>
    <w:p w14:paraId="2F83098D" w14:textId="77777777" w:rsidR="00287E83" w:rsidRDefault="00287E83" w:rsidP="00287E83"/>
    <w:p w14:paraId="511234F9" w14:textId="77777777" w:rsidR="00287E83" w:rsidRDefault="00287E83" w:rsidP="00287E83"/>
    <w:p w14:paraId="42870AA0" w14:textId="77777777" w:rsidR="00287E83" w:rsidRDefault="00287E83" w:rsidP="00287E83"/>
    <w:p w14:paraId="51AF719E" w14:textId="77777777" w:rsidR="00EA2B7F" w:rsidRDefault="00EA2B7F" w:rsidP="00287E83"/>
    <w:tbl>
      <w:tblPr>
        <w:tblW w:w="0" w:type="auto"/>
        <w:tblCellMar>
          <w:top w:w="15" w:type="dxa"/>
          <w:left w:w="15" w:type="dxa"/>
          <w:bottom w:w="15" w:type="dxa"/>
          <w:right w:w="15" w:type="dxa"/>
        </w:tblCellMar>
        <w:tblLook w:val="04A0" w:firstRow="1" w:lastRow="0" w:firstColumn="1" w:lastColumn="0" w:noHBand="0" w:noVBand="1"/>
      </w:tblPr>
      <w:tblGrid>
        <w:gridCol w:w="3086"/>
        <w:gridCol w:w="5442"/>
      </w:tblGrid>
      <w:tr w:rsidR="00BB7C5D" w:rsidRPr="00287E83" w14:paraId="120E55AB" w14:textId="77777777" w:rsidTr="00287E83">
        <w:tc>
          <w:tcPr>
            <w:tcW w:w="0" w:type="auto"/>
            <w:tcBorders>
              <w:top w:val="single" w:sz="8" w:space="0" w:color="515151"/>
              <w:left w:val="single" w:sz="8" w:space="0" w:color="515151"/>
              <w:bottom w:val="single" w:sz="4" w:space="0" w:color="3A3A3A"/>
              <w:right w:val="single" w:sz="4" w:space="0" w:color="3A3A3A"/>
            </w:tcBorders>
            <w:shd w:val="clear" w:color="auto" w:fill="D1DBE5"/>
            <w:vAlign w:val="center"/>
            <w:hideMark/>
          </w:tcPr>
          <w:p w14:paraId="52A69DE7" w14:textId="77777777" w:rsidR="00287E83" w:rsidRPr="00287E83" w:rsidRDefault="00DD604B" w:rsidP="00287E83">
            <w:pPr>
              <w:spacing w:before="100" w:beforeAutospacing="1" w:after="100" w:afterAutospacing="1"/>
              <w:rPr>
                <w:rFonts w:ascii="Times" w:hAnsi="Times"/>
                <w:sz w:val="20"/>
                <w:szCs w:val="20"/>
              </w:rPr>
            </w:pPr>
            <w:r>
              <w:rPr>
                <w:rFonts w:ascii="Arial Narrow" w:hAnsi="Arial Narrow"/>
                <w:b/>
                <w:bCs/>
              </w:rPr>
              <w:t>Grado de Recomendación</w:t>
            </w:r>
          </w:p>
        </w:tc>
        <w:tc>
          <w:tcPr>
            <w:tcW w:w="0" w:type="auto"/>
            <w:tcBorders>
              <w:top w:val="single" w:sz="8" w:space="0" w:color="515151"/>
              <w:left w:val="single" w:sz="4" w:space="0" w:color="3A3A3A"/>
              <w:bottom w:val="single" w:sz="4" w:space="0" w:color="3A3A3A"/>
              <w:right w:val="single" w:sz="8" w:space="0" w:color="515151"/>
            </w:tcBorders>
            <w:shd w:val="clear" w:color="auto" w:fill="D1DBE5"/>
            <w:vAlign w:val="center"/>
            <w:hideMark/>
          </w:tcPr>
          <w:p w14:paraId="5D048926" w14:textId="77777777" w:rsidR="00287E83" w:rsidRPr="00287E83" w:rsidRDefault="00DD604B" w:rsidP="00287E83">
            <w:pPr>
              <w:spacing w:before="100" w:beforeAutospacing="1" w:after="100" w:afterAutospacing="1"/>
              <w:rPr>
                <w:rFonts w:ascii="Times" w:hAnsi="Times"/>
                <w:sz w:val="20"/>
                <w:szCs w:val="20"/>
              </w:rPr>
            </w:pPr>
            <w:r>
              <w:rPr>
                <w:rFonts w:ascii="Arial Narrow" w:hAnsi="Arial Narrow"/>
                <w:b/>
                <w:bCs/>
              </w:rPr>
              <w:t>Calidad de la Evidencia para la Recomendación</w:t>
            </w:r>
            <w:r w:rsidR="00287E83" w:rsidRPr="00287E83">
              <w:rPr>
                <w:rFonts w:ascii="Arial Narrow" w:hAnsi="Arial Narrow"/>
                <w:b/>
                <w:bCs/>
              </w:rPr>
              <w:t xml:space="preserve"> </w:t>
            </w:r>
          </w:p>
        </w:tc>
      </w:tr>
      <w:tr w:rsidR="00BB7C5D" w:rsidRPr="00287E83" w14:paraId="0126CB93" w14:textId="77777777" w:rsidTr="00287E83">
        <w:tc>
          <w:tcPr>
            <w:tcW w:w="0" w:type="auto"/>
            <w:tcBorders>
              <w:top w:val="single" w:sz="4" w:space="0" w:color="3A3A3A"/>
              <w:left w:val="single" w:sz="8" w:space="0" w:color="515151"/>
              <w:bottom w:val="single" w:sz="8" w:space="0" w:color="515151"/>
              <w:right w:val="single" w:sz="4" w:space="0" w:color="3A3A3A"/>
            </w:tcBorders>
            <w:shd w:val="clear" w:color="auto" w:fill="FFFFFF"/>
            <w:vAlign w:val="center"/>
            <w:hideMark/>
          </w:tcPr>
          <w:p w14:paraId="4AF932F3" w14:textId="77777777" w:rsidR="00287E83" w:rsidRPr="00287E83" w:rsidRDefault="00287E83" w:rsidP="00497D4B">
            <w:pPr>
              <w:spacing w:before="100" w:beforeAutospacing="1" w:after="100" w:afterAutospacing="1"/>
              <w:ind w:left="284"/>
              <w:rPr>
                <w:rFonts w:ascii="Times" w:hAnsi="Times" w:cs="Times New Roman"/>
                <w:sz w:val="20"/>
                <w:szCs w:val="20"/>
              </w:rPr>
            </w:pPr>
            <w:r w:rsidRPr="00287E83">
              <w:rPr>
                <w:rFonts w:ascii="Arial Narrow" w:hAnsi="Arial Narrow"/>
                <w:b/>
                <w:bCs/>
                <w:sz w:val="20"/>
                <w:szCs w:val="20"/>
              </w:rPr>
              <w:t xml:space="preserve">A: </w:t>
            </w:r>
            <w:r w:rsidR="00DD604B">
              <w:rPr>
                <w:rFonts w:ascii="Arial Narrow" w:hAnsi="Arial Narrow"/>
                <w:sz w:val="20"/>
                <w:szCs w:val="20"/>
              </w:rPr>
              <w:t>Se recomienda fu</w:t>
            </w:r>
            <w:r w:rsidR="00497D4B">
              <w:rPr>
                <w:rFonts w:ascii="Arial Narrow" w:hAnsi="Arial Narrow"/>
                <w:sz w:val="20"/>
                <w:szCs w:val="20"/>
              </w:rPr>
              <w:t>e</w:t>
            </w:r>
            <w:r w:rsidR="00DD604B">
              <w:rPr>
                <w:rFonts w:ascii="Arial Narrow" w:hAnsi="Arial Narrow"/>
                <w:sz w:val="20"/>
                <w:szCs w:val="20"/>
              </w:rPr>
              <w:t>rtemente</w:t>
            </w:r>
            <w:r w:rsidRPr="00287E83">
              <w:rPr>
                <w:rFonts w:ascii="Arial Narrow" w:hAnsi="Arial Narrow"/>
                <w:sz w:val="20"/>
                <w:szCs w:val="20"/>
              </w:rPr>
              <w:t xml:space="preserve"> </w:t>
            </w:r>
          </w:p>
          <w:p w14:paraId="55246619" w14:textId="77777777" w:rsidR="00287E83" w:rsidRPr="00287E83" w:rsidRDefault="00287E83" w:rsidP="00497D4B">
            <w:pPr>
              <w:spacing w:before="100" w:beforeAutospacing="1" w:after="100" w:afterAutospacing="1"/>
              <w:ind w:left="284"/>
              <w:rPr>
                <w:rFonts w:ascii="Times" w:hAnsi="Times"/>
                <w:sz w:val="20"/>
                <w:szCs w:val="20"/>
              </w:rPr>
            </w:pPr>
            <w:r w:rsidRPr="00287E83">
              <w:rPr>
                <w:rFonts w:ascii="Arial Narrow" w:hAnsi="Arial Narrow"/>
                <w:b/>
                <w:bCs/>
                <w:sz w:val="20"/>
                <w:szCs w:val="20"/>
              </w:rPr>
              <w:t xml:space="preserve">B: </w:t>
            </w:r>
            <w:r w:rsidR="00DD604B">
              <w:rPr>
                <w:rFonts w:ascii="Arial Narrow" w:hAnsi="Arial Narrow"/>
                <w:sz w:val="20"/>
                <w:szCs w:val="20"/>
              </w:rPr>
              <w:t>Fuerza de la recomendación moderada</w:t>
            </w:r>
            <w:r w:rsidRPr="00287E83">
              <w:rPr>
                <w:rFonts w:ascii="Arial Narrow" w:hAnsi="Arial Narrow"/>
                <w:sz w:val="20"/>
                <w:szCs w:val="20"/>
              </w:rPr>
              <w:t xml:space="preserve"> </w:t>
            </w:r>
          </w:p>
          <w:p w14:paraId="706DB468" w14:textId="77777777" w:rsidR="00287E83" w:rsidRPr="00287E83" w:rsidRDefault="00287E83" w:rsidP="00497D4B">
            <w:pPr>
              <w:spacing w:before="100" w:beforeAutospacing="1" w:after="100" w:afterAutospacing="1"/>
              <w:ind w:left="284"/>
              <w:rPr>
                <w:rFonts w:ascii="Times" w:hAnsi="Times"/>
                <w:sz w:val="20"/>
                <w:szCs w:val="20"/>
              </w:rPr>
            </w:pPr>
            <w:r w:rsidRPr="00287E83">
              <w:rPr>
                <w:rFonts w:ascii="Arial Narrow" w:hAnsi="Arial Narrow"/>
                <w:b/>
                <w:bCs/>
                <w:sz w:val="20"/>
                <w:szCs w:val="20"/>
              </w:rPr>
              <w:t xml:space="preserve">C: </w:t>
            </w:r>
            <w:r w:rsidR="00DD604B">
              <w:rPr>
                <w:rFonts w:ascii="Arial Narrow" w:hAnsi="Arial Narrow"/>
                <w:sz w:val="20"/>
                <w:szCs w:val="20"/>
              </w:rPr>
              <w:t>Fuerza de la recomendación débil, recomendación opcional</w:t>
            </w:r>
            <w:r w:rsidRPr="00287E83">
              <w:rPr>
                <w:rFonts w:ascii="Arial Narrow" w:hAnsi="Arial Narrow"/>
                <w:sz w:val="20"/>
                <w:szCs w:val="20"/>
              </w:rPr>
              <w:t xml:space="preserve"> </w:t>
            </w:r>
          </w:p>
        </w:tc>
        <w:tc>
          <w:tcPr>
            <w:tcW w:w="0" w:type="auto"/>
            <w:tcBorders>
              <w:top w:val="single" w:sz="4" w:space="0" w:color="3A3A3A"/>
              <w:left w:val="single" w:sz="4" w:space="0" w:color="3A3A3A"/>
              <w:bottom w:val="single" w:sz="8" w:space="0" w:color="515151"/>
              <w:right w:val="single" w:sz="8" w:space="0" w:color="515151"/>
            </w:tcBorders>
            <w:shd w:val="clear" w:color="auto" w:fill="FFFFFF"/>
            <w:vAlign w:val="center"/>
            <w:hideMark/>
          </w:tcPr>
          <w:p w14:paraId="3BAEE621" w14:textId="77777777" w:rsidR="00287E83" w:rsidRPr="00287E83" w:rsidRDefault="00287E83" w:rsidP="00DD604B">
            <w:pPr>
              <w:spacing w:before="100" w:beforeAutospacing="1" w:after="100" w:afterAutospacing="1"/>
              <w:ind w:left="155"/>
              <w:rPr>
                <w:rFonts w:ascii="Times" w:hAnsi="Times" w:cs="Times New Roman"/>
                <w:sz w:val="20"/>
                <w:szCs w:val="20"/>
              </w:rPr>
            </w:pPr>
            <w:r w:rsidRPr="00287E83">
              <w:rPr>
                <w:rFonts w:ascii="Arial Narrow" w:hAnsi="Arial Narrow"/>
                <w:b/>
                <w:bCs/>
                <w:sz w:val="20"/>
                <w:szCs w:val="20"/>
              </w:rPr>
              <w:t>I:  </w:t>
            </w:r>
            <w:r w:rsidR="00DD604B">
              <w:rPr>
                <w:rFonts w:ascii="Arial Narrow" w:hAnsi="Arial Narrow"/>
                <w:sz w:val="20"/>
                <w:szCs w:val="20"/>
              </w:rPr>
              <w:t>Uno o más ensayos aleatorios con puntos finales clínicos y/o de laboratorio validados.</w:t>
            </w:r>
            <w:r w:rsidRPr="00287E83">
              <w:rPr>
                <w:rFonts w:ascii="Arial Narrow" w:hAnsi="Arial Narrow"/>
                <w:sz w:val="20"/>
                <w:szCs w:val="20"/>
              </w:rPr>
              <w:t xml:space="preserve"> </w:t>
            </w:r>
          </w:p>
          <w:p w14:paraId="3FBF4CA4" w14:textId="77777777" w:rsidR="00287E83" w:rsidRPr="00287E83" w:rsidRDefault="00287E83" w:rsidP="00DD604B">
            <w:pPr>
              <w:spacing w:before="100" w:beforeAutospacing="1" w:after="100" w:afterAutospacing="1"/>
              <w:ind w:left="155"/>
              <w:rPr>
                <w:rFonts w:ascii="Times" w:hAnsi="Times"/>
                <w:sz w:val="20"/>
                <w:szCs w:val="20"/>
              </w:rPr>
            </w:pPr>
            <w:r w:rsidRPr="00287E83">
              <w:rPr>
                <w:rFonts w:ascii="Arial Narrow" w:hAnsi="Arial Narrow"/>
                <w:b/>
                <w:bCs/>
                <w:sz w:val="20"/>
                <w:szCs w:val="20"/>
              </w:rPr>
              <w:t>II:  </w:t>
            </w:r>
            <w:r w:rsidR="00BB7C5D">
              <w:rPr>
                <w:rFonts w:ascii="Arial Narrow" w:hAnsi="Arial Narrow"/>
                <w:sz w:val="20"/>
                <w:szCs w:val="20"/>
              </w:rPr>
              <w:t>U</w:t>
            </w:r>
            <w:r w:rsidR="00DD604B">
              <w:rPr>
                <w:rFonts w:ascii="Arial Narrow" w:hAnsi="Arial Narrow"/>
                <w:sz w:val="20"/>
                <w:szCs w:val="20"/>
              </w:rPr>
              <w:t>no o más ensayos bien diseñados, de tipo</w:t>
            </w:r>
            <w:r w:rsidR="00BB7C5D">
              <w:rPr>
                <w:rFonts w:ascii="Arial Narrow" w:hAnsi="Arial Narrow"/>
                <w:sz w:val="20"/>
                <w:szCs w:val="20"/>
              </w:rPr>
              <w:t xml:space="preserve"> no aleatorios, u observacionales (de cohorte)</w:t>
            </w:r>
            <w:r w:rsidRPr="00287E83">
              <w:rPr>
                <w:rFonts w:ascii="Arial Narrow" w:hAnsi="Arial Narrow"/>
                <w:sz w:val="20"/>
                <w:szCs w:val="20"/>
              </w:rPr>
              <w:t xml:space="preserve">, </w:t>
            </w:r>
            <w:r w:rsidR="00BB7C5D">
              <w:rPr>
                <w:rFonts w:ascii="Arial Narrow" w:hAnsi="Arial Narrow"/>
                <w:sz w:val="20"/>
                <w:szCs w:val="20"/>
              </w:rPr>
              <w:t>con puntos finales clínicos a largo plazo</w:t>
            </w:r>
            <w:r w:rsidRPr="00287E83">
              <w:rPr>
                <w:rFonts w:ascii="Arial Narrow" w:hAnsi="Arial Narrow"/>
                <w:sz w:val="20"/>
                <w:szCs w:val="20"/>
              </w:rPr>
              <w:t xml:space="preserve"> </w:t>
            </w:r>
          </w:p>
          <w:p w14:paraId="28EC0273" w14:textId="77777777" w:rsidR="00287E83" w:rsidRPr="00287E83" w:rsidRDefault="00287E83" w:rsidP="00DD604B">
            <w:pPr>
              <w:spacing w:before="100" w:beforeAutospacing="1" w:after="100" w:afterAutospacing="1"/>
              <w:ind w:left="136"/>
              <w:rPr>
                <w:rFonts w:ascii="Times" w:hAnsi="Times"/>
                <w:sz w:val="20"/>
                <w:szCs w:val="20"/>
              </w:rPr>
            </w:pPr>
            <w:r w:rsidRPr="00287E83">
              <w:rPr>
                <w:rFonts w:ascii="Arial Narrow" w:hAnsi="Arial Narrow"/>
                <w:b/>
                <w:bCs/>
                <w:sz w:val="20"/>
                <w:szCs w:val="20"/>
              </w:rPr>
              <w:t>III:  </w:t>
            </w:r>
            <w:r w:rsidR="00DD604B">
              <w:rPr>
                <w:rFonts w:ascii="Arial Narrow" w:hAnsi="Arial Narrow"/>
                <w:sz w:val="20"/>
                <w:szCs w:val="20"/>
              </w:rPr>
              <w:t>Opinión de expertos</w:t>
            </w:r>
            <w:r w:rsidRPr="00287E83">
              <w:rPr>
                <w:rFonts w:ascii="Arial Narrow" w:hAnsi="Arial Narrow"/>
                <w:sz w:val="20"/>
                <w:szCs w:val="20"/>
              </w:rPr>
              <w:t xml:space="preserve"> </w:t>
            </w:r>
          </w:p>
        </w:tc>
      </w:tr>
    </w:tbl>
    <w:p w14:paraId="485C790E" w14:textId="77777777" w:rsidR="00EA2B7F" w:rsidRDefault="00EA2B7F" w:rsidP="00287E83"/>
    <w:p w14:paraId="1E9CDFD6" w14:textId="77777777" w:rsidR="00AF14DA" w:rsidRDefault="00AF14DA" w:rsidP="00287E83"/>
    <w:p w14:paraId="0343DA34" w14:textId="77777777" w:rsidR="00AF14DA" w:rsidRDefault="00AF14DA" w:rsidP="00287E83"/>
    <w:p w14:paraId="5D16BEFA" w14:textId="77777777" w:rsidR="00EA2B7F" w:rsidRDefault="00EA2B7F" w:rsidP="00287E83">
      <w:r>
        <w:lastRenderedPageBreak/>
        <w:t>SEGUIMIENTO DE LABORATORIO</w:t>
      </w:r>
    </w:p>
    <w:p w14:paraId="4CA95E9B" w14:textId="77777777" w:rsidR="00EA2B7F" w:rsidRDefault="00EA2B7F" w:rsidP="00287E83">
      <w:pPr>
        <w:rPr>
          <w:sz w:val="18"/>
          <w:szCs w:val="18"/>
        </w:rPr>
      </w:pPr>
    </w:p>
    <w:p w14:paraId="189F2C5D" w14:textId="77777777" w:rsidR="00AF5F60" w:rsidRPr="00323462" w:rsidRDefault="00AF5F60" w:rsidP="00287E83">
      <w:pPr>
        <w:rPr>
          <w:sz w:val="16"/>
          <w:szCs w:val="16"/>
        </w:rPr>
      </w:pPr>
      <w:r w:rsidRPr="00323462">
        <w:rPr>
          <w:sz w:val="16"/>
          <w:szCs w:val="16"/>
        </w:rPr>
        <w:t xml:space="preserve">NOTA: La frecuencia sugerida en esta tabla puede modificarse según la situación clínica, y cualquiera de los </w:t>
      </w:r>
      <w:r w:rsidR="00323462" w:rsidRPr="00323462">
        <w:rPr>
          <w:sz w:val="16"/>
          <w:szCs w:val="16"/>
        </w:rPr>
        <w:t>exámenes mencionados puede ser solicitado en el momento que la situación clínica lo requiera.</w:t>
      </w:r>
    </w:p>
    <w:tbl>
      <w:tblPr>
        <w:tblStyle w:val="Tablaconcuadrcula"/>
        <w:tblW w:w="0" w:type="auto"/>
        <w:tblLook w:val="04A0" w:firstRow="1" w:lastRow="0" w:firstColumn="1" w:lastColumn="0" w:noHBand="0" w:noVBand="1"/>
      </w:tblPr>
      <w:tblGrid>
        <w:gridCol w:w="1475"/>
        <w:gridCol w:w="1193"/>
        <w:gridCol w:w="1225"/>
        <w:gridCol w:w="1212"/>
        <w:gridCol w:w="1225"/>
        <w:gridCol w:w="1186"/>
        <w:gridCol w:w="1198"/>
      </w:tblGrid>
      <w:tr w:rsidR="00EA2B7F" w14:paraId="0D2F6909" w14:textId="77777777" w:rsidTr="00323462">
        <w:tc>
          <w:tcPr>
            <w:tcW w:w="1475" w:type="dxa"/>
            <w:vMerge w:val="restart"/>
          </w:tcPr>
          <w:p w14:paraId="2D75AD46" w14:textId="77777777" w:rsidR="00EA2B7F" w:rsidRPr="00CA3CDF" w:rsidRDefault="00EA2B7F" w:rsidP="00287E83">
            <w:pPr>
              <w:rPr>
                <w:sz w:val="18"/>
                <w:szCs w:val="18"/>
              </w:rPr>
            </w:pPr>
            <w:r w:rsidRPr="00CA3CDF">
              <w:rPr>
                <w:sz w:val="18"/>
                <w:szCs w:val="18"/>
              </w:rPr>
              <w:t>PRUEBA DE LABORATORIO</w:t>
            </w:r>
          </w:p>
        </w:tc>
        <w:tc>
          <w:tcPr>
            <w:tcW w:w="7239" w:type="dxa"/>
            <w:gridSpan w:val="6"/>
          </w:tcPr>
          <w:p w14:paraId="168526D5" w14:textId="77777777" w:rsidR="00EA2B7F" w:rsidRPr="00CA3CDF" w:rsidRDefault="00EA2B7F" w:rsidP="00364D6F">
            <w:pPr>
              <w:jc w:val="center"/>
              <w:rPr>
                <w:sz w:val="18"/>
                <w:szCs w:val="18"/>
              </w:rPr>
            </w:pPr>
            <w:r w:rsidRPr="00CA3CDF">
              <w:rPr>
                <w:sz w:val="18"/>
                <w:szCs w:val="18"/>
              </w:rPr>
              <w:t>MOMENTO DE SOLICITUD O FRECUENCIA</w:t>
            </w:r>
          </w:p>
        </w:tc>
      </w:tr>
      <w:tr w:rsidR="00AF5F60" w14:paraId="56C3206D" w14:textId="77777777" w:rsidTr="00323462">
        <w:tc>
          <w:tcPr>
            <w:tcW w:w="1475" w:type="dxa"/>
            <w:vMerge/>
          </w:tcPr>
          <w:p w14:paraId="6EDD45D3" w14:textId="77777777" w:rsidR="00EA2B7F" w:rsidRPr="00CA3CDF" w:rsidRDefault="00EA2B7F" w:rsidP="00287E83">
            <w:pPr>
              <w:rPr>
                <w:sz w:val="18"/>
                <w:szCs w:val="18"/>
              </w:rPr>
            </w:pPr>
          </w:p>
        </w:tc>
        <w:tc>
          <w:tcPr>
            <w:tcW w:w="1193" w:type="dxa"/>
          </w:tcPr>
          <w:p w14:paraId="39CC9B66" w14:textId="77777777" w:rsidR="00EA2B7F" w:rsidRPr="00CA3CDF" w:rsidRDefault="00EA2B7F" w:rsidP="00EA2B7F">
            <w:pPr>
              <w:jc w:val="center"/>
              <w:rPr>
                <w:sz w:val="18"/>
                <w:szCs w:val="18"/>
              </w:rPr>
            </w:pPr>
            <w:r w:rsidRPr="00CA3CDF">
              <w:rPr>
                <w:sz w:val="18"/>
                <w:szCs w:val="18"/>
              </w:rPr>
              <w:t>VISITA INICIAL</w:t>
            </w:r>
          </w:p>
        </w:tc>
        <w:tc>
          <w:tcPr>
            <w:tcW w:w="1225" w:type="dxa"/>
          </w:tcPr>
          <w:p w14:paraId="797279AF" w14:textId="77777777" w:rsidR="00EA2B7F" w:rsidRPr="00CA3CDF" w:rsidRDefault="00EA2B7F" w:rsidP="00EA2B7F">
            <w:pPr>
              <w:jc w:val="center"/>
              <w:rPr>
                <w:sz w:val="18"/>
                <w:szCs w:val="18"/>
              </w:rPr>
            </w:pPr>
            <w:r w:rsidRPr="00CA3CDF">
              <w:rPr>
                <w:sz w:val="18"/>
                <w:szCs w:val="18"/>
              </w:rPr>
              <w:t>ANTES DE COMENZAR O MODIFICAR TARV</w:t>
            </w:r>
          </w:p>
        </w:tc>
        <w:tc>
          <w:tcPr>
            <w:tcW w:w="1212" w:type="dxa"/>
          </w:tcPr>
          <w:p w14:paraId="37B3226A" w14:textId="77777777" w:rsidR="00EA2B7F" w:rsidRPr="00CA3CDF" w:rsidRDefault="00EA2B7F" w:rsidP="00EA2B7F">
            <w:pPr>
              <w:jc w:val="center"/>
              <w:rPr>
                <w:sz w:val="18"/>
                <w:szCs w:val="18"/>
              </w:rPr>
            </w:pPr>
            <w:r w:rsidRPr="00CA3CDF">
              <w:rPr>
                <w:sz w:val="18"/>
                <w:szCs w:val="18"/>
              </w:rPr>
              <w:t>A LAS 4-8 SEMANAS DEL INICIO DEL TARV</w:t>
            </w:r>
          </w:p>
        </w:tc>
        <w:tc>
          <w:tcPr>
            <w:tcW w:w="1225" w:type="dxa"/>
          </w:tcPr>
          <w:p w14:paraId="6E3C0F73" w14:textId="77777777" w:rsidR="00EA2B7F" w:rsidRPr="00CA3CDF" w:rsidRDefault="00EA2B7F" w:rsidP="00EA2B7F">
            <w:pPr>
              <w:jc w:val="center"/>
              <w:rPr>
                <w:sz w:val="18"/>
                <w:szCs w:val="18"/>
              </w:rPr>
            </w:pPr>
            <w:r w:rsidRPr="00CA3CDF">
              <w:rPr>
                <w:sz w:val="18"/>
                <w:szCs w:val="18"/>
              </w:rPr>
              <w:t>CADA 4 A 6 MESES</w:t>
            </w:r>
          </w:p>
        </w:tc>
        <w:tc>
          <w:tcPr>
            <w:tcW w:w="1186" w:type="dxa"/>
          </w:tcPr>
          <w:p w14:paraId="1129B1E8" w14:textId="77777777" w:rsidR="00EA2B7F" w:rsidRPr="00CA3CDF" w:rsidRDefault="00EA2B7F" w:rsidP="00EA2B7F">
            <w:pPr>
              <w:jc w:val="center"/>
              <w:rPr>
                <w:sz w:val="18"/>
                <w:szCs w:val="18"/>
              </w:rPr>
            </w:pPr>
            <w:r w:rsidRPr="00CA3CDF">
              <w:rPr>
                <w:sz w:val="18"/>
                <w:szCs w:val="18"/>
              </w:rPr>
              <w:t>CADA 6 MESES</w:t>
            </w:r>
          </w:p>
        </w:tc>
        <w:tc>
          <w:tcPr>
            <w:tcW w:w="1198" w:type="dxa"/>
          </w:tcPr>
          <w:p w14:paraId="079ABFF7" w14:textId="77777777" w:rsidR="00EA2B7F" w:rsidRPr="00CA3CDF" w:rsidRDefault="001B0322" w:rsidP="00EA2B7F">
            <w:pPr>
              <w:jc w:val="center"/>
              <w:rPr>
                <w:sz w:val="18"/>
                <w:szCs w:val="18"/>
              </w:rPr>
            </w:pPr>
            <w:r w:rsidRPr="00CA3CDF">
              <w:rPr>
                <w:sz w:val="18"/>
                <w:szCs w:val="18"/>
              </w:rPr>
              <w:t>CADA 12 MESES</w:t>
            </w:r>
          </w:p>
        </w:tc>
      </w:tr>
      <w:tr w:rsidR="00AF5F60" w14:paraId="0E185BFF" w14:textId="77777777" w:rsidTr="00323462">
        <w:tc>
          <w:tcPr>
            <w:tcW w:w="1475" w:type="dxa"/>
          </w:tcPr>
          <w:p w14:paraId="16BFCA32" w14:textId="77777777" w:rsidR="00EA2B7F" w:rsidRPr="00CA3CDF" w:rsidRDefault="002B15AA" w:rsidP="00287E83">
            <w:pPr>
              <w:rPr>
                <w:sz w:val="18"/>
                <w:szCs w:val="18"/>
              </w:rPr>
            </w:pPr>
            <w:r w:rsidRPr="00CA3CDF">
              <w:rPr>
                <w:sz w:val="18"/>
                <w:szCs w:val="18"/>
              </w:rPr>
              <w:t>RECUENTO DE CD4</w:t>
            </w:r>
          </w:p>
        </w:tc>
        <w:tc>
          <w:tcPr>
            <w:tcW w:w="1193" w:type="dxa"/>
          </w:tcPr>
          <w:p w14:paraId="56BC9669" w14:textId="77777777" w:rsidR="00EA2B7F" w:rsidRPr="00CA3CDF" w:rsidRDefault="00F21F02" w:rsidP="00287E83">
            <w:pPr>
              <w:rPr>
                <w:sz w:val="18"/>
                <w:szCs w:val="18"/>
              </w:rPr>
            </w:pPr>
            <w:r w:rsidRPr="00CA3CDF">
              <w:rPr>
                <w:sz w:val="18"/>
                <w:szCs w:val="18"/>
              </w:rPr>
              <w:t>x</w:t>
            </w:r>
          </w:p>
        </w:tc>
        <w:tc>
          <w:tcPr>
            <w:tcW w:w="1225" w:type="dxa"/>
          </w:tcPr>
          <w:p w14:paraId="1BE32778" w14:textId="77777777" w:rsidR="00EA2B7F" w:rsidRPr="00CA3CDF" w:rsidRDefault="00F21F02" w:rsidP="00287E83">
            <w:pPr>
              <w:rPr>
                <w:sz w:val="18"/>
                <w:szCs w:val="18"/>
              </w:rPr>
            </w:pPr>
            <w:r w:rsidRPr="00CA3CDF">
              <w:rPr>
                <w:sz w:val="18"/>
                <w:szCs w:val="18"/>
              </w:rPr>
              <w:t>x</w:t>
            </w:r>
          </w:p>
        </w:tc>
        <w:tc>
          <w:tcPr>
            <w:tcW w:w="1212" w:type="dxa"/>
          </w:tcPr>
          <w:p w14:paraId="746DDA97" w14:textId="77777777" w:rsidR="00EA2B7F" w:rsidRPr="00CA3CDF" w:rsidRDefault="00EA2B7F" w:rsidP="00287E83">
            <w:pPr>
              <w:rPr>
                <w:sz w:val="18"/>
                <w:szCs w:val="18"/>
              </w:rPr>
            </w:pPr>
          </w:p>
        </w:tc>
        <w:tc>
          <w:tcPr>
            <w:tcW w:w="1225" w:type="dxa"/>
          </w:tcPr>
          <w:p w14:paraId="3567D54E" w14:textId="77777777" w:rsidR="00EA2B7F" w:rsidRDefault="004E38B8" w:rsidP="00287E83">
            <w:pPr>
              <w:rPr>
                <w:sz w:val="18"/>
                <w:szCs w:val="18"/>
              </w:rPr>
            </w:pPr>
            <w:r>
              <w:rPr>
                <w:sz w:val="18"/>
                <w:szCs w:val="18"/>
              </w:rPr>
              <w:t>x</w:t>
            </w:r>
          </w:p>
          <w:p w14:paraId="6B6EF450" w14:textId="77777777" w:rsidR="004E38B8" w:rsidRPr="004E38B8" w:rsidRDefault="004E38B8" w:rsidP="00287E83">
            <w:pPr>
              <w:rPr>
                <w:sz w:val="14"/>
                <w:szCs w:val="14"/>
              </w:rPr>
            </w:pPr>
            <w:r w:rsidRPr="004E38B8">
              <w:rPr>
                <w:sz w:val="14"/>
                <w:szCs w:val="14"/>
              </w:rPr>
              <w:t>Antes de comenzar TARV, durante los 2 primeros años en TARV o si aparece fallo virológico.</w:t>
            </w:r>
          </w:p>
          <w:p w14:paraId="1A9F9F3F" w14:textId="77777777" w:rsidR="00CA3CDF" w:rsidRPr="00CA3CDF" w:rsidRDefault="00CA3CDF" w:rsidP="00287E83">
            <w:pPr>
              <w:rPr>
                <w:sz w:val="18"/>
                <w:szCs w:val="18"/>
              </w:rPr>
            </w:pPr>
          </w:p>
        </w:tc>
        <w:tc>
          <w:tcPr>
            <w:tcW w:w="1186" w:type="dxa"/>
          </w:tcPr>
          <w:p w14:paraId="78ACE2DD" w14:textId="77777777" w:rsidR="00EA2B7F" w:rsidRPr="00CA3CDF" w:rsidRDefault="00EA2B7F" w:rsidP="00287E83">
            <w:pPr>
              <w:rPr>
                <w:sz w:val="18"/>
                <w:szCs w:val="18"/>
              </w:rPr>
            </w:pPr>
          </w:p>
        </w:tc>
        <w:tc>
          <w:tcPr>
            <w:tcW w:w="1198" w:type="dxa"/>
          </w:tcPr>
          <w:p w14:paraId="1B883438" w14:textId="77777777" w:rsidR="00EA2B7F" w:rsidRDefault="004E38B8" w:rsidP="00287E83">
            <w:pPr>
              <w:rPr>
                <w:sz w:val="18"/>
                <w:szCs w:val="18"/>
              </w:rPr>
            </w:pPr>
            <w:r>
              <w:rPr>
                <w:sz w:val="18"/>
                <w:szCs w:val="18"/>
              </w:rPr>
              <w:t>x</w:t>
            </w:r>
          </w:p>
          <w:p w14:paraId="53480C9A" w14:textId="77777777" w:rsidR="00CA3CDF" w:rsidRPr="004E38B8" w:rsidRDefault="004E38B8" w:rsidP="00287E83">
            <w:pPr>
              <w:rPr>
                <w:sz w:val="14"/>
                <w:szCs w:val="14"/>
              </w:rPr>
            </w:pPr>
            <w:r w:rsidRPr="004E38B8">
              <w:rPr>
                <w:sz w:val="14"/>
                <w:szCs w:val="14"/>
              </w:rPr>
              <w:t xml:space="preserve">Después de 2 años en TARV efectivo, y si el recuento de CD4 es superior a 350/mm3; el monitoreo de CD4 puede realizarse cada 12 meses. </w:t>
            </w:r>
          </w:p>
        </w:tc>
      </w:tr>
      <w:tr w:rsidR="00AF5F60" w14:paraId="17D6E5A0" w14:textId="77777777" w:rsidTr="00323462">
        <w:tc>
          <w:tcPr>
            <w:tcW w:w="1475" w:type="dxa"/>
          </w:tcPr>
          <w:p w14:paraId="578DF644" w14:textId="77777777" w:rsidR="00EA2B7F" w:rsidRPr="00CA3CDF" w:rsidRDefault="002B15AA" w:rsidP="00287E83">
            <w:pPr>
              <w:rPr>
                <w:sz w:val="18"/>
                <w:szCs w:val="18"/>
              </w:rPr>
            </w:pPr>
            <w:r w:rsidRPr="00CA3CDF">
              <w:rPr>
                <w:sz w:val="18"/>
                <w:szCs w:val="18"/>
              </w:rPr>
              <w:t>CARGA VIRAL HIV</w:t>
            </w:r>
          </w:p>
        </w:tc>
        <w:tc>
          <w:tcPr>
            <w:tcW w:w="1193" w:type="dxa"/>
          </w:tcPr>
          <w:p w14:paraId="7C2D641E" w14:textId="77777777" w:rsidR="00EA2B7F" w:rsidRPr="00CA3CDF" w:rsidRDefault="00F21F02" w:rsidP="00287E83">
            <w:pPr>
              <w:rPr>
                <w:sz w:val="18"/>
                <w:szCs w:val="18"/>
              </w:rPr>
            </w:pPr>
            <w:r w:rsidRPr="00CA3CDF">
              <w:rPr>
                <w:sz w:val="18"/>
                <w:szCs w:val="18"/>
              </w:rPr>
              <w:t>x</w:t>
            </w:r>
          </w:p>
        </w:tc>
        <w:tc>
          <w:tcPr>
            <w:tcW w:w="1225" w:type="dxa"/>
          </w:tcPr>
          <w:p w14:paraId="7466D5CC" w14:textId="77777777" w:rsidR="00EA2B7F" w:rsidRPr="00CA3CDF" w:rsidRDefault="00F21F02" w:rsidP="00287E83">
            <w:pPr>
              <w:rPr>
                <w:sz w:val="18"/>
                <w:szCs w:val="18"/>
              </w:rPr>
            </w:pPr>
            <w:r w:rsidRPr="00CA3CDF">
              <w:rPr>
                <w:sz w:val="18"/>
                <w:szCs w:val="18"/>
              </w:rPr>
              <w:t>x</w:t>
            </w:r>
          </w:p>
        </w:tc>
        <w:tc>
          <w:tcPr>
            <w:tcW w:w="1212" w:type="dxa"/>
          </w:tcPr>
          <w:p w14:paraId="2824D98A" w14:textId="77777777" w:rsidR="00EA2B7F" w:rsidRPr="00CA3CDF" w:rsidRDefault="00AF14DA" w:rsidP="00287E83">
            <w:pPr>
              <w:rPr>
                <w:sz w:val="18"/>
                <w:szCs w:val="18"/>
              </w:rPr>
            </w:pPr>
            <w:r w:rsidRPr="00CA3CDF">
              <w:rPr>
                <w:sz w:val="18"/>
                <w:szCs w:val="18"/>
              </w:rPr>
              <w:t>x</w:t>
            </w:r>
          </w:p>
        </w:tc>
        <w:tc>
          <w:tcPr>
            <w:tcW w:w="1225" w:type="dxa"/>
          </w:tcPr>
          <w:p w14:paraId="28BA424D" w14:textId="77777777" w:rsidR="004E38B8" w:rsidRPr="004E38B8" w:rsidRDefault="004E38B8" w:rsidP="00287E83">
            <w:pPr>
              <w:rPr>
                <w:sz w:val="18"/>
                <w:szCs w:val="18"/>
              </w:rPr>
            </w:pPr>
            <w:r>
              <w:rPr>
                <w:sz w:val="18"/>
                <w:szCs w:val="18"/>
              </w:rPr>
              <w:t>x</w:t>
            </w:r>
            <w:r w:rsidRPr="004E38B8">
              <w:rPr>
                <w:sz w:val="18"/>
                <w:szCs w:val="18"/>
              </w:rPr>
              <w:t xml:space="preserve"> </w:t>
            </w:r>
          </w:p>
          <w:p w14:paraId="0C8E3C2C" w14:textId="77777777" w:rsidR="00EA2B7F" w:rsidRPr="004E38B8" w:rsidRDefault="004E38B8" w:rsidP="00287E83">
            <w:pPr>
              <w:rPr>
                <w:sz w:val="14"/>
                <w:szCs w:val="14"/>
              </w:rPr>
            </w:pPr>
            <w:r w:rsidRPr="004E38B8">
              <w:rPr>
                <w:sz w:val="14"/>
                <w:szCs w:val="14"/>
              </w:rPr>
              <w:t>(</w:t>
            </w:r>
            <w:r w:rsidRPr="004E38B8">
              <w:rPr>
                <w:sz w:val="14"/>
                <w:szCs w:val="14"/>
                <w:u w:val="single"/>
              </w:rPr>
              <w:t>antes</w:t>
            </w:r>
            <w:r w:rsidRPr="004E38B8">
              <w:rPr>
                <w:sz w:val="14"/>
                <w:szCs w:val="14"/>
              </w:rPr>
              <w:t xml:space="preserve"> del inicio del TARV, es opcional monitorear la carga viral siempre que se monitoree el CD4 correctamente)</w:t>
            </w:r>
          </w:p>
        </w:tc>
        <w:tc>
          <w:tcPr>
            <w:tcW w:w="1186" w:type="dxa"/>
          </w:tcPr>
          <w:p w14:paraId="47A7204D" w14:textId="77777777" w:rsidR="00EA2B7F" w:rsidRPr="00CA3CDF" w:rsidRDefault="00EA2B7F" w:rsidP="00287E83">
            <w:pPr>
              <w:rPr>
                <w:sz w:val="18"/>
                <w:szCs w:val="18"/>
              </w:rPr>
            </w:pPr>
          </w:p>
        </w:tc>
        <w:tc>
          <w:tcPr>
            <w:tcW w:w="1198" w:type="dxa"/>
          </w:tcPr>
          <w:p w14:paraId="718F0C47" w14:textId="77777777" w:rsidR="00EA2B7F" w:rsidRPr="00CA3CDF" w:rsidRDefault="00EA2B7F" w:rsidP="00287E83">
            <w:pPr>
              <w:rPr>
                <w:sz w:val="18"/>
                <w:szCs w:val="18"/>
              </w:rPr>
            </w:pPr>
          </w:p>
        </w:tc>
      </w:tr>
      <w:tr w:rsidR="00AF5F60" w14:paraId="0A745A84" w14:textId="77777777" w:rsidTr="00323462">
        <w:tc>
          <w:tcPr>
            <w:tcW w:w="1475" w:type="dxa"/>
          </w:tcPr>
          <w:p w14:paraId="2A33D8E8" w14:textId="77777777" w:rsidR="00EA2B7F" w:rsidRPr="00CA3CDF" w:rsidRDefault="002B15AA" w:rsidP="00287E83">
            <w:pPr>
              <w:rPr>
                <w:sz w:val="18"/>
                <w:szCs w:val="18"/>
              </w:rPr>
            </w:pPr>
            <w:r w:rsidRPr="00CA3CDF">
              <w:rPr>
                <w:sz w:val="18"/>
                <w:szCs w:val="18"/>
              </w:rPr>
              <w:t>SEROLOGIA HBV</w:t>
            </w:r>
          </w:p>
        </w:tc>
        <w:tc>
          <w:tcPr>
            <w:tcW w:w="1193" w:type="dxa"/>
          </w:tcPr>
          <w:p w14:paraId="22151573" w14:textId="77777777" w:rsidR="00EA2B7F" w:rsidRPr="00CA3CDF" w:rsidRDefault="00F21F02" w:rsidP="00287E83">
            <w:pPr>
              <w:rPr>
                <w:sz w:val="18"/>
                <w:szCs w:val="18"/>
              </w:rPr>
            </w:pPr>
            <w:r w:rsidRPr="00CA3CDF">
              <w:rPr>
                <w:sz w:val="18"/>
                <w:szCs w:val="18"/>
              </w:rPr>
              <w:t>x</w:t>
            </w:r>
          </w:p>
        </w:tc>
        <w:tc>
          <w:tcPr>
            <w:tcW w:w="1225" w:type="dxa"/>
          </w:tcPr>
          <w:p w14:paraId="1DE4961A" w14:textId="77777777" w:rsidR="00EA2B7F" w:rsidRDefault="004E38B8" w:rsidP="00287E83">
            <w:pPr>
              <w:rPr>
                <w:sz w:val="18"/>
                <w:szCs w:val="18"/>
              </w:rPr>
            </w:pPr>
            <w:r w:rsidRPr="00CA3CDF">
              <w:rPr>
                <w:sz w:val="18"/>
                <w:szCs w:val="18"/>
              </w:rPr>
              <w:t>X</w:t>
            </w:r>
          </w:p>
          <w:p w14:paraId="655F1532" w14:textId="77777777" w:rsidR="004E38B8" w:rsidRPr="004E38B8" w:rsidRDefault="004E38B8" w:rsidP="00287E83">
            <w:pPr>
              <w:rPr>
                <w:sz w:val="14"/>
                <w:szCs w:val="14"/>
              </w:rPr>
            </w:pPr>
            <w:r w:rsidRPr="004E38B8">
              <w:rPr>
                <w:sz w:val="14"/>
                <w:szCs w:val="14"/>
              </w:rPr>
              <w:t>(si la serología previa era negativa y no recibió vacuna)</w:t>
            </w:r>
          </w:p>
        </w:tc>
        <w:tc>
          <w:tcPr>
            <w:tcW w:w="1212" w:type="dxa"/>
          </w:tcPr>
          <w:p w14:paraId="0BBD1062" w14:textId="77777777" w:rsidR="00EA2B7F" w:rsidRPr="00CA3CDF" w:rsidRDefault="00EA2B7F" w:rsidP="00287E83">
            <w:pPr>
              <w:rPr>
                <w:sz w:val="18"/>
                <w:szCs w:val="18"/>
              </w:rPr>
            </w:pPr>
          </w:p>
        </w:tc>
        <w:tc>
          <w:tcPr>
            <w:tcW w:w="1225" w:type="dxa"/>
          </w:tcPr>
          <w:p w14:paraId="6F2A44AF" w14:textId="77777777" w:rsidR="00EA2B7F" w:rsidRPr="00CA3CDF" w:rsidRDefault="00EA2B7F" w:rsidP="00287E83">
            <w:pPr>
              <w:rPr>
                <w:sz w:val="18"/>
                <w:szCs w:val="18"/>
              </w:rPr>
            </w:pPr>
          </w:p>
        </w:tc>
        <w:tc>
          <w:tcPr>
            <w:tcW w:w="1186" w:type="dxa"/>
          </w:tcPr>
          <w:p w14:paraId="4399D98C" w14:textId="77777777" w:rsidR="00EA2B7F" w:rsidRPr="00CA3CDF" w:rsidRDefault="00EA2B7F" w:rsidP="00287E83">
            <w:pPr>
              <w:rPr>
                <w:sz w:val="18"/>
                <w:szCs w:val="18"/>
              </w:rPr>
            </w:pPr>
          </w:p>
        </w:tc>
        <w:tc>
          <w:tcPr>
            <w:tcW w:w="1198" w:type="dxa"/>
          </w:tcPr>
          <w:p w14:paraId="003B9FF6" w14:textId="77777777" w:rsidR="00EA2B7F" w:rsidRPr="00CA3CDF" w:rsidRDefault="00EA2B7F" w:rsidP="00287E83">
            <w:pPr>
              <w:rPr>
                <w:sz w:val="18"/>
                <w:szCs w:val="18"/>
              </w:rPr>
            </w:pPr>
          </w:p>
        </w:tc>
      </w:tr>
      <w:tr w:rsidR="00AF5F60" w14:paraId="59361960" w14:textId="77777777" w:rsidTr="00323462">
        <w:tc>
          <w:tcPr>
            <w:tcW w:w="1475" w:type="dxa"/>
          </w:tcPr>
          <w:p w14:paraId="2CC12BA2" w14:textId="77777777" w:rsidR="00EA2B7F" w:rsidRPr="00CA3CDF" w:rsidRDefault="002B15AA" w:rsidP="00287E83">
            <w:pPr>
              <w:rPr>
                <w:sz w:val="18"/>
                <w:szCs w:val="18"/>
              </w:rPr>
            </w:pPr>
            <w:r w:rsidRPr="00CA3CDF">
              <w:rPr>
                <w:sz w:val="18"/>
                <w:szCs w:val="18"/>
              </w:rPr>
              <w:t>SEROLOGIA HCV</w:t>
            </w:r>
          </w:p>
        </w:tc>
        <w:tc>
          <w:tcPr>
            <w:tcW w:w="1193" w:type="dxa"/>
          </w:tcPr>
          <w:p w14:paraId="09B3B81E" w14:textId="77777777" w:rsidR="00EA2B7F" w:rsidRPr="00CA3CDF" w:rsidRDefault="00F21F02" w:rsidP="00287E83">
            <w:pPr>
              <w:rPr>
                <w:sz w:val="18"/>
                <w:szCs w:val="18"/>
              </w:rPr>
            </w:pPr>
            <w:r w:rsidRPr="00CA3CDF">
              <w:rPr>
                <w:sz w:val="18"/>
                <w:szCs w:val="18"/>
              </w:rPr>
              <w:t>x</w:t>
            </w:r>
          </w:p>
        </w:tc>
        <w:tc>
          <w:tcPr>
            <w:tcW w:w="1225" w:type="dxa"/>
          </w:tcPr>
          <w:p w14:paraId="4EAB0C0F" w14:textId="77777777" w:rsidR="00EA2B7F" w:rsidRPr="00CA3CDF" w:rsidRDefault="00EA2B7F" w:rsidP="00287E83">
            <w:pPr>
              <w:rPr>
                <w:sz w:val="18"/>
                <w:szCs w:val="18"/>
              </w:rPr>
            </w:pPr>
          </w:p>
        </w:tc>
        <w:tc>
          <w:tcPr>
            <w:tcW w:w="1212" w:type="dxa"/>
          </w:tcPr>
          <w:p w14:paraId="12FA83A4" w14:textId="77777777" w:rsidR="00EA2B7F" w:rsidRPr="00CA3CDF" w:rsidRDefault="00EA2B7F" w:rsidP="00287E83">
            <w:pPr>
              <w:rPr>
                <w:sz w:val="18"/>
                <w:szCs w:val="18"/>
              </w:rPr>
            </w:pPr>
          </w:p>
        </w:tc>
        <w:tc>
          <w:tcPr>
            <w:tcW w:w="1225" w:type="dxa"/>
          </w:tcPr>
          <w:p w14:paraId="2F98E0D4" w14:textId="77777777" w:rsidR="00EA2B7F" w:rsidRPr="00CA3CDF" w:rsidRDefault="00EA2B7F" w:rsidP="00287E83">
            <w:pPr>
              <w:rPr>
                <w:sz w:val="18"/>
                <w:szCs w:val="18"/>
              </w:rPr>
            </w:pPr>
          </w:p>
        </w:tc>
        <w:tc>
          <w:tcPr>
            <w:tcW w:w="1186" w:type="dxa"/>
          </w:tcPr>
          <w:p w14:paraId="16F5EBFA" w14:textId="77777777" w:rsidR="00EA2B7F" w:rsidRPr="00CA3CDF" w:rsidRDefault="00EA2B7F" w:rsidP="00287E83">
            <w:pPr>
              <w:rPr>
                <w:sz w:val="18"/>
                <w:szCs w:val="18"/>
              </w:rPr>
            </w:pPr>
          </w:p>
        </w:tc>
        <w:tc>
          <w:tcPr>
            <w:tcW w:w="1198" w:type="dxa"/>
          </w:tcPr>
          <w:p w14:paraId="736A89D1" w14:textId="77777777" w:rsidR="00EA2B7F" w:rsidRPr="00CA3CDF" w:rsidRDefault="00EA2B7F" w:rsidP="00287E83">
            <w:pPr>
              <w:rPr>
                <w:sz w:val="18"/>
                <w:szCs w:val="18"/>
              </w:rPr>
            </w:pPr>
          </w:p>
        </w:tc>
      </w:tr>
      <w:tr w:rsidR="00AF5F60" w14:paraId="5BFEC309" w14:textId="77777777" w:rsidTr="00323462">
        <w:tc>
          <w:tcPr>
            <w:tcW w:w="1475" w:type="dxa"/>
          </w:tcPr>
          <w:p w14:paraId="0B785ADC" w14:textId="77777777" w:rsidR="00EA2B7F" w:rsidRPr="00CA3CDF" w:rsidRDefault="002B15AA" w:rsidP="00287E83">
            <w:pPr>
              <w:rPr>
                <w:sz w:val="18"/>
                <w:szCs w:val="18"/>
              </w:rPr>
            </w:pPr>
            <w:r w:rsidRPr="00CA3CDF">
              <w:rPr>
                <w:sz w:val="18"/>
                <w:szCs w:val="18"/>
              </w:rPr>
              <w:t>QUIMICA BASICA</w:t>
            </w:r>
          </w:p>
        </w:tc>
        <w:tc>
          <w:tcPr>
            <w:tcW w:w="1193" w:type="dxa"/>
          </w:tcPr>
          <w:p w14:paraId="23425B60" w14:textId="77777777" w:rsidR="00EA2B7F" w:rsidRPr="00CA3CDF" w:rsidRDefault="00F21F02" w:rsidP="00287E83">
            <w:pPr>
              <w:rPr>
                <w:sz w:val="18"/>
                <w:szCs w:val="18"/>
              </w:rPr>
            </w:pPr>
            <w:r w:rsidRPr="00CA3CDF">
              <w:rPr>
                <w:sz w:val="18"/>
                <w:szCs w:val="18"/>
              </w:rPr>
              <w:t>x</w:t>
            </w:r>
          </w:p>
        </w:tc>
        <w:tc>
          <w:tcPr>
            <w:tcW w:w="1225" w:type="dxa"/>
          </w:tcPr>
          <w:p w14:paraId="43B84738" w14:textId="77777777" w:rsidR="00EA2B7F" w:rsidRPr="00CA3CDF" w:rsidRDefault="00F21F02" w:rsidP="00287E83">
            <w:pPr>
              <w:rPr>
                <w:sz w:val="18"/>
                <w:szCs w:val="18"/>
              </w:rPr>
            </w:pPr>
            <w:r w:rsidRPr="00CA3CDF">
              <w:rPr>
                <w:sz w:val="18"/>
                <w:szCs w:val="18"/>
              </w:rPr>
              <w:t>x</w:t>
            </w:r>
          </w:p>
        </w:tc>
        <w:tc>
          <w:tcPr>
            <w:tcW w:w="1212" w:type="dxa"/>
          </w:tcPr>
          <w:p w14:paraId="0F9104EA" w14:textId="77777777" w:rsidR="00EA2B7F" w:rsidRPr="00CA3CDF" w:rsidRDefault="00EA2B7F" w:rsidP="00287E83">
            <w:pPr>
              <w:rPr>
                <w:sz w:val="18"/>
                <w:szCs w:val="18"/>
              </w:rPr>
            </w:pPr>
          </w:p>
        </w:tc>
        <w:tc>
          <w:tcPr>
            <w:tcW w:w="1225" w:type="dxa"/>
          </w:tcPr>
          <w:p w14:paraId="4976491E" w14:textId="77777777" w:rsidR="00EA2B7F" w:rsidRPr="00CA3CDF" w:rsidRDefault="004E38B8" w:rsidP="00287E83">
            <w:pPr>
              <w:rPr>
                <w:sz w:val="18"/>
                <w:szCs w:val="18"/>
              </w:rPr>
            </w:pPr>
            <w:r>
              <w:rPr>
                <w:sz w:val="18"/>
                <w:szCs w:val="18"/>
              </w:rPr>
              <w:t>x</w:t>
            </w:r>
          </w:p>
        </w:tc>
        <w:tc>
          <w:tcPr>
            <w:tcW w:w="1186" w:type="dxa"/>
          </w:tcPr>
          <w:p w14:paraId="59DFE202" w14:textId="77777777" w:rsidR="00EA2B7F" w:rsidRPr="00CA3CDF" w:rsidRDefault="00EA2B7F" w:rsidP="00287E83">
            <w:pPr>
              <w:rPr>
                <w:sz w:val="18"/>
                <w:szCs w:val="18"/>
              </w:rPr>
            </w:pPr>
          </w:p>
        </w:tc>
        <w:tc>
          <w:tcPr>
            <w:tcW w:w="1198" w:type="dxa"/>
          </w:tcPr>
          <w:p w14:paraId="7CEE45F5" w14:textId="77777777" w:rsidR="00EA2B7F" w:rsidRPr="00CA3CDF" w:rsidRDefault="00EA2B7F" w:rsidP="00287E83">
            <w:pPr>
              <w:rPr>
                <w:sz w:val="18"/>
                <w:szCs w:val="18"/>
              </w:rPr>
            </w:pPr>
          </w:p>
        </w:tc>
      </w:tr>
      <w:tr w:rsidR="00AF5F60" w14:paraId="4CB5CF8D" w14:textId="77777777" w:rsidTr="00323462">
        <w:tc>
          <w:tcPr>
            <w:tcW w:w="1475" w:type="dxa"/>
          </w:tcPr>
          <w:p w14:paraId="578D13FF" w14:textId="77777777" w:rsidR="00EA2B7F" w:rsidRPr="00CA3CDF" w:rsidRDefault="002B15AA" w:rsidP="00287E83">
            <w:pPr>
              <w:rPr>
                <w:sz w:val="18"/>
                <w:szCs w:val="18"/>
              </w:rPr>
            </w:pPr>
            <w:r w:rsidRPr="00CA3CDF">
              <w:rPr>
                <w:sz w:val="18"/>
                <w:szCs w:val="18"/>
              </w:rPr>
              <w:t>HEPATOGRAMA</w:t>
            </w:r>
          </w:p>
        </w:tc>
        <w:tc>
          <w:tcPr>
            <w:tcW w:w="1193" w:type="dxa"/>
          </w:tcPr>
          <w:p w14:paraId="5A4514C5" w14:textId="77777777" w:rsidR="00EA2B7F" w:rsidRPr="00CA3CDF" w:rsidRDefault="00F21F02" w:rsidP="00287E83">
            <w:pPr>
              <w:rPr>
                <w:sz w:val="18"/>
                <w:szCs w:val="18"/>
              </w:rPr>
            </w:pPr>
            <w:r w:rsidRPr="00CA3CDF">
              <w:rPr>
                <w:sz w:val="18"/>
                <w:szCs w:val="18"/>
              </w:rPr>
              <w:t>x</w:t>
            </w:r>
          </w:p>
        </w:tc>
        <w:tc>
          <w:tcPr>
            <w:tcW w:w="1225" w:type="dxa"/>
          </w:tcPr>
          <w:p w14:paraId="273AC26D" w14:textId="77777777" w:rsidR="00EA2B7F" w:rsidRPr="00CA3CDF" w:rsidRDefault="00F21F02" w:rsidP="00287E83">
            <w:pPr>
              <w:rPr>
                <w:sz w:val="18"/>
                <w:szCs w:val="18"/>
              </w:rPr>
            </w:pPr>
            <w:r w:rsidRPr="00CA3CDF">
              <w:rPr>
                <w:sz w:val="18"/>
                <w:szCs w:val="18"/>
              </w:rPr>
              <w:t>x</w:t>
            </w:r>
          </w:p>
        </w:tc>
        <w:tc>
          <w:tcPr>
            <w:tcW w:w="1212" w:type="dxa"/>
          </w:tcPr>
          <w:p w14:paraId="1441A8EA" w14:textId="77777777" w:rsidR="00EA2B7F" w:rsidRPr="00CA3CDF" w:rsidRDefault="00EA2B7F" w:rsidP="00287E83">
            <w:pPr>
              <w:rPr>
                <w:sz w:val="18"/>
                <w:szCs w:val="18"/>
              </w:rPr>
            </w:pPr>
          </w:p>
        </w:tc>
        <w:tc>
          <w:tcPr>
            <w:tcW w:w="1225" w:type="dxa"/>
          </w:tcPr>
          <w:p w14:paraId="35F9E044" w14:textId="77777777" w:rsidR="00EA2B7F" w:rsidRPr="00CA3CDF" w:rsidRDefault="004E38B8" w:rsidP="00287E83">
            <w:pPr>
              <w:rPr>
                <w:sz w:val="18"/>
                <w:szCs w:val="18"/>
              </w:rPr>
            </w:pPr>
            <w:r>
              <w:rPr>
                <w:sz w:val="18"/>
                <w:szCs w:val="18"/>
              </w:rPr>
              <w:t>x</w:t>
            </w:r>
          </w:p>
        </w:tc>
        <w:tc>
          <w:tcPr>
            <w:tcW w:w="1186" w:type="dxa"/>
          </w:tcPr>
          <w:p w14:paraId="4E1D6093" w14:textId="77777777" w:rsidR="00EA2B7F" w:rsidRPr="00CA3CDF" w:rsidRDefault="00EA2B7F" w:rsidP="00287E83">
            <w:pPr>
              <w:rPr>
                <w:sz w:val="18"/>
                <w:szCs w:val="18"/>
              </w:rPr>
            </w:pPr>
          </w:p>
        </w:tc>
        <w:tc>
          <w:tcPr>
            <w:tcW w:w="1198" w:type="dxa"/>
          </w:tcPr>
          <w:p w14:paraId="580ED95E" w14:textId="77777777" w:rsidR="00EA2B7F" w:rsidRPr="00CA3CDF" w:rsidRDefault="00EA2B7F" w:rsidP="00287E83">
            <w:pPr>
              <w:rPr>
                <w:sz w:val="18"/>
                <w:szCs w:val="18"/>
              </w:rPr>
            </w:pPr>
          </w:p>
        </w:tc>
      </w:tr>
      <w:tr w:rsidR="00AF5F60" w14:paraId="4FADDB8D" w14:textId="77777777" w:rsidTr="00323462">
        <w:tc>
          <w:tcPr>
            <w:tcW w:w="1475" w:type="dxa"/>
          </w:tcPr>
          <w:p w14:paraId="75E83D58" w14:textId="77777777" w:rsidR="00EA2B7F" w:rsidRPr="00CA3CDF" w:rsidRDefault="002B15AA" w:rsidP="00287E83">
            <w:pPr>
              <w:rPr>
                <w:sz w:val="18"/>
                <w:szCs w:val="18"/>
              </w:rPr>
            </w:pPr>
            <w:r w:rsidRPr="00CA3CDF">
              <w:rPr>
                <w:sz w:val="18"/>
                <w:szCs w:val="18"/>
              </w:rPr>
              <w:t>HEMOGRAMA</w:t>
            </w:r>
          </w:p>
        </w:tc>
        <w:tc>
          <w:tcPr>
            <w:tcW w:w="1193" w:type="dxa"/>
          </w:tcPr>
          <w:p w14:paraId="6986531A" w14:textId="77777777" w:rsidR="00EA2B7F" w:rsidRPr="00CA3CDF" w:rsidRDefault="00F21F02" w:rsidP="00287E83">
            <w:pPr>
              <w:rPr>
                <w:sz w:val="18"/>
                <w:szCs w:val="18"/>
              </w:rPr>
            </w:pPr>
            <w:r w:rsidRPr="00CA3CDF">
              <w:rPr>
                <w:sz w:val="18"/>
                <w:szCs w:val="18"/>
              </w:rPr>
              <w:t>x</w:t>
            </w:r>
          </w:p>
        </w:tc>
        <w:tc>
          <w:tcPr>
            <w:tcW w:w="1225" w:type="dxa"/>
          </w:tcPr>
          <w:p w14:paraId="612EE948" w14:textId="77777777" w:rsidR="00EA2B7F" w:rsidRPr="00CA3CDF" w:rsidRDefault="00F21F02" w:rsidP="00287E83">
            <w:pPr>
              <w:rPr>
                <w:sz w:val="18"/>
                <w:szCs w:val="18"/>
              </w:rPr>
            </w:pPr>
            <w:r w:rsidRPr="00CA3CDF">
              <w:rPr>
                <w:sz w:val="18"/>
                <w:szCs w:val="18"/>
              </w:rPr>
              <w:t>x</w:t>
            </w:r>
          </w:p>
        </w:tc>
        <w:tc>
          <w:tcPr>
            <w:tcW w:w="1212" w:type="dxa"/>
          </w:tcPr>
          <w:p w14:paraId="5FB84B04" w14:textId="77777777" w:rsidR="00EA2B7F" w:rsidRDefault="00AF5F60" w:rsidP="004E38B8">
            <w:pPr>
              <w:rPr>
                <w:sz w:val="18"/>
                <w:szCs w:val="18"/>
              </w:rPr>
            </w:pPr>
            <w:r>
              <w:rPr>
                <w:sz w:val="18"/>
                <w:szCs w:val="18"/>
              </w:rPr>
              <w:t>x</w:t>
            </w:r>
            <w:r w:rsidR="00CA3CDF" w:rsidRPr="00CA3CDF">
              <w:rPr>
                <w:sz w:val="18"/>
                <w:szCs w:val="18"/>
              </w:rPr>
              <w:t xml:space="preserve"> </w:t>
            </w:r>
          </w:p>
          <w:p w14:paraId="3C22CCD1" w14:textId="77777777" w:rsidR="004E38B8" w:rsidRPr="004E38B8" w:rsidRDefault="004E38B8" w:rsidP="004E38B8">
            <w:pPr>
              <w:rPr>
                <w:sz w:val="14"/>
                <w:szCs w:val="14"/>
              </w:rPr>
            </w:pPr>
            <w:r w:rsidRPr="004E38B8">
              <w:rPr>
                <w:sz w:val="14"/>
                <w:szCs w:val="14"/>
              </w:rPr>
              <w:t>(si se utiliza AZT)</w:t>
            </w:r>
          </w:p>
        </w:tc>
        <w:tc>
          <w:tcPr>
            <w:tcW w:w="1225" w:type="dxa"/>
          </w:tcPr>
          <w:p w14:paraId="1E184B24" w14:textId="77777777" w:rsidR="00EA2B7F" w:rsidRPr="00CA3CDF" w:rsidRDefault="00EA2B7F" w:rsidP="00287E83">
            <w:pPr>
              <w:rPr>
                <w:sz w:val="18"/>
                <w:szCs w:val="18"/>
              </w:rPr>
            </w:pPr>
          </w:p>
        </w:tc>
        <w:tc>
          <w:tcPr>
            <w:tcW w:w="1186" w:type="dxa"/>
          </w:tcPr>
          <w:p w14:paraId="2507560F" w14:textId="77777777" w:rsidR="00EA2B7F" w:rsidRPr="00CA3CDF" w:rsidRDefault="001B0322" w:rsidP="00287E83">
            <w:pPr>
              <w:rPr>
                <w:sz w:val="18"/>
                <w:szCs w:val="18"/>
              </w:rPr>
            </w:pPr>
            <w:r w:rsidRPr="00CA3CDF">
              <w:rPr>
                <w:sz w:val="18"/>
                <w:szCs w:val="18"/>
              </w:rPr>
              <w:t>x</w:t>
            </w:r>
          </w:p>
        </w:tc>
        <w:tc>
          <w:tcPr>
            <w:tcW w:w="1198" w:type="dxa"/>
          </w:tcPr>
          <w:p w14:paraId="257D36D9" w14:textId="77777777" w:rsidR="00EA2B7F" w:rsidRPr="00CA3CDF" w:rsidRDefault="00EA2B7F" w:rsidP="00287E83">
            <w:pPr>
              <w:rPr>
                <w:sz w:val="18"/>
                <w:szCs w:val="18"/>
              </w:rPr>
            </w:pPr>
          </w:p>
        </w:tc>
      </w:tr>
      <w:tr w:rsidR="00AF5F60" w14:paraId="45B5C7A6" w14:textId="77777777" w:rsidTr="00323462">
        <w:tc>
          <w:tcPr>
            <w:tcW w:w="1475" w:type="dxa"/>
          </w:tcPr>
          <w:p w14:paraId="5BCC9D51" w14:textId="77777777" w:rsidR="00EA2B7F" w:rsidRPr="00CA3CDF" w:rsidRDefault="002B15AA" w:rsidP="00287E83">
            <w:pPr>
              <w:rPr>
                <w:sz w:val="18"/>
                <w:szCs w:val="18"/>
              </w:rPr>
            </w:pPr>
            <w:r w:rsidRPr="00CA3CDF">
              <w:rPr>
                <w:sz w:val="18"/>
                <w:szCs w:val="18"/>
              </w:rPr>
              <w:t>PERFIL LIPÍDICO</w:t>
            </w:r>
          </w:p>
        </w:tc>
        <w:tc>
          <w:tcPr>
            <w:tcW w:w="1193" w:type="dxa"/>
          </w:tcPr>
          <w:p w14:paraId="53BC183F" w14:textId="77777777" w:rsidR="00EA2B7F" w:rsidRPr="00CA3CDF" w:rsidRDefault="00F21F02" w:rsidP="00287E83">
            <w:pPr>
              <w:rPr>
                <w:sz w:val="18"/>
                <w:szCs w:val="18"/>
              </w:rPr>
            </w:pPr>
            <w:r w:rsidRPr="00CA3CDF">
              <w:rPr>
                <w:sz w:val="18"/>
                <w:szCs w:val="18"/>
              </w:rPr>
              <w:t>x</w:t>
            </w:r>
          </w:p>
        </w:tc>
        <w:tc>
          <w:tcPr>
            <w:tcW w:w="1225" w:type="dxa"/>
          </w:tcPr>
          <w:p w14:paraId="71FB1156" w14:textId="77777777" w:rsidR="00EA2B7F" w:rsidRPr="00CA3CDF" w:rsidRDefault="00EA2B7F" w:rsidP="00287E83">
            <w:pPr>
              <w:rPr>
                <w:sz w:val="18"/>
                <w:szCs w:val="18"/>
              </w:rPr>
            </w:pPr>
          </w:p>
        </w:tc>
        <w:tc>
          <w:tcPr>
            <w:tcW w:w="1212" w:type="dxa"/>
          </w:tcPr>
          <w:p w14:paraId="47D4F206" w14:textId="77777777" w:rsidR="00EA2B7F" w:rsidRDefault="00AF5F60" w:rsidP="004E38B8">
            <w:pPr>
              <w:rPr>
                <w:sz w:val="18"/>
                <w:szCs w:val="18"/>
              </w:rPr>
            </w:pPr>
            <w:r>
              <w:rPr>
                <w:sz w:val="18"/>
                <w:szCs w:val="18"/>
              </w:rPr>
              <w:t>x</w:t>
            </w:r>
            <w:r w:rsidR="00CA3CDF" w:rsidRPr="00CA3CDF">
              <w:rPr>
                <w:sz w:val="18"/>
                <w:szCs w:val="18"/>
              </w:rPr>
              <w:t xml:space="preserve"> </w:t>
            </w:r>
          </w:p>
          <w:p w14:paraId="4F55ABAB" w14:textId="77777777" w:rsidR="004E38B8" w:rsidRPr="00AF5F60" w:rsidRDefault="00AF5F60" w:rsidP="004E38B8">
            <w:pPr>
              <w:rPr>
                <w:sz w:val="14"/>
                <w:szCs w:val="14"/>
              </w:rPr>
            </w:pPr>
            <w:r>
              <w:rPr>
                <w:sz w:val="14"/>
                <w:szCs w:val="14"/>
              </w:rPr>
              <w:t>(s</w:t>
            </w:r>
            <w:r w:rsidR="004E38B8" w:rsidRPr="00AF5F60">
              <w:rPr>
                <w:sz w:val="14"/>
                <w:szCs w:val="14"/>
              </w:rPr>
              <w:t>i se utiliza un esquema</w:t>
            </w:r>
            <w:r w:rsidRPr="00AF5F60">
              <w:rPr>
                <w:sz w:val="14"/>
                <w:szCs w:val="14"/>
              </w:rPr>
              <w:t xml:space="preserve"> asociado con dislipidemia)</w:t>
            </w:r>
            <w:r w:rsidR="004E38B8" w:rsidRPr="00AF5F60">
              <w:rPr>
                <w:sz w:val="14"/>
                <w:szCs w:val="14"/>
              </w:rPr>
              <w:t xml:space="preserve"> </w:t>
            </w:r>
          </w:p>
        </w:tc>
        <w:tc>
          <w:tcPr>
            <w:tcW w:w="1225" w:type="dxa"/>
          </w:tcPr>
          <w:p w14:paraId="24A790A5" w14:textId="77777777" w:rsidR="00EA2B7F" w:rsidRPr="00CA3CDF" w:rsidRDefault="00EA2B7F" w:rsidP="00287E83">
            <w:pPr>
              <w:rPr>
                <w:sz w:val="18"/>
                <w:szCs w:val="18"/>
              </w:rPr>
            </w:pPr>
          </w:p>
        </w:tc>
        <w:tc>
          <w:tcPr>
            <w:tcW w:w="1186" w:type="dxa"/>
          </w:tcPr>
          <w:p w14:paraId="4B64D565" w14:textId="77777777" w:rsidR="00EA2B7F" w:rsidRPr="00CA3CDF" w:rsidRDefault="00EA2B7F" w:rsidP="00287E83">
            <w:pPr>
              <w:rPr>
                <w:sz w:val="18"/>
                <w:szCs w:val="18"/>
              </w:rPr>
            </w:pPr>
          </w:p>
        </w:tc>
        <w:tc>
          <w:tcPr>
            <w:tcW w:w="1198" w:type="dxa"/>
          </w:tcPr>
          <w:p w14:paraId="765B5A28" w14:textId="77777777" w:rsidR="00EA2B7F" w:rsidRDefault="00AF5F60" w:rsidP="00287E83">
            <w:pPr>
              <w:rPr>
                <w:sz w:val="18"/>
                <w:szCs w:val="18"/>
              </w:rPr>
            </w:pPr>
            <w:r>
              <w:rPr>
                <w:sz w:val="18"/>
                <w:szCs w:val="18"/>
              </w:rPr>
              <w:t>x</w:t>
            </w:r>
          </w:p>
          <w:p w14:paraId="299EA1E6" w14:textId="77777777" w:rsidR="00AF5F60" w:rsidRPr="00CA3CDF" w:rsidRDefault="00AF5F60" w:rsidP="00287E83">
            <w:pPr>
              <w:rPr>
                <w:sz w:val="18"/>
                <w:szCs w:val="18"/>
              </w:rPr>
            </w:pPr>
            <w:r w:rsidRPr="00AF5F60">
              <w:rPr>
                <w:sz w:val="14"/>
                <w:szCs w:val="14"/>
              </w:rPr>
              <w:t>(si el resultado previo es normal, sino solicitar según situación clínica)</w:t>
            </w:r>
          </w:p>
        </w:tc>
      </w:tr>
      <w:tr w:rsidR="00AF5F60" w14:paraId="4DAE9C36" w14:textId="77777777" w:rsidTr="00323462">
        <w:tc>
          <w:tcPr>
            <w:tcW w:w="1475" w:type="dxa"/>
          </w:tcPr>
          <w:p w14:paraId="69B91600" w14:textId="77777777" w:rsidR="00EA2B7F" w:rsidRPr="00CA3CDF" w:rsidRDefault="002B15AA" w:rsidP="00287E83">
            <w:pPr>
              <w:rPr>
                <w:sz w:val="18"/>
                <w:szCs w:val="18"/>
              </w:rPr>
            </w:pPr>
            <w:r w:rsidRPr="00CA3CDF">
              <w:rPr>
                <w:sz w:val="18"/>
                <w:szCs w:val="18"/>
              </w:rPr>
              <w:t>GLUCEMIA EN AYUNAS</w:t>
            </w:r>
          </w:p>
        </w:tc>
        <w:tc>
          <w:tcPr>
            <w:tcW w:w="1193" w:type="dxa"/>
          </w:tcPr>
          <w:p w14:paraId="7C8DF103" w14:textId="77777777" w:rsidR="00EA2B7F" w:rsidRPr="00CA3CDF" w:rsidRDefault="00F21F02" w:rsidP="00287E83">
            <w:pPr>
              <w:rPr>
                <w:sz w:val="18"/>
                <w:szCs w:val="18"/>
              </w:rPr>
            </w:pPr>
            <w:r w:rsidRPr="00CA3CDF">
              <w:rPr>
                <w:sz w:val="18"/>
                <w:szCs w:val="18"/>
              </w:rPr>
              <w:t>x</w:t>
            </w:r>
          </w:p>
        </w:tc>
        <w:tc>
          <w:tcPr>
            <w:tcW w:w="1225" w:type="dxa"/>
          </w:tcPr>
          <w:p w14:paraId="6C63F952" w14:textId="77777777" w:rsidR="00EA2B7F" w:rsidRPr="00CA3CDF" w:rsidRDefault="00EA2B7F" w:rsidP="00287E83">
            <w:pPr>
              <w:rPr>
                <w:sz w:val="18"/>
                <w:szCs w:val="18"/>
              </w:rPr>
            </w:pPr>
          </w:p>
        </w:tc>
        <w:tc>
          <w:tcPr>
            <w:tcW w:w="1212" w:type="dxa"/>
          </w:tcPr>
          <w:p w14:paraId="5260BB18" w14:textId="77777777" w:rsidR="00EA2B7F" w:rsidRPr="00CA3CDF" w:rsidRDefault="00EA2B7F" w:rsidP="00287E83">
            <w:pPr>
              <w:rPr>
                <w:sz w:val="18"/>
                <w:szCs w:val="18"/>
              </w:rPr>
            </w:pPr>
          </w:p>
        </w:tc>
        <w:tc>
          <w:tcPr>
            <w:tcW w:w="1225" w:type="dxa"/>
          </w:tcPr>
          <w:p w14:paraId="63F66EBE" w14:textId="77777777" w:rsidR="00EA2B7F" w:rsidRPr="00CA3CDF" w:rsidRDefault="00EA2B7F" w:rsidP="00287E83">
            <w:pPr>
              <w:rPr>
                <w:sz w:val="18"/>
                <w:szCs w:val="18"/>
              </w:rPr>
            </w:pPr>
          </w:p>
        </w:tc>
        <w:tc>
          <w:tcPr>
            <w:tcW w:w="1186" w:type="dxa"/>
          </w:tcPr>
          <w:p w14:paraId="000365DD" w14:textId="77777777" w:rsidR="00EA2B7F" w:rsidRPr="00CA3CDF" w:rsidRDefault="00EA2B7F" w:rsidP="00287E83">
            <w:pPr>
              <w:rPr>
                <w:sz w:val="18"/>
                <w:szCs w:val="18"/>
              </w:rPr>
            </w:pPr>
          </w:p>
        </w:tc>
        <w:tc>
          <w:tcPr>
            <w:tcW w:w="1198" w:type="dxa"/>
          </w:tcPr>
          <w:p w14:paraId="1D6785E9" w14:textId="77777777" w:rsidR="00AF5F60" w:rsidRDefault="00AF5F60" w:rsidP="00287E83">
            <w:pPr>
              <w:rPr>
                <w:sz w:val="18"/>
                <w:szCs w:val="18"/>
              </w:rPr>
            </w:pPr>
            <w:r>
              <w:rPr>
                <w:sz w:val="18"/>
                <w:szCs w:val="18"/>
              </w:rPr>
              <w:t xml:space="preserve">X </w:t>
            </w:r>
          </w:p>
          <w:p w14:paraId="2788FF15" w14:textId="77777777" w:rsidR="00EA2B7F" w:rsidRPr="00AF5F60" w:rsidRDefault="00AF5F60" w:rsidP="00AF5F60">
            <w:pPr>
              <w:rPr>
                <w:sz w:val="14"/>
                <w:szCs w:val="14"/>
              </w:rPr>
            </w:pPr>
            <w:r w:rsidRPr="00AF5F60">
              <w:rPr>
                <w:sz w:val="14"/>
                <w:szCs w:val="14"/>
              </w:rPr>
              <w:t>(si el resultado previo es normal, sino solicitar según situación clínica)</w:t>
            </w:r>
          </w:p>
        </w:tc>
      </w:tr>
      <w:tr w:rsidR="00AF5F60" w14:paraId="4D598E09" w14:textId="77777777" w:rsidTr="00323462">
        <w:tc>
          <w:tcPr>
            <w:tcW w:w="1475" w:type="dxa"/>
          </w:tcPr>
          <w:p w14:paraId="3EABA211" w14:textId="77777777" w:rsidR="00EA2B7F" w:rsidRPr="00CA3CDF" w:rsidRDefault="002B15AA" w:rsidP="00287E83">
            <w:pPr>
              <w:rPr>
                <w:sz w:val="18"/>
                <w:szCs w:val="18"/>
              </w:rPr>
            </w:pPr>
            <w:r w:rsidRPr="00CA3CDF">
              <w:rPr>
                <w:sz w:val="18"/>
                <w:szCs w:val="18"/>
              </w:rPr>
              <w:t>ANÁLISIS DE ORINA</w:t>
            </w:r>
          </w:p>
        </w:tc>
        <w:tc>
          <w:tcPr>
            <w:tcW w:w="1193" w:type="dxa"/>
          </w:tcPr>
          <w:p w14:paraId="59752B42" w14:textId="77777777" w:rsidR="00EA2B7F" w:rsidRPr="00CA3CDF" w:rsidRDefault="00AF5F60" w:rsidP="00287E83">
            <w:pPr>
              <w:rPr>
                <w:sz w:val="18"/>
                <w:szCs w:val="18"/>
              </w:rPr>
            </w:pPr>
            <w:r>
              <w:rPr>
                <w:sz w:val="18"/>
                <w:szCs w:val="18"/>
              </w:rPr>
              <w:t>x</w:t>
            </w:r>
          </w:p>
        </w:tc>
        <w:tc>
          <w:tcPr>
            <w:tcW w:w="1225" w:type="dxa"/>
          </w:tcPr>
          <w:p w14:paraId="7F096EF2" w14:textId="77777777" w:rsidR="00EA2B7F" w:rsidRPr="00CA3CDF" w:rsidRDefault="00CA3CDF" w:rsidP="00287E83">
            <w:pPr>
              <w:rPr>
                <w:sz w:val="18"/>
                <w:szCs w:val="18"/>
              </w:rPr>
            </w:pPr>
            <w:r>
              <w:rPr>
                <w:sz w:val="18"/>
                <w:szCs w:val="18"/>
              </w:rPr>
              <w:t>x</w:t>
            </w:r>
          </w:p>
        </w:tc>
        <w:tc>
          <w:tcPr>
            <w:tcW w:w="1212" w:type="dxa"/>
          </w:tcPr>
          <w:p w14:paraId="27F2304D" w14:textId="77777777" w:rsidR="00EA2B7F" w:rsidRPr="00CA3CDF" w:rsidRDefault="00EA2B7F" w:rsidP="00287E83">
            <w:pPr>
              <w:rPr>
                <w:sz w:val="18"/>
                <w:szCs w:val="18"/>
              </w:rPr>
            </w:pPr>
          </w:p>
        </w:tc>
        <w:tc>
          <w:tcPr>
            <w:tcW w:w="1225" w:type="dxa"/>
          </w:tcPr>
          <w:p w14:paraId="1133D384" w14:textId="77777777" w:rsidR="00EA2B7F" w:rsidRPr="00CA3CDF" w:rsidRDefault="00EA2B7F" w:rsidP="00287E83">
            <w:pPr>
              <w:rPr>
                <w:sz w:val="18"/>
                <w:szCs w:val="18"/>
              </w:rPr>
            </w:pPr>
          </w:p>
        </w:tc>
        <w:tc>
          <w:tcPr>
            <w:tcW w:w="1186" w:type="dxa"/>
          </w:tcPr>
          <w:p w14:paraId="0C4624C1" w14:textId="77777777" w:rsidR="00AF5F60" w:rsidRDefault="00AF5F60" w:rsidP="00287E83">
            <w:pPr>
              <w:rPr>
                <w:sz w:val="18"/>
                <w:szCs w:val="18"/>
              </w:rPr>
            </w:pPr>
            <w:r>
              <w:rPr>
                <w:sz w:val="18"/>
                <w:szCs w:val="18"/>
              </w:rPr>
              <w:t>x</w:t>
            </w:r>
            <w:r w:rsidR="00CA3CDF">
              <w:rPr>
                <w:sz w:val="18"/>
                <w:szCs w:val="18"/>
              </w:rPr>
              <w:t xml:space="preserve"> </w:t>
            </w:r>
          </w:p>
          <w:p w14:paraId="79FCC39F" w14:textId="77777777" w:rsidR="00EA2B7F" w:rsidRPr="00AF5F60" w:rsidRDefault="00CA3CDF" w:rsidP="00287E83">
            <w:pPr>
              <w:rPr>
                <w:sz w:val="14"/>
                <w:szCs w:val="14"/>
              </w:rPr>
            </w:pPr>
            <w:r w:rsidRPr="00AF5F60">
              <w:rPr>
                <w:sz w:val="14"/>
                <w:szCs w:val="14"/>
              </w:rPr>
              <w:t xml:space="preserve">(si </w:t>
            </w:r>
            <w:r w:rsidR="00AF5F60" w:rsidRPr="00AF5F60">
              <w:rPr>
                <w:sz w:val="14"/>
                <w:szCs w:val="14"/>
              </w:rPr>
              <w:t xml:space="preserve">se utiliza </w:t>
            </w:r>
            <w:r w:rsidRPr="00AF5F60">
              <w:rPr>
                <w:sz w:val="14"/>
                <w:szCs w:val="14"/>
              </w:rPr>
              <w:t>TDF)</w:t>
            </w:r>
          </w:p>
        </w:tc>
        <w:tc>
          <w:tcPr>
            <w:tcW w:w="1198" w:type="dxa"/>
          </w:tcPr>
          <w:p w14:paraId="70E99DD9" w14:textId="77777777" w:rsidR="00EA2B7F" w:rsidRPr="00CA3CDF" w:rsidRDefault="00AF5F60" w:rsidP="00287E83">
            <w:pPr>
              <w:rPr>
                <w:sz w:val="18"/>
                <w:szCs w:val="18"/>
              </w:rPr>
            </w:pPr>
            <w:r>
              <w:rPr>
                <w:sz w:val="18"/>
                <w:szCs w:val="18"/>
              </w:rPr>
              <w:t>x</w:t>
            </w:r>
          </w:p>
        </w:tc>
      </w:tr>
      <w:tr w:rsidR="00AF5F60" w14:paraId="657B2C94" w14:textId="77777777" w:rsidTr="00323462">
        <w:tc>
          <w:tcPr>
            <w:tcW w:w="1475" w:type="dxa"/>
          </w:tcPr>
          <w:p w14:paraId="7FAAC103" w14:textId="77777777" w:rsidR="00EA2B7F" w:rsidRPr="00CA3CDF" w:rsidRDefault="002B15AA" w:rsidP="00287E83">
            <w:pPr>
              <w:rPr>
                <w:sz w:val="18"/>
                <w:szCs w:val="18"/>
              </w:rPr>
            </w:pPr>
            <w:r w:rsidRPr="00CA3CDF">
              <w:rPr>
                <w:sz w:val="18"/>
                <w:szCs w:val="18"/>
              </w:rPr>
              <w:t>TEST DE EMBARAZO</w:t>
            </w:r>
          </w:p>
        </w:tc>
        <w:tc>
          <w:tcPr>
            <w:tcW w:w="1193" w:type="dxa"/>
          </w:tcPr>
          <w:p w14:paraId="54BB96CF" w14:textId="77777777" w:rsidR="00EA2B7F" w:rsidRPr="00CA3CDF" w:rsidRDefault="00F21F02" w:rsidP="00287E83">
            <w:pPr>
              <w:rPr>
                <w:sz w:val="18"/>
                <w:szCs w:val="18"/>
              </w:rPr>
            </w:pPr>
            <w:r w:rsidRPr="00CA3CDF">
              <w:rPr>
                <w:sz w:val="18"/>
                <w:szCs w:val="18"/>
              </w:rPr>
              <w:t>x</w:t>
            </w:r>
          </w:p>
        </w:tc>
        <w:tc>
          <w:tcPr>
            <w:tcW w:w="1225" w:type="dxa"/>
          </w:tcPr>
          <w:p w14:paraId="3B9573D1" w14:textId="77777777" w:rsidR="00EA2B7F" w:rsidRPr="00CA3CDF" w:rsidRDefault="00EA2B7F" w:rsidP="00287E83">
            <w:pPr>
              <w:rPr>
                <w:sz w:val="18"/>
                <w:szCs w:val="18"/>
              </w:rPr>
            </w:pPr>
          </w:p>
        </w:tc>
        <w:tc>
          <w:tcPr>
            <w:tcW w:w="1212" w:type="dxa"/>
          </w:tcPr>
          <w:p w14:paraId="6F88F2FD" w14:textId="77777777" w:rsidR="00EA2B7F" w:rsidRPr="00CA3CDF" w:rsidRDefault="00EA2B7F" w:rsidP="00287E83">
            <w:pPr>
              <w:rPr>
                <w:sz w:val="18"/>
                <w:szCs w:val="18"/>
              </w:rPr>
            </w:pPr>
          </w:p>
        </w:tc>
        <w:tc>
          <w:tcPr>
            <w:tcW w:w="1225" w:type="dxa"/>
          </w:tcPr>
          <w:p w14:paraId="73DEBA7C" w14:textId="77777777" w:rsidR="00EA2B7F" w:rsidRPr="00CA3CDF" w:rsidRDefault="00EA2B7F" w:rsidP="00287E83">
            <w:pPr>
              <w:rPr>
                <w:sz w:val="18"/>
                <w:szCs w:val="18"/>
              </w:rPr>
            </w:pPr>
          </w:p>
        </w:tc>
        <w:tc>
          <w:tcPr>
            <w:tcW w:w="1186" w:type="dxa"/>
          </w:tcPr>
          <w:p w14:paraId="42A51A83" w14:textId="77777777" w:rsidR="00EA2B7F" w:rsidRPr="00CA3CDF" w:rsidRDefault="00EA2B7F" w:rsidP="00287E83">
            <w:pPr>
              <w:rPr>
                <w:sz w:val="18"/>
                <w:szCs w:val="18"/>
              </w:rPr>
            </w:pPr>
          </w:p>
        </w:tc>
        <w:tc>
          <w:tcPr>
            <w:tcW w:w="1198" w:type="dxa"/>
          </w:tcPr>
          <w:p w14:paraId="52F6E9FB" w14:textId="77777777" w:rsidR="00EA2B7F" w:rsidRPr="00CA3CDF" w:rsidRDefault="00EA2B7F" w:rsidP="00287E83">
            <w:pPr>
              <w:rPr>
                <w:sz w:val="18"/>
                <w:szCs w:val="18"/>
              </w:rPr>
            </w:pPr>
          </w:p>
        </w:tc>
      </w:tr>
      <w:tr w:rsidR="00AF5F60" w14:paraId="576018AC" w14:textId="77777777" w:rsidTr="00323462">
        <w:tc>
          <w:tcPr>
            <w:tcW w:w="1475" w:type="dxa"/>
          </w:tcPr>
          <w:p w14:paraId="416A2745" w14:textId="77777777" w:rsidR="00EA2B7F" w:rsidRPr="00CA3CDF" w:rsidRDefault="00323462" w:rsidP="00287E83">
            <w:pPr>
              <w:rPr>
                <w:sz w:val="18"/>
                <w:szCs w:val="18"/>
              </w:rPr>
            </w:pPr>
            <w:r>
              <w:rPr>
                <w:sz w:val="18"/>
                <w:szCs w:val="18"/>
              </w:rPr>
              <w:t>TEST HLA B*5701</w:t>
            </w:r>
          </w:p>
        </w:tc>
        <w:tc>
          <w:tcPr>
            <w:tcW w:w="1193" w:type="dxa"/>
          </w:tcPr>
          <w:p w14:paraId="2071656C" w14:textId="77777777" w:rsidR="00EA2B7F" w:rsidRPr="00CA3CDF" w:rsidRDefault="00EA2B7F" w:rsidP="00287E83">
            <w:pPr>
              <w:rPr>
                <w:sz w:val="18"/>
                <w:szCs w:val="18"/>
              </w:rPr>
            </w:pPr>
          </w:p>
        </w:tc>
        <w:tc>
          <w:tcPr>
            <w:tcW w:w="1225" w:type="dxa"/>
          </w:tcPr>
          <w:p w14:paraId="394CB488" w14:textId="77777777" w:rsidR="00EA2B7F" w:rsidRDefault="00323462" w:rsidP="00287E83">
            <w:pPr>
              <w:rPr>
                <w:sz w:val="18"/>
                <w:szCs w:val="18"/>
              </w:rPr>
            </w:pPr>
            <w:r>
              <w:rPr>
                <w:sz w:val="18"/>
                <w:szCs w:val="18"/>
              </w:rPr>
              <w:t>x</w:t>
            </w:r>
          </w:p>
          <w:p w14:paraId="4EB68625" w14:textId="77777777" w:rsidR="00323462" w:rsidRPr="00323462" w:rsidRDefault="00323462" w:rsidP="00323462">
            <w:pPr>
              <w:rPr>
                <w:sz w:val="14"/>
                <w:szCs w:val="14"/>
              </w:rPr>
            </w:pPr>
            <w:r w:rsidRPr="00323462">
              <w:rPr>
                <w:sz w:val="14"/>
                <w:szCs w:val="14"/>
              </w:rPr>
              <w:t>(si se planea comenzar con abacavir)</w:t>
            </w:r>
          </w:p>
        </w:tc>
        <w:tc>
          <w:tcPr>
            <w:tcW w:w="1212" w:type="dxa"/>
          </w:tcPr>
          <w:p w14:paraId="4B4510E2" w14:textId="77777777" w:rsidR="00EA2B7F" w:rsidRPr="00CA3CDF" w:rsidRDefault="00EA2B7F" w:rsidP="00287E83">
            <w:pPr>
              <w:rPr>
                <w:sz w:val="18"/>
                <w:szCs w:val="18"/>
              </w:rPr>
            </w:pPr>
          </w:p>
        </w:tc>
        <w:tc>
          <w:tcPr>
            <w:tcW w:w="1225" w:type="dxa"/>
          </w:tcPr>
          <w:p w14:paraId="33A586F8" w14:textId="77777777" w:rsidR="00EA2B7F" w:rsidRPr="00CA3CDF" w:rsidRDefault="00EA2B7F" w:rsidP="00287E83">
            <w:pPr>
              <w:rPr>
                <w:sz w:val="18"/>
                <w:szCs w:val="18"/>
              </w:rPr>
            </w:pPr>
          </w:p>
        </w:tc>
        <w:tc>
          <w:tcPr>
            <w:tcW w:w="1186" w:type="dxa"/>
          </w:tcPr>
          <w:p w14:paraId="70379BE7" w14:textId="77777777" w:rsidR="00EA2B7F" w:rsidRPr="00CA3CDF" w:rsidRDefault="00EA2B7F" w:rsidP="00287E83">
            <w:pPr>
              <w:rPr>
                <w:sz w:val="18"/>
                <w:szCs w:val="18"/>
              </w:rPr>
            </w:pPr>
          </w:p>
        </w:tc>
        <w:tc>
          <w:tcPr>
            <w:tcW w:w="1198" w:type="dxa"/>
          </w:tcPr>
          <w:p w14:paraId="2064D585" w14:textId="77777777" w:rsidR="00EA2B7F" w:rsidRPr="00CA3CDF" w:rsidRDefault="00EA2B7F" w:rsidP="00287E83">
            <w:pPr>
              <w:rPr>
                <w:sz w:val="18"/>
                <w:szCs w:val="18"/>
              </w:rPr>
            </w:pPr>
          </w:p>
        </w:tc>
      </w:tr>
    </w:tbl>
    <w:p w14:paraId="1C9F51A8" w14:textId="77777777" w:rsidR="00EA2B7F" w:rsidRDefault="00EA2B7F" w:rsidP="00287E83"/>
    <w:sectPr w:rsidR="00EA2B7F" w:rsidSect="002512F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133"/>
    <w:multiLevelType w:val="multilevel"/>
    <w:tmpl w:val="6AC0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632D3"/>
    <w:multiLevelType w:val="multilevel"/>
    <w:tmpl w:val="FC88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F769F"/>
    <w:multiLevelType w:val="hybridMultilevel"/>
    <w:tmpl w:val="5290F4EC"/>
    <w:lvl w:ilvl="0" w:tplc="C85048CC">
      <w:numFmt w:val="bullet"/>
      <w:lvlText w:val="-"/>
      <w:lvlJc w:val="left"/>
      <w:pPr>
        <w:ind w:left="720" w:hanging="360"/>
      </w:pPr>
      <w:rPr>
        <w:rFonts w:ascii="Cambria" w:eastAsiaTheme="minorEastAsia" w:hAnsi="Cambri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A6211D5"/>
    <w:multiLevelType w:val="hybridMultilevel"/>
    <w:tmpl w:val="5AE0B8B4"/>
    <w:lvl w:ilvl="0" w:tplc="0BDE8B30">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7E14AE"/>
    <w:multiLevelType w:val="hybridMultilevel"/>
    <w:tmpl w:val="3C88A2EE"/>
    <w:lvl w:ilvl="0" w:tplc="D52A6452">
      <w:start w:val="8"/>
      <w:numFmt w:val="bullet"/>
      <w:lvlText w:val="-"/>
      <w:lvlJc w:val="left"/>
      <w:pPr>
        <w:ind w:left="1060" w:hanging="360"/>
      </w:pPr>
      <w:rPr>
        <w:rFonts w:ascii="Cambria" w:eastAsiaTheme="minorEastAsia" w:hAnsi="Cambria" w:cstheme="minorBidi"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5">
    <w:nsid w:val="728C40DF"/>
    <w:multiLevelType w:val="multilevel"/>
    <w:tmpl w:val="C54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2"/>
  </w:compat>
  <w:rsids>
    <w:rsidRoot w:val="00B354B9"/>
    <w:rsid w:val="00097C67"/>
    <w:rsid w:val="00137880"/>
    <w:rsid w:val="001872E6"/>
    <w:rsid w:val="001B0322"/>
    <w:rsid w:val="002512FE"/>
    <w:rsid w:val="002654B1"/>
    <w:rsid w:val="00284879"/>
    <w:rsid w:val="00287E83"/>
    <w:rsid w:val="002B15AA"/>
    <w:rsid w:val="00323462"/>
    <w:rsid w:val="0034399C"/>
    <w:rsid w:val="00364D6F"/>
    <w:rsid w:val="003E039C"/>
    <w:rsid w:val="00406DAA"/>
    <w:rsid w:val="004573F8"/>
    <w:rsid w:val="00497D4B"/>
    <w:rsid w:val="004D29B9"/>
    <w:rsid w:val="004E38B8"/>
    <w:rsid w:val="004F58DC"/>
    <w:rsid w:val="00505918"/>
    <w:rsid w:val="00565140"/>
    <w:rsid w:val="006355D3"/>
    <w:rsid w:val="006C7867"/>
    <w:rsid w:val="006D6983"/>
    <w:rsid w:val="00A64DFB"/>
    <w:rsid w:val="00AB40D5"/>
    <w:rsid w:val="00AD78A4"/>
    <w:rsid w:val="00AF14DA"/>
    <w:rsid w:val="00AF5F60"/>
    <w:rsid w:val="00B354B9"/>
    <w:rsid w:val="00BB7C5D"/>
    <w:rsid w:val="00CA007F"/>
    <w:rsid w:val="00CA3CDF"/>
    <w:rsid w:val="00D93894"/>
    <w:rsid w:val="00DD604B"/>
    <w:rsid w:val="00E3500C"/>
    <w:rsid w:val="00E876A1"/>
    <w:rsid w:val="00EA2B7F"/>
    <w:rsid w:val="00EC3B55"/>
    <w:rsid w:val="00F21F02"/>
    <w:rsid w:val="00FF6B0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98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4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D78A4"/>
    <w:pPr>
      <w:ind w:left="720"/>
      <w:contextualSpacing/>
    </w:pPr>
  </w:style>
  <w:style w:type="paragraph" w:styleId="NormalWeb">
    <w:name w:val="Normal (Web)"/>
    <w:basedOn w:val="Normal"/>
    <w:uiPriority w:val="99"/>
    <w:unhideWhenUsed/>
    <w:rsid w:val="00E876A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4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D78A4"/>
    <w:pPr>
      <w:ind w:left="720"/>
      <w:contextualSpacing/>
    </w:pPr>
  </w:style>
  <w:style w:type="paragraph" w:styleId="NormalWeb">
    <w:name w:val="Normal (Web)"/>
    <w:basedOn w:val="Normal"/>
    <w:uiPriority w:val="99"/>
    <w:unhideWhenUsed/>
    <w:rsid w:val="00E876A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40400">
      <w:bodyDiv w:val="1"/>
      <w:marLeft w:val="0"/>
      <w:marRight w:val="0"/>
      <w:marTop w:val="0"/>
      <w:marBottom w:val="0"/>
      <w:divBdr>
        <w:top w:val="none" w:sz="0" w:space="0" w:color="auto"/>
        <w:left w:val="none" w:sz="0" w:space="0" w:color="auto"/>
        <w:bottom w:val="none" w:sz="0" w:space="0" w:color="auto"/>
        <w:right w:val="none" w:sz="0" w:space="0" w:color="auto"/>
      </w:divBdr>
      <w:divsChild>
        <w:div w:id="589436014">
          <w:marLeft w:val="0"/>
          <w:marRight w:val="0"/>
          <w:marTop w:val="0"/>
          <w:marBottom w:val="0"/>
          <w:divBdr>
            <w:top w:val="none" w:sz="0" w:space="0" w:color="auto"/>
            <w:left w:val="none" w:sz="0" w:space="0" w:color="auto"/>
            <w:bottom w:val="none" w:sz="0" w:space="0" w:color="auto"/>
            <w:right w:val="none" w:sz="0" w:space="0" w:color="auto"/>
          </w:divBdr>
          <w:divsChild>
            <w:div w:id="862477176">
              <w:marLeft w:val="0"/>
              <w:marRight w:val="0"/>
              <w:marTop w:val="0"/>
              <w:marBottom w:val="0"/>
              <w:divBdr>
                <w:top w:val="none" w:sz="0" w:space="0" w:color="auto"/>
                <w:left w:val="none" w:sz="0" w:space="0" w:color="auto"/>
                <w:bottom w:val="none" w:sz="0" w:space="0" w:color="auto"/>
                <w:right w:val="none" w:sz="0" w:space="0" w:color="auto"/>
              </w:divBdr>
              <w:divsChild>
                <w:div w:id="2117478661">
                  <w:marLeft w:val="0"/>
                  <w:marRight w:val="0"/>
                  <w:marTop w:val="0"/>
                  <w:marBottom w:val="0"/>
                  <w:divBdr>
                    <w:top w:val="none" w:sz="0" w:space="0" w:color="auto"/>
                    <w:left w:val="none" w:sz="0" w:space="0" w:color="auto"/>
                    <w:bottom w:val="none" w:sz="0" w:space="0" w:color="auto"/>
                    <w:right w:val="none" w:sz="0" w:space="0" w:color="auto"/>
                  </w:divBdr>
                  <w:divsChild>
                    <w:div w:id="209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2196">
      <w:bodyDiv w:val="1"/>
      <w:marLeft w:val="0"/>
      <w:marRight w:val="0"/>
      <w:marTop w:val="0"/>
      <w:marBottom w:val="0"/>
      <w:divBdr>
        <w:top w:val="none" w:sz="0" w:space="0" w:color="auto"/>
        <w:left w:val="none" w:sz="0" w:space="0" w:color="auto"/>
        <w:bottom w:val="none" w:sz="0" w:space="0" w:color="auto"/>
        <w:right w:val="none" w:sz="0" w:space="0" w:color="auto"/>
      </w:divBdr>
      <w:divsChild>
        <w:div w:id="1958677113">
          <w:marLeft w:val="0"/>
          <w:marRight w:val="0"/>
          <w:marTop w:val="0"/>
          <w:marBottom w:val="0"/>
          <w:divBdr>
            <w:top w:val="none" w:sz="0" w:space="0" w:color="auto"/>
            <w:left w:val="none" w:sz="0" w:space="0" w:color="auto"/>
            <w:bottom w:val="none" w:sz="0" w:space="0" w:color="auto"/>
            <w:right w:val="none" w:sz="0" w:space="0" w:color="auto"/>
          </w:divBdr>
          <w:divsChild>
            <w:div w:id="1549873643">
              <w:marLeft w:val="0"/>
              <w:marRight w:val="0"/>
              <w:marTop w:val="0"/>
              <w:marBottom w:val="0"/>
              <w:divBdr>
                <w:top w:val="none" w:sz="0" w:space="0" w:color="auto"/>
                <w:left w:val="none" w:sz="0" w:space="0" w:color="auto"/>
                <w:bottom w:val="none" w:sz="0" w:space="0" w:color="auto"/>
                <w:right w:val="none" w:sz="0" w:space="0" w:color="auto"/>
              </w:divBdr>
              <w:divsChild>
                <w:div w:id="1521699237">
                  <w:marLeft w:val="0"/>
                  <w:marRight w:val="0"/>
                  <w:marTop w:val="0"/>
                  <w:marBottom w:val="0"/>
                  <w:divBdr>
                    <w:top w:val="none" w:sz="0" w:space="0" w:color="auto"/>
                    <w:left w:val="none" w:sz="0" w:space="0" w:color="auto"/>
                    <w:bottom w:val="none" w:sz="0" w:space="0" w:color="auto"/>
                    <w:right w:val="none" w:sz="0" w:space="0" w:color="auto"/>
                  </w:divBdr>
                </w:div>
              </w:divsChild>
            </w:div>
            <w:div w:id="1672875723">
              <w:marLeft w:val="0"/>
              <w:marRight w:val="0"/>
              <w:marTop w:val="0"/>
              <w:marBottom w:val="0"/>
              <w:divBdr>
                <w:top w:val="none" w:sz="0" w:space="0" w:color="auto"/>
                <w:left w:val="none" w:sz="0" w:space="0" w:color="auto"/>
                <w:bottom w:val="none" w:sz="0" w:space="0" w:color="auto"/>
                <w:right w:val="none" w:sz="0" w:space="0" w:color="auto"/>
              </w:divBdr>
              <w:divsChild>
                <w:div w:id="296643104">
                  <w:marLeft w:val="0"/>
                  <w:marRight w:val="0"/>
                  <w:marTop w:val="0"/>
                  <w:marBottom w:val="0"/>
                  <w:divBdr>
                    <w:top w:val="none" w:sz="0" w:space="0" w:color="auto"/>
                    <w:left w:val="none" w:sz="0" w:space="0" w:color="auto"/>
                    <w:bottom w:val="none" w:sz="0" w:space="0" w:color="auto"/>
                    <w:right w:val="none" w:sz="0" w:space="0" w:color="auto"/>
                  </w:divBdr>
                </w:div>
              </w:divsChild>
            </w:div>
            <w:div w:id="542907785">
              <w:marLeft w:val="0"/>
              <w:marRight w:val="0"/>
              <w:marTop w:val="0"/>
              <w:marBottom w:val="0"/>
              <w:divBdr>
                <w:top w:val="none" w:sz="0" w:space="0" w:color="auto"/>
                <w:left w:val="none" w:sz="0" w:space="0" w:color="auto"/>
                <w:bottom w:val="none" w:sz="0" w:space="0" w:color="auto"/>
                <w:right w:val="none" w:sz="0" w:space="0" w:color="auto"/>
              </w:divBdr>
              <w:divsChild>
                <w:div w:id="215820345">
                  <w:marLeft w:val="0"/>
                  <w:marRight w:val="0"/>
                  <w:marTop w:val="0"/>
                  <w:marBottom w:val="0"/>
                  <w:divBdr>
                    <w:top w:val="none" w:sz="0" w:space="0" w:color="auto"/>
                    <w:left w:val="none" w:sz="0" w:space="0" w:color="auto"/>
                    <w:bottom w:val="none" w:sz="0" w:space="0" w:color="auto"/>
                    <w:right w:val="none" w:sz="0" w:space="0" w:color="auto"/>
                  </w:divBdr>
                </w:div>
              </w:divsChild>
            </w:div>
            <w:div w:id="851264839">
              <w:marLeft w:val="0"/>
              <w:marRight w:val="0"/>
              <w:marTop w:val="0"/>
              <w:marBottom w:val="0"/>
              <w:divBdr>
                <w:top w:val="none" w:sz="0" w:space="0" w:color="auto"/>
                <w:left w:val="none" w:sz="0" w:space="0" w:color="auto"/>
                <w:bottom w:val="none" w:sz="0" w:space="0" w:color="auto"/>
                <w:right w:val="none" w:sz="0" w:space="0" w:color="auto"/>
              </w:divBdr>
              <w:divsChild>
                <w:div w:id="19304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4142</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Emiliano</cp:lastModifiedBy>
  <cp:revision>3</cp:revision>
  <dcterms:created xsi:type="dcterms:W3CDTF">2015-05-12T18:48:00Z</dcterms:created>
  <dcterms:modified xsi:type="dcterms:W3CDTF">2015-06-10T02:43:00Z</dcterms:modified>
</cp:coreProperties>
</file>